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C2" w:rsidRPr="0070292F" w:rsidRDefault="00D82EC2" w:rsidP="0070292F">
      <w:pPr>
        <w:jc w:val="center"/>
        <w:rPr>
          <w:rFonts w:ascii="Times New Roman" w:hAnsi="Times New Roman" w:cs="Times New Roman"/>
          <w:lang w:val="fr-FR"/>
        </w:rPr>
      </w:pPr>
      <w:bookmarkStart w:id="0" w:name="_GoBack"/>
      <w:bookmarkEnd w:id="0"/>
    </w:p>
    <w:p w:rsidR="00D82EC2" w:rsidRPr="0070292F" w:rsidRDefault="00D82EC2" w:rsidP="0070292F">
      <w:pPr>
        <w:jc w:val="center"/>
        <w:rPr>
          <w:rFonts w:ascii="Times New Roman" w:hAnsi="Times New Roman" w:cs="Times New Roman"/>
          <w:lang w:val="fr-FR"/>
        </w:rPr>
      </w:pPr>
    </w:p>
    <w:p w:rsidR="00D82EC2" w:rsidRPr="0070292F" w:rsidRDefault="00D82EC2" w:rsidP="0070292F">
      <w:pPr>
        <w:jc w:val="center"/>
        <w:outlineLvl w:val="0"/>
        <w:rPr>
          <w:rFonts w:ascii="Times New Roman" w:hAnsi="Times New Roman" w:cs="Times New Roman"/>
          <w:lang w:val="fr-FR"/>
        </w:rPr>
      </w:pPr>
      <w:bookmarkStart w:id="1" w:name="_Toc475451829"/>
      <w:r w:rsidRPr="0070292F">
        <w:rPr>
          <w:rFonts w:ascii="Times New Roman" w:hAnsi="Times New Roman" w:cs="Times New Roman"/>
          <w:lang w:val="fr-FR"/>
        </w:rPr>
        <w:t>GRANDE CHAMBRE</w:t>
      </w:r>
      <w:bookmarkEnd w:id="1"/>
    </w:p>
    <w:p w:rsidR="00D82EC2" w:rsidRPr="0070292F" w:rsidRDefault="00D82EC2" w:rsidP="0070292F">
      <w:pPr>
        <w:jc w:val="center"/>
        <w:rPr>
          <w:rFonts w:ascii="Times New Roman" w:hAnsi="Times New Roman" w:cs="Times New Roman"/>
          <w:lang w:val="fr-FR"/>
        </w:rPr>
      </w:pPr>
    </w:p>
    <w:p w:rsidR="00D82EC2" w:rsidRPr="0070292F" w:rsidRDefault="00D82EC2" w:rsidP="0070292F">
      <w:pPr>
        <w:jc w:val="center"/>
        <w:rPr>
          <w:rFonts w:ascii="Times New Roman" w:hAnsi="Times New Roman" w:cs="Times New Roman"/>
          <w:lang w:val="fr-FR"/>
        </w:rPr>
      </w:pPr>
    </w:p>
    <w:p w:rsidR="00D82EC2" w:rsidRPr="0070292F" w:rsidRDefault="00D82EC2" w:rsidP="0070292F">
      <w:pPr>
        <w:jc w:val="center"/>
        <w:rPr>
          <w:rFonts w:ascii="Times New Roman" w:hAnsi="Times New Roman" w:cs="Times New Roman"/>
          <w:lang w:val="fr-FR"/>
        </w:rPr>
      </w:pPr>
    </w:p>
    <w:p w:rsidR="00D82EC2" w:rsidRPr="0070292F" w:rsidRDefault="00D82EC2" w:rsidP="0070292F">
      <w:pPr>
        <w:jc w:val="center"/>
        <w:rPr>
          <w:rFonts w:ascii="Times New Roman" w:hAnsi="Times New Roman" w:cs="Times New Roman"/>
          <w:lang w:val="fr-FR"/>
        </w:rPr>
      </w:pPr>
    </w:p>
    <w:p w:rsidR="00D82EC2" w:rsidRPr="0070292F" w:rsidRDefault="00D82EC2" w:rsidP="0070292F">
      <w:pPr>
        <w:jc w:val="center"/>
        <w:rPr>
          <w:rFonts w:ascii="Times New Roman" w:hAnsi="Times New Roman" w:cs="Times New Roman"/>
          <w:lang w:val="fr-FR"/>
        </w:rPr>
      </w:pPr>
    </w:p>
    <w:p w:rsidR="00D82EC2" w:rsidRPr="0070292F" w:rsidRDefault="00D82EC2" w:rsidP="0070292F">
      <w:pPr>
        <w:jc w:val="center"/>
        <w:rPr>
          <w:rFonts w:ascii="Times New Roman" w:hAnsi="Times New Roman" w:cs="Times New Roman"/>
          <w:lang w:val="fr-FR"/>
        </w:rPr>
      </w:pPr>
    </w:p>
    <w:p w:rsidR="00D82EC2" w:rsidRPr="0070292F" w:rsidRDefault="00D82EC2" w:rsidP="0070292F">
      <w:pPr>
        <w:jc w:val="center"/>
        <w:outlineLvl w:val="0"/>
        <w:rPr>
          <w:rFonts w:ascii="Times New Roman" w:hAnsi="Times New Roman" w:cs="Times New Roman"/>
          <w:b/>
          <w:lang w:val="fr-FR"/>
        </w:rPr>
      </w:pPr>
      <w:bookmarkStart w:id="2" w:name="_Toc475451830"/>
      <w:r w:rsidRPr="0070292F">
        <w:rPr>
          <w:rFonts w:ascii="Times New Roman" w:hAnsi="Times New Roman" w:cs="Times New Roman"/>
          <w:b/>
          <w:lang w:val="fr-FR"/>
        </w:rPr>
        <w:t>AFFAIRE DE TOMMASO c. ITALIE</w:t>
      </w:r>
      <w:bookmarkEnd w:id="2"/>
    </w:p>
    <w:p w:rsidR="00D82EC2" w:rsidRPr="0070292F" w:rsidRDefault="00D82EC2" w:rsidP="0070292F">
      <w:pPr>
        <w:jc w:val="center"/>
        <w:rPr>
          <w:rFonts w:ascii="Times New Roman" w:hAnsi="Times New Roman" w:cs="Times New Roman"/>
          <w:lang w:val="fr-FR"/>
        </w:rPr>
      </w:pPr>
    </w:p>
    <w:p w:rsidR="00D82EC2" w:rsidRPr="0070292F" w:rsidRDefault="00D82EC2" w:rsidP="0070292F">
      <w:pPr>
        <w:jc w:val="center"/>
        <w:rPr>
          <w:rFonts w:ascii="Times New Roman" w:hAnsi="Times New Roman" w:cs="Times New Roman"/>
          <w:i/>
          <w:lang w:val="fr-FR"/>
        </w:rPr>
      </w:pPr>
      <w:r w:rsidRPr="0070292F">
        <w:rPr>
          <w:rFonts w:ascii="Times New Roman" w:hAnsi="Times New Roman" w:cs="Times New Roman"/>
          <w:i/>
          <w:lang w:val="fr-FR"/>
        </w:rPr>
        <w:t>(Requête n</w:t>
      </w:r>
      <w:r w:rsidRPr="0070292F">
        <w:rPr>
          <w:rFonts w:ascii="Times New Roman" w:hAnsi="Times New Roman" w:cs="Times New Roman"/>
          <w:i/>
          <w:vertAlign w:val="superscript"/>
          <w:lang w:val="fr-FR"/>
        </w:rPr>
        <w:t>o</w:t>
      </w:r>
      <w:r w:rsidRPr="0070292F">
        <w:rPr>
          <w:rFonts w:ascii="Times New Roman" w:hAnsi="Times New Roman" w:cs="Times New Roman"/>
          <w:i/>
          <w:lang w:val="fr-FR"/>
        </w:rPr>
        <w:t xml:space="preserve"> 43395/09)</w:t>
      </w:r>
    </w:p>
    <w:p w:rsidR="00D82EC2" w:rsidRPr="0070292F" w:rsidRDefault="00D82EC2" w:rsidP="0070292F">
      <w:pPr>
        <w:jc w:val="center"/>
        <w:rPr>
          <w:rFonts w:ascii="Times New Roman" w:hAnsi="Times New Roman" w:cs="Times New Roman"/>
          <w:lang w:val="fr-FR"/>
        </w:rPr>
      </w:pPr>
    </w:p>
    <w:p w:rsidR="00D82EC2" w:rsidRPr="0070292F" w:rsidRDefault="00D82EC2" w:rsidP="0070292F">
      <w:pPr>
        <w:jc w:val="center"/>
        <w:rPr>
          <w:rFonts w:ascii="Times New Roman" w:hAnsi="Times New Roman" w:cs="Times New Roman"/>
          <w:lang w:val="fr-FR"/>
        </w:rPr>
      </w:pPr>
    </w:p>
    <w:p w:rsidR="00D82EC2" w:rsidRPr="0070292F" w:rsidRDefault="00D82EC2" w:rsidP="0070292F">
      <w:pPr>
        <w:jc w:val="center"/>
        <w:rPr>
          <w:rFonts w:ascii="Times New Roman" w:hAnsi="Times New Roman" w:cs="Times New Roman"/>
          <w:lang w:val="fr-FR"/>
        </w:rPr>
      </w:pPr>
    </w:p>
    <w:p w:rsidR="00D82EC2" w:rsidRPr="0070292F" w:rsidRDefault="00D82EC2" w:rsidP="0070292F">
      <w:pPr>
        <w:jc w:val="center"/>
        <w:rPr>
          <w:rFonts w:ascii="Times New Roman" w:hAnsi="Times New Roman" w:cs="Times New Roman"/>
          <w:lang w:val="fr-FR"/>
        </w:rPr>
      </w:pPr>
    </w:p>
    <w:p w:rsidR="00D82EC2" w:rsidRPr="0070292F" w:rsidRDefault="00D82EC2" w:rsidP="0070292F">
      <w:pPr>
        <w:jc w:val="center"/>
        <w:rPr>
          <w:rFonts w:ascii="Times New Roman" w:hAnsi="Times New Roman" w:cs="Times New Roman"/>
          <w:lang w:val="fr-FR"/>
        </w:rPr>
      </w:pPr>
    </w:p>
    <w:p w:rsidR="00D82EC2" w:rsidRPr="0070292F" w:rsidRDefault="00D82EC2" w:rsidP="0070292F">
      <w:pPr>
        <w:jc w:val="center"/>
        <w:rPr>
          <w:rFonts w:ascii="Times New Roman" w:hAnsi="Times New Roman" w:cs="Times New Roman"/>
          <w:lang w:val="fr-FR"/>
        </w:rPr>
      </w:pPr>
    </w:p>
    <w:p w:rsidR="00D82EC2" w:rsidRPr="0070292F" w:rsidRDefault="00D82EC2" w:rsidP="0070292F">
      <w:pPr>
        <w:jc w:val="center"/>
        <w:rPr>
          <w:rFonts w:ascii="Times New Roman" w:hAnsi="Times New Roman" w:cs="Times New Roman"/>
          <w:lang w:val="fr-FR"/>
        </w:rPr>
      </w:pPr>
    </w:p>
    <w:p w:rsidR="00D82EC2" w:rsidRPr="0070292F" w:rsidRDefault="00D82EC2" w:rsidP="0070292F">
      <w:pPr>
        <w:jc w:val="center"/>
        <w:rPr>
          <w:rFonts w:ascii="Times New Roman" w:hAnsi="Times New Roman" w:cs="Times New Roman"/>
          <w:lang w:val="fr-FR"/>
        </w:rPr>
      </w:pPr>
    </w:p>
    <w:p w:rsidR="00D82EC2" w:rsidRPr="0070292F" w:rsidRDefault="00D82EC2" w:rsidP="0070292F">
      <w:pPr>
        <w:jc w:val="center"/>
        <w:rPr>
          <w:rFonts w:ascii="Times New Roman" w:hAnsi="Times New Roman" w:cs="Times New Roman"/>
          <w:lang w:val="fr-FR"/>
        </w:rPr>
      </w:pPr>
    </w:p>
    <w:p w:rsidR="00D82EC2" w:rsidRPr="0070292F" w:rsidRDefault="00D82EC2" w:rsidP="0070292F">
      <w:pPr>
        <w:jc w:val="center"/>
        <w:rPr>
          <w:rFonts w:ascii="Times New Roman" w:hAnsi="Times New Roman" w:cs="Times New Roman"/>
          <w:lang w:val="fr-FR"/>
        </w:rPr>
      </w:pPr>
    </w:p>
    <w:p w:rsidR="00D82EC2" w:rsidRPr="0070292F" w:rsidRDefault="00D82EC2" w:rsidP="0070292F">
      <w:pPr>
        <w:jc w:val="center"/>
        <w:outlineLvl w:val="0"/>
        <w:rPr>
          <w:rFonts w:ascii="Times New Roman" w:hAnsi="Times New Roman" w:cs="Times New Roman"/>
          <w:lang w:val="fr-FR"/>
        </w:rPr>
      </w:pPr>
      <w:bookmarkStart w:id="3" w:name="_Toc475451831"/>
      <w:r w:rsidRPr="0070292F">
        <w:rPr>
          <w:rFonts w:ascii="Times New Roman" w:hAnsi="Times New Roman" w:cs="Times New Roman"/>
          <w:lang w:val="fr-FR"/>
        </w:rPr>
        <w:t>ARRÊT</w:t>
      </w:r>
      <w:bookmarkEnd w:id="3"/>
    </w:p>
    <w:p w:rsidR="00D82EC2" w:rsidRPr="0070292F" w:rsidRDefault="00D82EC2" w:rsidP="0070292F">
      <w:pPr>
        <w:jc w:val="center"/>
        <w:outlineLvl w:val="0"/>
        <w:rPr>
          <w:rFonts w:ascii="Times New Roman" w:hAnsi="Times New Roman" w:cs="Times New Roman"/>
          <w:i/>
          <w:lang w:val="fr-FR"/>
        </w:rPr>
      </w:pPr>
    </w:p>
    <w:p w:rsidR="00D82EC2" w:rsidRPr="0070292F" w:rsidRDefault="00D82EC2" w:rsidP="0070292F">
      <w:pPr>
        <w:jc w:val="center"/>
        <w:rPr>
          <w:rFonts w:ascii="Times New Roman" w:hAnsi="Times New Roman" w:cs="Times New Roman"/>
          <w:lang w:val="fr-FR"/>
        </w:rPr>
      </w:pPr>
    </w:p>
    <w:p w:rsidR="00D82EC2" w:rsidRPr="0070292F" w:rsidRDefault="00D82EC2" w:rsidP="0070292F">
      <w:pPr>
        <w:jc w:val="center"/>
        <w:outlineLvl w:val="0"/>
        <w:rPr>
          <w:rFonts w:ascii="Times New Roman" w:hAnsi="Times New Roman" w:cs="Times New Roman"/>
          <w:lang w:val="fr-FR"/>
        </w:rPr>
      </w:pPr>
      <w:bookmarkStart w:id="4" w:name="_Toc475451832"/>
      <w:r w:rsidRPr="0070292F">
        <w:rPr>
          <w:rFonts w:ascii="Times New Roman" w:hAnsi="Times New Roman" w:cs="Times New Roman"/>
          <w:lang w:val="fr-FR"/>
        </w:rPr>
        <w:t>STRASBOURG</w:t>
      </w:r>
      <w:bookmarkEnd w:id="4"/>
    </w:p>
    <w:p w:rsidR="00D82EC2" w:rsidRPr="0070292F" w:rsidRDefault="00D82EC2" w:rsidP="0070292F">
      <w:pPr>
        <w:jc w:val="center"/>
        <w:rPr>
          <w:rFonts w:ascii="Times New Roman" w:hAnsi="Times New Roman" w:cs="Times New Roman"/>
          <w:lang w:val="fr-FR"/>
        </w:rPr>
      </w:pPr>
    </w:p>
    <w:p w:rsidR="00D82EC2" w:rsidRPr="0070292F" w:rsidRDefault="00D82EC2" w:rsidP="0070292F">
      <w:pPr>
        <w:jc w:val="center"/>
        <w:rPr>
          <w:rFonts w:ascii="Times New Roman" w:hAnsi="Times New Roman" w:cs="Times New Roman"/>
          <w:lang w:val="fr-FR"/>
        </w:rPr>
      </w:pPr>
      <w:r w:rsidRPr="0070292F">
        <w:rPr>
          <w:rFonts w:ascii="Times New Roman" w:hAnsi="Times New Roman" w:cs="Times New Roman"/>
          <w:lang w:val="fr-FR"/>
        </w:rPr>
        <w:t>23 février 2017</w:t>
      </w:r>
    </w:p>
    <w:p w:rsidR="00D82EC2" w:rsidRPr="0070292F" w:rsidRDefault="00D82EC2" w:rsidP="0070292F">
      <w:pPr>
        <w:jc w:val="center"/>
        <w:rPr>
          <w:rFonts w:ascii="Times New Roman" w:hAnsi="Times New Roman" w:cs="Times New Roman"/>
          <w:lang w:val="fr-FR"/>
        </w:rPr>
      </w:pPr>
    </w:p>
    <w:p w:rsidR="00D82EC2" w:rsidRPr="0070292F" w:rsidRDefault="00D82EC2" w:rsidP="0070292F">
      <w:pPr>
        <w:jc w:val="center"/>
        <w:rPr>
          <w:rFonts w:ascii="Times New Roman" w:hAnsi="Times New Roman" w:cs="Times New Roman"/>
          <w:lang w:val="fr-FR"/>
        </w:rPr>
      </w:pPr>
    </w:p>
    <w:p w:rsidR="00121DD1" w:rsidRPr="0070292F" w:rsidRDefault="00121DD1" w:rsidP="0070292F">
      <w:pPr>
        <w:jc w:val="center"/>
        <w:rPr>
          <w:rFonts w:ascii="Times New Roman" w:hAnsi="Times New Roman" w:cs="Times New Roman"/>
          <w:lang w:val="fr-FR"/>
        </w:rPr>
      </w:pPr>
    </w:p>
    <w:p w:rsidR="00121DD1" w:rsidRPr="0070292F" w:rsidRDefault="00121DD1" w:rsidP="0070292F">
      <w:pPr>
        <w:jc w:val="center"/>
        <w:rPr>
          <w:rFonts w:ascii="Times New Roman" w:hAnsi="Times New Roman" w:cs="Times New Roman"/>
          <w:lang w:val="fr-FR"/>
        </w:rPr>
      </w:pPr>
    </w:p>
    <w:p w:rsidR="00121DD1" w:rsidRPr="0070292F" w:rsidRDefault="00121DD1" w:rsidP="0070292F">
      <w:pPr>
        <w:jc w:val="center"/>
        <w:rPr>
          <w:rFonts w:ascii="Times New Roman" w:hAnsi="Times New Roman" w:cs="Times New Roman"/>
          <w:lang w:val="fr-FR"/>
        </w:rPr>
      </w:pPr>
    </w:p>
    <w:p w:rsidR="00121DD1" w:rsidRPr="0070292F" w:rsidRDefault="00121DD1" w:rsidP="0070292F">
      <w:pPr>
        <w:jc w:val="center"/>
        <w:rPr>
          <w:rFonts w:ascii="Times New Roman" w:hAnsi="Times New Roman" w:cs="Times New Roman"/>
          <w:lang w:val="fr-FR"/>
        </w:rPr>
      </w:pPr>
    </w:p>
    <w:p w:rsidR="00121DD1" w:rsidRPr="0070292F" w:rsidRDefault="00121DD1" w:rsidP="0070292F">
      <w:pPr>
        <w:jc w:val="center"/>
        <w:rPr>
          <w:rFonts w:ascii="Times New Roman" w:hAnsi="Times New Roman" w:cs="Times New Roman"/>
          <w:lang w:val="fr-FR"/>
        </w:rPr>
      </w:pPr>
    </w:p>
    <w:p w:rsidR="00121DD1" w:rsidRPr="0070292F" w:rsidRDefault="00121DD1" w:rsidP="0070292F">
      <w:pPr>
        <w:jc w:val="center"/>
        <w:rPr>
          <w:rFonts w:ascii="Times New Roman" w:hAnsi="Times New Roman" w:cs="Times New Roman"/>
          <w:lang w:val="fr-FR"/>
        </w:rPr>
      </w:pPr>
    </w:p>
    <w:p w:rsidR="00D82EC2" w:rsidRPr="0070292F" w:rsidRDefault="00D82EC2" w:rsidP="0070292F">
      <w:pPr>
        <w:jc w:val="center"/>
        <w:rPr>
          <w:rFonts w:ascii="Times New Roman" w:hAnsi="Times New Roman" w:cs="Times New Roman"/>
          <w:lang w:val="fr-FR"/>
        </w:rPr>
      </w:pPr>
    </w:p>
    <w:p w:rsidR="00D82EC2" w:rsidRPr="0070292F" w:rsidRDefault="00D82EC2" w:rsidP="0070292F">
      <w:pPr>
        <w:rPr>
          <w:rFonts w:ascii="Times New Roman" w:hAnsi="Times New Roman" w:cs="Times New Roman"/>
          <w:i/>
          <w:sz w:val="22"/>
          <w:lang w:val="fr-FR"/>
        </w:rPr>
      </w:pPr>
      <w:r w:rsidRPr="0070292F">
        <w:rPr>
          <w:rFonts w:ascii="Times New Roman" w:hAnsi="Times New Roman" w:cs="Times New Roman"/>
          <w:i/>
          <w:sz w:val="22"/>
          <w:lang w:val="fr-FR"/>
        </w:rPr>
        <w:t>Cet arrêt est définitif. Il peut subir des retouches de forme.</w:t>
      </w:r>
    </w:p>
    <w:p w:rsidR="00D82EC2" w:rsidRPr="0070292F" w:rsidRDefault="00D82EC2" w:rsidP="0070292F">
      <w:pPr>
        <w:ind w:left="720"/>
        <w:rPr>
          <w:rFonts w:ascii="Times New Roman" w:hAnsi="Times New Roman" w:cs="Times New Roman"/>
          <w:sz w:val="22"/>
          <w:lang w:val="fr-FR"/>
        </w:rPr>
        <w:sectPr w:rsidR="00D82EC2" w:rsidRPr="0070292F">
          <w:headerReference w:type="default" r:id="rId12"/>
          <w:footerReference w:type="default" r:id="rId13"/>
          <w:footnotePr>
            <w:numRestart w:val="eachSect"/>
          </w:footnotePr>
          <w:pgSz w:w="11906" w:h="16838" w:code="9"/>
          <w:pgMar w:top="2274" w:right="2274" w:bottom="2274" w:left="2274" w:header="1701" w:footer="720" w:gutter="0"/>
          <w:pgNumType w:start="1"/>
          <w:cols w:space="720"/>
          <w:noEndnote/>
        </w:sectPr>
      </w:pPr>
    </w:p>
    <w:p w:rsidR="00E77CB3" w:rsidRPr="0070292F" w:rsidRDefault="00E77CB3" w:rsidP="0070292F">
      <w:pPr>
        <w:pStyle w:val="JuCase"/>
        <w:rPr>
          <w:lang w:val="fr-FR"/>
        </w:rPr>
      </w:pPr>
      <w:r w:rsidRPr="0070292F">
        <w:rPr>
          <w:lang w:val="fr-FR"/>
        </w:rPr>
        <w:lastRenderedPageBreak/>
        <w:t>En l</w:t>
      </w:r>
      <w:r w:rsidR="0070292F" w:rsidRPr="0070292F">
        <w:rPr>
          <w:lang w:val="fr-FR"/>
        </w:rPr>
        <w:t>’</w:t>
      </w:r>
      <w:r w:rsidRPr="0070292F">
        <w:rPr>
          <w:lang w:val="fr-FR"/>
        </w:rPr>
        <w:t xml:space="preserve">affaire </w:t>
      </w:r>
      <w:r w:rsidR="004405A5" w:rsidRPr="0070292F">
        <w:rPr>
          <w:lang w:val="fr-FR"/>
        </w:rPr>
        <w:t>de Tommaso c. Italie</w:t>
      </w:r>
      <w:r w:rsidRPr="0070292F">
        <w:rPr>
          <w:lang w:val="fr-FR"/>
        </w:rPr>
        <w:t>,</w:t>
      </w:r>
    </w:p>
    <w:p w:rsidR="00E77CB3" w:rsidRPr="0070292F" w:rsidRDefault="00E77CB3" w:rsidP="0070292F">
      <w:pPr>
        <w:pStyle w:val="ECHRPara"/>
        <w:rPr>
          <w:lang w:val="fr-FR"/>
        </w:rPr>
      </w:pPr>
      <w:r w:rsidRPr="0070292F">
        <w:rPr>
          <w:lang w:val="fr-FR"/>
        </w:rPr>
        <w:t>La Cour européenne des droits de l</w:t>
      </w:r>
      <w:r w:rsidR="0070292F" w:rsidRPr="0070292F">
        <w:rPr>
          <w:lang w:val="fr-FR"/>
        </w:rPr>
        <w:t>’</w:t>
      </w:r>
      <w:r w:rsidRPr="0070292F">
        <w:rPr>
          <w:lang w:val="fr-FR"/>
        </w:rPr>
        <w:t xml:space="preserve">homme, siégeant en </w:t>
      </w:r>
      <w:r w:rsidR="004405A5" w:rsidRPr="0070292F">
        <w:rPr>
          <w:lang w:val="fr-FR"/>
        </w:rPr>
        <w:t>une Grande Chambre composée</w:t>
      </w:r>
      <w:r w:rsidRPr="0070292F">
        <w:rPr>
          <w:lang w:val="fr-FR"/>
        </w:rPr>
        <w:t xml:space="preserve"> de :</w:t>
      </w:r>
    </w:p>
    <w:p w:rsidR="00E77CB3" w:rsidRPr="0070292F" w:rsidRDefault="0031458D" w:rsidP="0070292F">
      <w:pPr>
        <w:pStyle w:val="ECHRDecisionBody"/>
        <w:rPr>
          <w:lang w:val="fr-FR"/>
        </w:rPr>
      </w:pPr>
      <w:r w:rsidRPr="0070292F">
        <w:rPr>
          <w:lang w:val="fr-FR"/>
        </w:rPr>
        <w:tab/>
        <w:t>András Sajó,</w:t>
      </w:r>
      <w:r w:rsidRPr="0070292F">
        <w:rPr>
          <w:i/>
          <w:lang w:val="fr-FR"/>
        </w:rPr>
        <w:t xml:space="preserve"> président,</w:t>
      </w:r>
      <w:r w:rsidRPr="0070292F">
        <w:rPr>
          <w:i/>
          <w:lang w:val="fr-FR"/>
        </w:rPr>
        <w:br/>
      </w:r>
      <w:r w:rsidRPr="0070292F">
        <w:rPr>
          <w:lang w:val="fr-FR"/>
        </w:rPr>
        <w:tab/>
        <w:t>Guido Raimondi,</w:t>
      </w:r>
      <w:r w:rsidRPr="0070292F">
        <w:rPr>
          <w:i/>
          <w:lang w:val="fr-FR"/>
        </w:rPr>
        <w:br/>
      </w:r>
      <w:r w:rsidRPr="0070292F">
        <w:rPr>
          <w:lang w:val="fr-FR"/>
        </w:rPr>
        <w:tab/>
        <w:t>Josep Casadevall,</w:t>
      </w:r>
      <w:r w:rsidRPr="0070292F">
        <w:rPr>
          <w:i/>
          <w:lang w:val="fr-FR"/>
        </w:rPr>
        <w:br/>
      </w:r>
      <w:r w:rsidRPr="0070292F">
        <w:rPr>
          <w:lang w:val="fr-FR"/>
        </w:rPr>
        <w:tab/>
        <w:t>Işıl Karakaş,</w:t>
      </w:r>
      <w:r w:rsidRPr="0070292F">
        <w:rPr>
          <w:i/>
          <w:lang w:val="fr-FR"/>
        </w:rPr>
        <w:br/>
      </w:r>
      <w:r w:rsidRPr="0070292F">
        <w:rPr>
          <w:lang w:val="fr-FR"/>
        </w:rPr>
        <w:tab/>
        <w:t>Mark Villiger,</w:t>
      </w:r>
      <w:r w:rsidRPr="0070292F">
        <w:rPr>
          <w:i/>
          <w:lang w:val="fr-FR"/>
        </w:rPr>
        <w:br/>
      </w:r>
      <w:r w:rsidRPr="0070292F">
        <w:rPr>
          <w:lang w:val="fr-FR"/>
        </w:rPr>
        <w:tab/>
        <w:t>Boštjan M. Zupančič,</w:t>
      </w:r>
      <w:r w:rsidRPr="0070292F">
        <w:rPr>
          <w:i/>
          <w:lang w:val="fr-FR"/>
        </w:rPr>
        <w:br/>
      </w:r>
      <w:r w:rsidRPr="0070292F">
        <w:rPr>
          <w:lang w:val="fr-FR"/>
        </w:rPr>
        <w:tab/>
        <w:t>Ján Šikuta,</w:t>
      </w:r>
      <w:r w:rsidRPr="0070292F">
        <w:rPr>
          <w:i/>
          <w:lang w:val="fr-FR"/>
        </w:rPr>
        <w:br/>
      </w:r>
      <w:r w:rsidRPr="0070292F">
        <w:rPr>
          <w:lang w:val="fr-FR"/>
        </w:rPr>
        <w:tab/>
        <w:t>Ledi Bianku,</w:t>
      </w:r>
      <w:r w:rsidRPr="0070292F">
        <w:rPr>
          <w:i/>
          <w:lang w:val="fr-FR"/>
        </w:rPr>
        <w:br/>
      </w:r>
      <w:r w:rsidRPr="0070292F">
        <w:rPr>
          <w:lang w:val="fr-FR"/>
        </w:rPr>
        <w:tab/>
        <w:t>Nebojša Vučinić,</w:t>
      </w:r>
      <w:r w:rsidRPr="0070292F">
        <w:rPr>
          <w:i/>
          <w:lang w:val="fr-FR"/>
        </w:rPr>
        <w:br/>
      </w:r>
      <w:r w:rsidRPr="0070292F">
        <w:rPr>
          <w:lang w:val="fr-FR"/>
        </w:rPr>
        <w:tab/>
        <w:t>Kristina Pardalos,</w:t>
      </w:r>
      <w:r w:rsidRPr="0070292F">
        <w:rPr>
          <w:i/>
          <w:lang w:val="fr-FR"/>
        </w:rPr>
        <w:br/>
      </w:r>
      <w:r w:rsidRPr="0070292F">
        <w:rPr>
          <w:lang w:val="fr-FR"/>
        </w:rPr>
        <w:tab/>
        <w:t>Paulo Pinto de Albuquerque,</w:t>
      </w:r>
      <w:r w:rsidRPr="0070292F">
        <w:rPr>
          <w:i/>
          <w:lang w:val="fr-FR"/>
        </w:rPr>
        <w:br/>
      </w:r>
      <w:r w:rsidRPr="0070292F">
        <w:rPr>
          <w:lang w:val="fr-FR"/>
        </w:rPr>
        <w:tab/>
        <w:t>Helen Keller,</w:t>
      </w:r>
      <w:r w:rsidRPr="0070292F">
        <w:rPr>
          <w:i/>
          <w:lang w:val="fr-FR"/>
        </w:rPr>
        <w:br/>
      </w:r>
      <w:r w:rsidRPr="0070292F">
        <w:rPr>
          <w:lang w:val="fr-FR"/>
        </w:rPr>
        <w:tab/>
        <w:t>Ksenija Turković,</w:t>
      </w:r>
      <w:r w:rsidRPr="0070292F">
        <w:rPr>
          <w:i/>
          <w:lang w:val="fr-FR"/>
        </w:rPr>
        <w:br/>
      </w:r>
      <w:r w:rsidRPr="0070292F">
        <w:rPr>
          <w:lang w:val="fr-FR"/>
        </w:rPr>
        <w:tab/>
        <w:t>Dmitry Dedov,</w:t>
      </w:r>
      <w:r w:rsidRPr="0070292F">
        <w:rPr>
          <w:i/>
          <w:lang w:val="fr-FR"/>
        </w:rPr>
        <w:br/>
      </w:r>
      <w:r w:rsidRPr="0070292F">
        <w:rPr>
          <w:lang w:val="fr-FR"/>
        </w:rPr>
        <w:tab/>
        <w:t>Egidijus Kūris,</w:t>
      </w:r>
      <w:r w:rsidRPr="0070292F">
        <w:rPr>
          <w:i/>
          <w:lang w:val="fr-FR"/>
        </w:rPr>
        <w:br/>
      </w:r>
      <w:r w:rsidRPr="0070292F">
        <w:rPr>
          <w:lang w:val="fr-FR"/>
        </w:rPr>
        <w:tab/>
        <w:t>Robert Spano,</w:t>
      </w:r>
      <w:r w:rsidRPr="0070292F">
        <w:rPr>
          <w:i/>
          <w:lang w:val="fr-FR"/>
        </w:rPr>
        <w:br/>
      </w:r>
      <w:r w:rsidRPr="0070292F">
        <w:rPr>
          <w:lang w:val="fr-FR"/>
        </w:rPr>
        <w:tab/>
        <w:t>Jon Fridrik Kjølbro,</w:t>
      </w:r>
      <w:r w:rsidRPr="0070292F">
        <w:rPr>
          <w:i/>
          <w:lang w:val="fr-FR"/>
        </w:rPr>
        <w:t xml:space="preserve"> juges</w:t>
      </w:r>
      <w:r w:rsidRPr="0070292F">
        <w:rPr>
          <w:lang w:val="fr-FR"/>
        </w:rPr>
        <w:t>,</w:t>
      </w:r>
      <w:r w:rsidRPr="0070292F">
        <w:rPr>
          <w:i/>
          <w:lang w:val="fr-FR"/>
        </w:rPr>
        <w:br/>
      </w:r>
      <w:r w:rsidR="00E77CB3" w:rsidRPr="0070292F">
        <w:rPr>
          <w:lang w:val="fr-FR"/>
        </w:rPr>
        <w:t xml:space="preserve">et de </w:t>
      </w:r>
      <w:r w:rsidR="004405A5" w:rsidRPr="0070292F">
        <w:rPr>
          <w:lang w:val="fr-FR"/>
        </w:rPr>
        <w:t>Johan Callewaert</w:t>
      </w:r>
      <w:r w:rsidR="00E77CB3" w:rsidRPr="0070292F">
        <w:rPr>
          <w:lang w:val="fr-FR"/>
        </w:rPr>
        <w:t xml:space="preserve">, </w:t>
      </w:r>
      <w:r w:rsidR="004405A5" w:rsidRPr="0070292F">
        <w:rPr>
          <w:i/>
          <w:iCs/>
          <w:lang w:val="fr-FR"/>
        </w:rPr>
        <w:t>greffier adjoint de la Grande Chambre</w:t>
      </w:r>
      <w:r w:rsidR="00E77CB3" w:rsidRPr="0070292F">
        <w:rPr>
          <w:lang w:val="fr-FR"/>
        </w:rPr>
        <w:t>,</w:t>
      </w:r>
    </w:p>
    <w:p w:rsidR="00E77CB3" w:rsidRPr="0070292F" w:rsidRDefault="00E77CB3" w:rsidP="0070292F">
      <w:pPr>
        <w:pStyle w:val="ECHRPara"/>
        <w:rPr>
          <w:lang w:val="fr-FR"/>
        </w:rPr>
      </w:pPr>
      <w:r w:rsidRPr="0070292F">
        <w:rPr>
          <w:lang w:val="fr-FR"/>
        </w:rPr>
        <w:t>Après en avoir délibéré en chambre du conseil le</w:t>
      </w:r>
      <w:r w:rsidR="0031458D" w:rsidRPr="0070292F">
        <w:rPr>
          <w:lang w:val="fr-FR"/>
        </w:rPr>
        <w:t>s</w:t>
      </w:r>
      <w:r w:rsidRPr="0070292F">
        <w:rPr>
          <w:lang w:val="fr-FR"/>
        </w:rPr>
        <w:t xml:space="preserve"> </w:t>
      </w:r>
      <w:r w:rsidR="0031458D" w:rsidRPr="0070292F">
        <w:rPr>
          <w:lang w:val="fr-FR"/>
        </w:rPr>
        <w:t>20 mai 2015, 24 août 2016 et 23 novembre 2016,</w:t>
      </w:r>
    </w:p>
    <w:p w:rsidR="00E77CB3" w:rsidRPr="0070292F" w:rsidRDefault="00E77CB3" w:rsidP="0070292F">
      <w:pPr>
        <w:pStyle w:val="ECHRPara"/>
        <w:rPr>
          <w:lang w:val="fr-FR"/>
        </w:rPr>
      </w:pPr>
      <w:r w:rsidRPr="0070292F">
        <w:rPr>
          <w:lang w:val="fr-FR"/>
        </w:rPr>
        <w:t>Rend l</w:t>
      </w:r>
      <w:r w:rsidR="0070292F" w:rsidRPr="0070292F">
        <w:rPr>
          <w:lang w:val="fr-FR"/>
        </w:rPr>
        <w:t>’</w:t>
      </w:r>
      <w:r w:rsidRPr="0070292F">
        <w:rPr>
          <w:lang w:val="fr-FR"/>
        </w:rPr>
        <w:t xml:space="preserve">arrêt que voici, adopté à cette </w:t>
      </w:r>
      <w:r w:rsidR="0031458D" w:rsidRPr="0070292F">
        <w:rPr>
          <w:lang w:val="fr-FR"/>
        </w:rPr>
        <w:t xml:space="preserve">dernière </w:t>
      </w:r>
      <w:r w:rsidRPr="0070292F">
        <w:rPr>
          <w:lang w:val="fr-FR"/>
        </w:rPr>
        <w:t>date :</w:t>
      </w:r>
    </w:p>
    <w:p w:rsidR="00E77CB3" w:rsidRPr="0070292F" w:rsidRDefault="00E77CB3" w:rsidP="0070292F">
      <w:pPr>
        <w:pStyle w:val="ECHRTitle1"/>
        <w:rPr>
          <w:lang w:val="fr-FR"/>
        </w:rPr>
      </w:pPr>
      <w:bookmarkStart w:id="5" w:name="_Toc475451833"/>
      <w:r w:rsidRPr="0070292F">
        <w:rPr>
          <w:lang w:val="fr-FR"/>
        </w:rPr>
        <w:t>PROCÉDURE</w:t>
      </w:r>
      <w:bookmarkEnd w:id="5"/>
    </w:p>
    <w:p w:rsidR="00E77CB3" w:rsidRPr="0070292F" w:rsidRDefault="00C83AA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w:t>
      </w:r>
      <w:r w:rsidRPr="0070292F">
        <w:rPr>
          <w:lang w:val="fr-FR"/>
        </w:rPr>
        <w:fldChar w:fldCharType="end"/>
      </w:r>
      <w:r w:rsidRPr="0070292F">
        <w:rPr>
          <w:lang w:val="fr-FR"/>
        </w:rPr>
        <w:t>.  </w:t>
      </w:r>
      <w:r w:rsidR="00E77CB3" w:rsidRPr="0070292F">
        <w:rPr>
          <w:lang w:val="fr-FR"/>
        </w:rPr>
        <w:t>À l</w:t>
      </w:r>
      <w:r w:rsidR="0070292F" w:rsidRPr="0070292F">
        <w:rPr>
          <w:lang w:val="fr-FR"/>
        </w:rPr>
        <w:t>’</w:t>
      </w:r>
      <w:r w:rsidR="00E77CB3" w:rsidRPr="0070292F">
        <w:rPr>
          <w:lang w:val="fr-FR"/>
        </w:rPr>
        <w:t>origine de l</w:t>
      </w:r>
      <w:r w:rsidR="0070292F" w:rsidRPr="0070292F">
        <w:rPr>
          <w:lang w:val="fr-FR"/>
        </w:rPr>
        <w:t>’</w:t>
      </w:r>
      <w:r w:rsidR="00E77CB3" w:rsidRPr="0070292F">
        <w:rPr>
          <w:lang w:val="fr-FR"/>
        </w:rPr>
        <w:t xml:space="preserve">affaire </w:t>
      </w:r>
      <w:r w:rsidR="004405A5" w:rsidRPr="0070292F">
        <w:rPr>
          <w:lang w:val="fr-FR"/>
        </w:rPr>
        <w:t>se trouve une requête (n</w:t>
      </w:r>
      <w:r w:rsidR="008C1E94" w:rsidRPr="0070292F">
        <w:rPr>
          <w:vertAlign w:val="superscript"/>
          <w:lang w:val="fr-FR"/>
        </w:rPr>
        <w:t>o</w:t>
      </w:r>
      <w:r w:rsidR="00895FB4" w:rsidRPr="0070292F">
        <w:rPr>
          <w:vertAlign w:val="superscript"/>
          <w:lang w:val="fr-FR"/>
        </w:rPr>
        <w:t xml:space="preserve"> </w:t>
      </w:r>
      <w:r w:rsidR="004405A5" w:rsidRPr="0070292F">
        <w:rPr>
          <w:lang w:val="fr-FR"/>
        </w:rPr>
        <w:t>43395/09) dirigée</w:t>
      </w:r>
      <w:r w:rsidR="00E77CB3" w:rsidRPr="0070292F">
        <w:rPr>
          <w:lang w:val="fr-FR"/>
        </w:rPr>
        <w:t xml:space="preserve"> contre </w:t>
      </w:r>
      <w:r w:rsidR="004405A5" w:rsidRPr="0070292F">
        <w:rPr>
          <w:lang w:val="fr-FR"/>
        </w:rPr>
        <w:t>la République italienne</w:t>
      </w:r>
      <w:r w:rsidR="00E77CB3" w:rsidRPr="0070292F">
        <w:rPr>
          <w:lang w:val="fr-FR"/>
        </w:rPr>
        <w:t xml:space="preserve"> et dont </w:t>
      </w:r>
      <w:r w:rsidR="004405A5" w:rsidRPr="0070292F">
        <w:rPr>
          <w:lang w:val="fr-FR"/>
        </w:rPr>
        <w:t>un ressortissant de cet État</w:t>
      </w:r>
      <w:r w:rsidR="00630923" w:rsidRPr="0070292F">
        <w:rPr>
          <w:lang w:val="fr-FR"/>
        </w:rPr>
        <w:t>,</w:t>
      </w:r>
      <w:r w:rsidR="004405A5" w:rsidRPr="0070292F">
        <w:rPr>
          <w:lang w:val="fr-FR"/>
        </w:rPr>
        <w:t xml:space="preserve"> M.</w:t>
      </w:r>
      <w:r w:rsidR="001C6B54" w:rsidRPr="0070292F">
        <w:rPr>
          <w:lang w:val="fr-FR"/>
        </w:rPr>
        <w:t> </w:t>
      </w:r>
      <w:r w:rsidR="004405A5" w:rsidRPr="0070292F">
        <w:rPr>
          <w:lang w:val="fr-FR"/>
        </w:rPr>
        <w:t>Angelo de Tommaso (« le requérant »), a saisi la Cour le 28 juillet 2009</w:t>
      </w:r>
      <w:r w:rsidR="00E77CB3" w:rsidRPr="0070292F">
        <w:rPr>
          <w:lang w:val="fr-FR"/>
        </w:rPr>
        <w:t xml:space="preserve"> en vertu de </w:t>
      </w:r>
      <w:r w:rsidR="004405A5" w:rsidRPr="0070292F">
        <w:rPr>
          <w:lang w:val="fr-FR"/>
        </w:rPr>
        <w:t>l</w:t>
      </w:r>
      <w:r w:rsidR="0070292F" w:rsidRPr="0070292F">
        <w:rPr>
          <w:lang w:val="fr-FR"/>
        </w:rPr>
        <w:t>’</w:t>
      </w:r>
      <w:r w:rsidR="004405A5" w:rsidRPr="0070292F">
        <w:rPr>
          <w:lang w:val="fr-FR"/>
        </w:rPr>
        <w:t>article 34</w:t>
      </w:r>
      <w:r w:rsidR="00E77CB3" w:rsidRPr="0070292F">
        <w:rPr>
          <w:lang w:val="fr-FR"/>
        </w:rPr>
        <w:t xml:space="preserve"> de la Convention de sauvegarde des droits de l</w:t>
      </w:r>
      <w:r w:rsidR="0070292F" w:rsidRPr="0070292F">
        <w:rPr>
          <w:lang w:val="fr-FR"/>
        </w:rPr>
        <w:t>’</w:t>
      </w:r>
      <w:r w:rsidR="00E77CB3" w:rsidRPr="0070292F">
        <w:rPr>
          <w:lang w:val="fr-FR"/>
        </w:rPr>
        <w:t>homme et des libertés fondamentales (« la Convention »).</w:t>
      </w:r>
    </w:p>
    <w:p w:rsidR="004405A5" w:rsidRPr="0070292F" w:rsidRDefault="004405A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2</w:t>
      </w:r>
      <w:r w:rsidRPr="0070292F">
        <w:rPr>
          <w:lang w:val="fr-FR"/>
        </w:rPr>
        <w:fldChar w:fldCharType="end"/>
      </w:r>
      <w:r w:rsidR="00E77CB3" w:rsidRPr="0070292F">
        <w:rPr>
          <w:lang w:val="fr-FR"/>
        </w:rPr>
        <w:t>.  </w:t>
      </w:r>
      <w:r w:rsidRPr="0070292F">
        <w:rPr>
          <w:lang w:val="fr-FR"/>
        </w:rPr>
        <w:t>Le requérant a été représenté par M</w:t>
      </w:r>
      <w:r w:rsidRPr="0070292F">
        <w:rPr>
          <w:vertAlign w:val="superscript"/>
          <w:lang w:val="fr-FR"/>
        </w:rPr>
        <w:t>e</w:t>
      </w:r>
      <w:r w:rsidRPr="0070292F">
        <w:rPr>
          <w:lang w:val="fr-FR"/>
        </w:rPr>
        <w:t> </w:t>
      </w:r>
      <w:r w:rsidR="008038C6" w:rsidRPr="0070292F">
        <w:rPr>
          <w:lang w:val="fr-FR"/>
        </w:rPr>
        <w:t>D</w:t>
      </w:r>
      <w:r w:rsidR="00FC5DC6" w:rsidRPr="0070292F">
        <w:rPr>
          <w:lang w:val="fr-FR"/>
        </w:rPr>
        <w:t>.</w:t>
      </w:r>
      <w:r w:rsidR="00937C16" w:rsidRPr="0070292F">
        <w:rPr>
          <w:lang w:val="fr-FR"/>
        </w:rPr>
        <w:t xml:space="preserve"> </w:t>
      </w:r>
      <w:r w:rsidRPr="0070292F">
        <w:rPr>
          <w:lang w:val="fr-FR"/>
        </w:rPr>
        <w:t>Conticchio, avocat à Casamassima</w:t>
      </w:r>
      <w:r w:rsidR="0002688E" w:rsidRPr="0070292F">
        <w:rPr>
          <w:lang w:val="fr-FR"/>
        </w:rPr>
        <w:t>.</w:t>
      </w:r>
      <w:r w:rsidR="00E77CB3" w:rsidRPr="0070292F">
        <w:rPr>
          <w:lang w:val="fr-FR"/>
        </w:rPr>
        <w:t xml:space="preserve"> </w:t>
      </w:r>
      <w:r w:rsidRPr="0070292F">
        <w:rPr>
          <w:lang w:val="fr-FR"/>
        </w:rPr>
        <w:t>Le gouvernement italien (« le Gouvernement ») a été représenté par ses co-agents, M</w:t>
      </w:r>
      <w:r w:rsidRPr="0070292F">
        <w:rPr>
          <w:vertAlign w:val="superscript"/>
          <w:lang w:val="fr-FR"/>
        </w:rPr>
        <w:t>me</w:t>
      </w:r>
      <w:r w:rsidR="00E474A3" w:rsidRPr="0070292F">
        <w:rPr>
          <w:vertAlign w:val="superscript"/>
          <w:lang w:val="fr-FR"/>
        </w:rPr>
        <w:t xml:space="preserve"> </w:t>
      </w:r>
      <w:r w:rsidRPr="0070292F">
        <w:rPr>
          <w:lang w:val="fr-FR"/>
        </w:rPr>
        <w:t>P</w:t>
      </w:r>
      <w:r w:rsidR="00FC5DC6" w:rsidRPr="0070292F">
        <w:rPr>
          <w:lang w:val="fr-FR"/>
        </w:rPr>
        <w:t>.</w:t>
      </w:r>
      <w:r w:rsidRPr="0070292F">
        <w:rPr>
          <w:lang w:val="fr-FR"/>
        </w:rPr>
        <w:t xml:space="preserve"> Accardo et M. G</w:t>
      </w:r>
      <w:r w:rsidR="00FC5DC6" w:rsidRPr="0070292F">
        <w:rPr>
          <w:lang w:val="fr-FR"/>
        </w:rPr>
        <w:t>.</w:t>
      </w:r>
      <w:r w:rsidRPr="0070292F">
        <w:rPr>
          <w:lang w:val="fr-FR"/>
        </w:rPr>
        <w:t xml:space="preserve"> Mauro Pellegrini.</w:t>
      </w:r>
    </w:p>
    <w:p w:rsidR="0070292F" w:rsidRPr="0070292F" w:rsidRDefault="004405A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3</w:t>
      </w:r>
      <w:r w:rsidRPr="0070292F">
        <w:rPr>
          <w:lang w:val="fr-FR"/>
        </w:rPr>
        <w:fldChar w:fldCharType="end"/>
      </w:r>
      <w:r w:rsidRPr="0070292F">
        <w:rPr>
          <w:lang w:val="fr-FR"/>
        </w:rPr>
        <w:t xml:space="preserve">.  Le requérant </w:t>
      </w:r>
      <w:r w:rsidR="008038C6" w:rsidRPr="0070292F">
        <w:rPr>
          <w:lang w:val="fr-FR"/>
        </w:rPr>
        <w:t xml:space="preserve">alléguait </w:t>
      </w:r>
      <w:r w:rsidRPr="0070292F">
        <w:rPr>
          <w:lang w:val="fr-FR"/>
        </w:rPr>
        <w:t xml:space="preserve">en </w:t>
      </w:r>
      <w:r w:rsidR="00761E63" w:rsidRPr="0070292F">
        <w:rPr>
          <w:lang w:val="fr-FR"/>
        </w:rPr>
        <w:t xml:space="preserve">particulier que </w:t>
      </w:r>
      <w:r w:rsidR="001631EE" w:rsidRPr="0070292F">
        <w:rPr>
          <w:lang w:val="fr-FR"/>
        </w:rPr>
        <w:t xml:space="preserve">les mesures de prévention auxquelles il </w:t>
      </w:r>
      <w:r w:rsidR="00630923" w:rsidRPr="0070292F">
        <w:rPr>
          <w:lang w:val="fr-FR"/>
        </w:rPr>
        <w:t xml:space="preserve">avait </w:t>
      </w:r>
      <w:r w:rsidR="001631EE" w:rsidRPr="0070292F">
        <w:rPr>
          <w:lang w:val="fr-FR"/>
        </w:rPr>
        <w:t>été soumis</w:t>
      </w:r>
      <w:r w:rsidR="00761E63" w:rsidRPr="0070292F">
        <w:rPr>
          <w:lang w:val="fr-FR"/>
        </w:rPr>
        <w:t xml:space="preserve"> </w:t>
      </w:r>
      <w:r w:rsidR="001631EE" w:rsidRPr="0070292F">
        <w:rPr>
          <w:lang w:val="fr-FR"/>
        </w:rPr>
        <w:t xml:space="preserve">pendant deux ans étaient </w:t>
      </w:r>
      <w:r w:rsidR="00761E63" w:rsidRPr="0070292F">
        <w:rPr>
          <w:lang w:val="fr-FR"/>
        </w:rPr>
        <w:t>contraire</w:t>
      </w:r>
      <w:r w:rsidR="008038C6" w:rsidRPr="0070292F">
        <w:rPr>
          <w:lang w:val="fr-FR"/>
        </w:rPr>
        <w:t>s</w:t>
      </w:r>
      <w:r w:rsidR="00761E63" w:rsidRPr="0070292F">
        <w:rPr>
          <w:lang w:val="fr-FR"/>
        </w:rPr>
        <w:t xml:space="preserve"> aux articles</w:t>
      </w:r>
      <w:r w:rsidR="0070292F" w:rsidRPr="0070292F">
        <w:rPr>
          <w:lang w:val="fr-FR"/>
        </w:rPr>
        <w:t> </w:t>
      </w:r>
      <w:r w:rsidR="00555C32" w:rsidRPr="0070292F">
        <w:rPr>
          <w:lang w:val="fr-FR"/>
        </w:rPr>
        <w:t>5, 6</w:t>
      </w:r>
      <w:r w:rsidR="00630923" w:rsidRPr="0070292F">
        <w:rPr>
          <w:lang w:val="fr-FR"/>
        </w:rPr>
        <w:t xml:space="preserve"> et</w:t>
      </w:r>
      <w:r w:rsidR="00555C32" w:rsidRPr="0070292F">
        <w:rPr>
          <w:lang w:val="fr-FR"/>
        </w:rPr>
        <w:t xml:space="preserve"> 13 </w:t>
      </w:r>
      <w:r w:rsidR="008038C6" w:rsidRPr="0070292F">
        <w:rPr>
          <w:lang w:val="fr-FR"/>
        </w:rPr>
        <w:t xml:space="preserve">de la Convention </w:t>
      </w:r>
      <w:r w:rsidR="00555C32" w:rsidRPr="0070292F">
        <w:rPr>
          <w:lang w:val="fr-FR"/>
        </w:rPr>
        <w:t xml:space="preserve">et </w:t>
      </w:r>
      <w:r w:rsidR="00630923" w:rsidRPr="0070292F">
        <w:rPr>
          <w:lang w:val="fr-FR"/>
        </w:rPr>
        <w:t>à l</w:t>
      </w:r>
      <w:r w:rsidR="0070292F" w:rsidRPr="0070292F">
        <w:rPr>
          <w:lang w:val="fr-FR"/>
        </w:rPr>
        <w:t>’</w:t>
      </w:r>
      <w:r w:rsidR="00630923" w:rsidRPr="0070292F">
        <w:rPr>
          <w:lang w:val="fr-FR"/>
        </w:rPr>
        <w:t xml:space="preserve">article </w:t>
      </w:r>
      <w:r w:rsidR="00555C32" w:rsidRPr="0070292F">
        <w:rPr>
          <w:lang w:val="fr-FR"/>
        </w:rPr>
        <w:t>2 du Protocole n</w:t>
      </w:r>
      <w:r w:rsidR="008C1E94" w:rsidRPr="0070292F">
        <w:rPr>
          <w:vertAlign w:val="superscript"/>
          <w:lang w:val="fr-FR"/>
        </w:rPr>
        <w:t>o</w:t>
      </w:r>
      <w:r w:rsidR="00B247F1" w:rsidRPr="0070292F">
        <w:rPr>
          <w:lang w:val="fr-FR"/>
        </w:rPr>
        <w:t xml:space="preserve"> </w:t>
      </w:r>
      <w:r w:rsidR="00555C32" w:rsidRPr="0070292F">
        <w:rPr>
          <w:lang w:val="fr-FR"/>
        </w:rPr>
        <w:t>4.</w:t>
      </w:r>
    </w:p>
    <w:p w:rsidR="004405A5" w:rsidRPr="0070292F" w:rsidRDefault="004405A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4</w:t>
      </w:r>
      <w:r w:rsidRPr="0070292F">
        <w:rPr>
          <w:lang w:val="fr-FR"/>
        </w:rPr>
        <w:fldChar w:fldCharType="end"/>
      </w:r>
      <w:r w:rsidRPr="0070292F">
        <w:rPr>
          <w:lang w:val="fr-FR"/>
        </w:rPr>
        <w:t xml:space="preserve">.  La requête a été attribuée à la deuxième section de la </w:t>
      </w:r>
      <w:r w:rsidR="0070292F" w:rsidRPr="0070292F">
        <w:rPr>
          <w:lang w:val="fr-FR"/>
        </w:rPr>
        <w:t xml:space="preserve">Cour (article 52 </w:t>
      </w:r>
      <w:r w:rsidRPr="0070292F">
        <w:rPr>
          <w:lang w:val="fr-FR"/>
        </w:rPr>
        <w:t>§ 1 du règlement de la Cour).</w:t>
      </w:r>
    </w:p>
    <w:p w:rsidR="004405A5" w:rsidRPr="0070292F" w:rsidRDefault="004405A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5</w:t>
      </w:r>
      <w:r w:rsidRPr="0070292F">
        <w:rPr>
          <w:lang w:val="fr-FR"/>
        </w:rPr>
        <w:fldChar w:fldCharType="end"/>
      </w:r>
      <w:r w:rsidRPr="0070292F">
        <w:rPr>
          <w:lang w:val="fr-FR"/>
        </w:rPr>
        <w:t xml:space="preserve">.  Le </w:t>
      </w:r>
      <w:r w:rsidRPr="0070292F">
        <w:rPr>
          <w:szCs w:val="24"/>
          <w:lang w:val="fr-FR"/>
        </w:rPr>
        <w:t>18 octobre 2011</w:t>
      </w:r>
      <w:r w:rsidRPr="0070292F">
        <w:rPr>
          <w:lang w:val="fr-FR"/>
        </w:rPr>
        <w:t>, la requête a été communiquée au Gouvernement.</w:t>
      </w:r>
    </w:p>
    <w:p w:rsidR="004405A5" w:rsidRPr="0070292F" w:rsidRDefault="004405A5" w:rsidP="0070292F">
      <w:pPr>
        <w:pStyle w:val="ECHRPara"/>
        <w:rPr>
          <w:lang w:val="fr-FR"/>
        </w:rPr>
      </w:pPr>
      <w:r w:rsidRPr="0070292F">
        <w:rPr>
          <w:lang w:val="fr-FR"/>
        </w:rPr>
        <w:lastRenderedPageBreak/>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6</w:t>
      </w:r>
      <w:r w:rsidRPr="0070292F">
        <w:rPr>
          <w:lang w:val="fr-FR"/>
        </w:rPr>
        <w:fldChar w:fldCharType="end"/>
      </w:r>
      <w:r w:rsidRPr="0070292F">
        <w:rPr>
          <w:lang w:val="fr-FR"/>
        </w:rPr>
        <w:t xml:space="preserve">.  Le </w:t>
      </w:r>
      <w:r w:rsidR="00761E63" w:rsidRPr="0070292F">
        <w:rPr>
          <w:lang w:val="fr-FR"/>
        </w:rPr>
        <w:t>25</w:t>
      </w:r>
      <w:r w:rsidRPr="0070292F">
        <w:rPr>
          <w:lang w:val="fr-FR"/>
        </w:rPr>
        <w:t xml:space="preserve"> </w:t>
      </w:r>
      <w:r w:rsidR="00761E63" w:rsidRPr="0070292F">
        <w:rPr>
          <w:lang w:val="fr-FR"/>
        </w:rPr>
        <w:t>novembre</w:t>
      </w:r>
      <w:r w:rsidRPr="0070292F">
        <w:rPr>
          <w:lang w:val="fr-FR"/>
        </w:rPr>
        <w:t xml:space="preserve"> 2014, une chambre de la deuxième section comp</w:t>
      </w:r>
      <w:r w:rsidR="008038C6" w:rsidRPr="0070292F">
        <w:rPr>
          <w:lang w:val="fr-FR"/>
        </w:rPr>
        <w:t>osée de</w:t>
      </w:r>
      <w:r w:rsidR="00BD17B1" w:rsidRPr="0070292F">
        <w:rPr>
          <w:rFonts w:ascii="Times New Roman" w:eastAsiaTheme="minorHAnsi" w:hAnsi="Times New Roman" w:cs="Times New Roman"/>
          <w:color w:val="000000"/>
          <w:szCs w:val="24"/>
          <w:lang w:val="fr-FR"/>
        </w:rPr>
        <w:t xml:space="preserve"> </w:t>
      </w:r>
      <w:r w:rsidR="00BD17B1" w:rsidRPr="0070292F">
        <w:rPr>
          <w:lang w:val="fr-FR"/>
        </w:rPr>
        <w:t>Işıl Karakaş,</w:t>
      </w:r>
      <w:r w:rsidR="00BD17B1" w:rsidRPr="0070292F">
        <w:rPr>
          <w:i/>
          <w:iCs/>
          <w:lang w:val="fr-FR"/>
        </w:rPr>
        <w:t xml:space="preserve"> </w:t>
      </w:r>
      <w:r w:rsidR="00BD17B1" w:rsidRPr="0070292F">
        <w:rPr>
          <w:iCs/>
          <w:lang w:val="fr-FR"/>
        </w:rPr>
        <w:t>présidente,</w:t>
      </w:r>
      <w:r w:rsidR="00BD17B1" w:rsidRPr="0070292F">
        <w:rPr>
          <w:i/>
          <w:iCs/>
          <w:lang w:val="fr-FR"/>
        </w:rPr>
        <w:t xml:space="preserve"> </w:t>
      </w:r>
      <w:r w:rsidR="00BD17B1" w:rsidRPr="0070292F">
        <w:rPr>
          <w:lang w:val="fr-FR"/>
        </w:rPr>
        <w:t>Guido Raimondi, András Sajó, Nebojša Vučinić, Helen Keller, Egidijus Kūris, Robert Spano,</w:t>
      </w:r>
      <w:r w:rsidR="00BD17B1" w:rsidRPr="0070292F">
        <w:rPr>
          <w:i/>
          <w:iCs/>
          <w:lang w:val="fr-FR"/>
        </w:rPr>
        <w:t xml:space="preserve"> </w:t>
      </w:r>
      <w:r w:rsidRPr="0070292F">
        <w:rPr>
          <w:lang w:val="fr-FR"/>
        </w:rPr>
        <w:t>juges,</w:t>
      </w:r>
      <w:r w:rsidRPr="0070292F">
        <w:rPr>
          <w:i/>
          <w:lang w:val="fr-FR"/>
        </w:rPr>
        <w:t xml:space="preserve"> </w:t>
      </w:r>
      <w:r w:rsidRPr="0070292F">
        <w:rPr>
          <w:lang w:val="fr-FR"/>
        </w:rPr>
        <w:t>ainsi que de Stanley Naismith, greffier de section, s</w:t>
      </w:r>
      <w:r w:rsidR="0070292F" w:rsidRPr="0070292F">
        <w:rPr>
          <w:lang w:val="fr-FR"/>
        </w:rPr>
        <w:t>’</w:t>
      </w:r>
      <w:r w:rsidRPr="0070292F">
        <w:rPr>
          <w:lang w:val="fr-FR"/>
        </w:rPr>
        <w:t>est dessaisie au profit de la Grande Chambre, aucune des parties ne s</w:t>
      </w:r>
      <w:r w:rsidR="0070292F" w:rsidRPr="0070292F">
        <w:rPr>
          <w:lang w:val="fr-FR"/>
        </w:rPr>
        <w:t>’</w:t>
      </w:r>
      <w:r w:rsidRPr="0070292F">
        <w:rPr>
          <w:lang w:val="fr-FR"/>
        </w:rPr>
        <w:t>y étant opposée (article</w:t>
      </w:r>
      <w:r w:rsidR="00630923" w:rsidRPr="0070292F">
        <w:rPr>
          <w:lang w:val="fr-FR"/>
        </w:rPr>
        <w:t>s</w:t>
      </w:r>
      <w:r w:rsidRPr="0070292F">
        <w:rPr>
          <w:lang w:val="fr-FR"/>
        </w:rPr>
        <w:t xml:space="preserve"> 30 de la Convention et 72 du règlement).</w:t>
      </w:r>
    </w:p>
    <w:p w:rsidR="004405A5" w:rsidRPr="0070292F" w:rsidRDefault="004405A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7</w:t>
      </w:r>
      <w:r w:rsidRPr="0070292F">
        <w:rPr>
          <w:lang w:val="fr-FR"/>
        </w:rPr>
        <w:fldChar w:fldCharType="end"/>
      </w:r>
      <w:r w:rsidRPr="0070292F">
        <w:rPr>
          <w:lang w:val="fr-FR"/>
        </w:rPr>
        <w:t>.  La composition de la Grande Chambre a été arrêtée conformément à l</w:t>
      </w:r>
      <w:r w:rsidR="0070292F" w:rsidRPr="0070292F">
        <w:rPr>
          <w:lang w:val="fr-FR"/>
        </w:rPr>
        <w:t>’</w:t>
      </w:r>
      <w:r w:rsidRPr="0070292F">
        <w:rPr>
          <w:lang w:val="fr-FR"/>
        </w:rPr>
        <w:t>article 26 §§ 4 et 5 de la Convention et à l</w:t>
      </w:r>
      <w:r w:rsidR="0070292F" w:rsidRPr="0070292F">
        <w:rPr>
          <w:lang w:val="fr-FR"/>
        </w:rPr>
        <w:t>’</w:t>
      </w:r>
      <w:r w:rsidRPr="0070292F">
        <w:rPr>
          <w:lang w:val="fr-FR"/>
        </w:rPr>
        <w:t>article 24 du règlement.</w:t>
      </w:r>
    </w:p>
    <w:p w:rsidR="004405A5" w:rsidRPr="0070292F" w:rsidRDefault="004405A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8</w:t>
      </w:r>
      <w:r w:rsidRPr="0070292F">
        <w:rPr>
          <w:lang w:val="fr-FR"/>
        </w:rPr>
        <w:fldChar w:fldCharType="end"/>
      </w:r>
      <w:r w:rsidRPr="0070292F">
        <w:rPr>
          <w:lang w:val="fr-FR"/>
        </w:rPr>
        <w:t>.  Tant l</w:t>
      </w:r>
      <w:r w:rsidR="008038C6" w:rsidRPr="0070292F">
        <w:rPr>
          <w:lang w:val="fr-FR"/>
        </w:rPr>
        <w:t>e requérant</w:t>
      </w:r>
      <w:r w:rsidRPr="0070292F">
        <w:rPr>
          <w:lang w:val="fr-FR"/>
        </w:rPr>
        <w:t xml:space="preserve"> que le Gouvernement ont déposé un mémoire sur la recevabilité et sur le fond de l</w:t>
      </w:r>
      <w:r w:rsidR="0070292F" w:rsidRPr="0070292F">
        <w:rPr>
          <w:lang w:val="fr-FR"/>
        </w:rPr>
        <w:t>’</w:t>
      </w:r>
      <w:r w:rsidRPr="0070292F">
        <w:rPr>
          <w:lang w:val="fr-FR"/>
        </w:rPr>
        <w:t>affaire.</w:t>
      </w:r>
    </w:p>
    <w:p w:rsidR="004405A5" w:rsidRPr="0070292F" w:rsidRDefault="004405A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9</w:t>
      </w:r>
      <w:r w:rsidRPr="0070292F">
        <w:rPr>
          <w:lang w:val="fr-FR"/>
        </w:rPr>
        <w:fldChar w:fldCharType="end"/>
      </w:r>
      <w:r w:rsidRPr="0070292F">
        <w:rPr>
          <w:lang w:val="fr-FR"/>
        </w:rPr>
        <w:t>.  Une audience s</w:t>
      </w:r>
      <w:r w:rsidR="0070292F" w:rsidRPr="0070292F">
        <w:rPr>
          <w:lang w:val="fr-FR"/>
        </w:rPr>
        <w:t>’</w:t>
      </w:r>
      <w:r w:rsidRPr="0070292F">
        <w:rPr>
          <w:lang w:val="fr-FR"/>
        </w:rPr>
        <w:t>est déroulée en public au Palais des droits de l</w:t>
      </w:r>
      <w:r w:rsidR="0070292F" w:rsidRPr="0070292F">
        <w:rPr>
          <w:lang w:val="fr-FR"/>
        </w:rPr>
        <w:t>’</w:t>
      </w:r>
      <w:r w:rsidRPr="0070292F">
        <w:rPr>
          <w:lang w:val="fr-FR"/>
        </w:rPr>
        <w:t xml:space="preserve">homme, à Strasbourg, le </w:t>
      </w:r>
      <w:r w:rsidRPr="0070292F">
        <w:rPr>
          <w:szCs w:val="24"/>
          <w:lang w:val="fr-FR"/>
        </w:rPr>
        <w:t>20 mai 2015</w:t>
      </w:r>
      <w:r w:rsidRPr="0070292F">
        <w:rPr>
          <w:lang w:val="fr-FR"/>
        </w:rPr>
        <w:t xml:space="preserve"> (article 59 § 3 du règlement).</w:t>
      </w:r>
    </w:p>
    <w:p w:rsidR="004405A5" w:rsidRPr="0070292F" w:rsidRDefault="004405A5" w:rsidP="0070292F">
      <w:pPr>
        <w:pStyle w:val="ECHRPara"/>
        <w:rPr>
          <w:lang w:val="fr-FR"/>
        </w:rPr>
      </w:pPr>
      <w:r w:rsidRPr="0070292F">
        <w:rPr>
          <w:lang w:val="fr-FR"/>
        </w:rPr>
        <w:t>Ont comparu :</w:t>
      </w:r>
    </w:p>
    <w:p w:rsidR="00761E63" w:rsidRPr="0070292F" w:rsidRDefault="00761E63" w:rsidP="0070292F">
      <w:pPr>
        <w:pStyle w:val="ECHRPara"/>
        <w:rPr>
          <w:lang w:val="fr-FR"/>
        </w:rPr>
      </w:pPr>
    </w:p>
    <w:p w:rsidR="004405A5" w:rsidRPr="0070292F" w:rsidRDefault="004405A5" w:rsidP="0070292F">
      <w:pPr>
        <w:pStyle w:val="ECHRPara"/>
        <w:rPr>
          <w:rFonts w:ascii="Times New Roman" w:eastAsia="Times New Roman" w:hAnsi="Times New Roman" w:cs="Times New Roman"/>
          <w:i/>
          <w:lang w:val="fr-FR"/>
        </w:rPr>
      </w:pPr>
      <w:r w:rsidRPr="0070292F">
        <w:rPr>
          <w:rFonts w:ascii="Times New Roman" w:eastAsia="Times New Roman" w:hAnsi="Times New Roman" w:cs="Times New Roman"/>
          <w:lang w:val="fr-FR"/>
        </w:rPr>
        <w:t>–  </w:t>
      </w:r>
      <w:r w:rsidRPr="0070292F">
        <w:rPr>
          <w:rFonts w:ascii="Times New Roman" w:eastAsia="Times New Roman" w:hAnsi="Times New Roman" w:cs="Times New Roman"/>
          <w:i/>
          <w:lang w:val="fr-FR"/>
        </w:rPr>
        <w:t>pour le Gouvernement</w:t>
      </w:r>
    </w:p>
    <w:p w:rsidR="004405A5" w:rsidRPr="0070292F" w:rsidRDefault="004405A5" w:rsidP="0070292F">
      <w:pPr>
        <w:pStyle w:val="JuCourt"/>
        <w:ind w:left="284" w:firstLine="0"/>
        <w:rPr>
          <w:rFonts w:eastAsia="Times New Roman"/>
          <w:lang w:val="it-IT"/>
        </w:rPr>
      </w:pPr>
      <w:r w:rsidRPr="0070292F">
        <w:rPr>
          <w:rFonts w:eastAsia="Times New Roman"/>
          <w:lang w:val="it-IT"/>
        </w:rPr>
        <w:t>M</w:t>
      </w:r>
      <w:r w:rsidRPr="0070292F">
        <w:rPr>
          <w:rFonts w:eastAsia="Times New Roman"/>
          <w:vertAlign w:val="superscript"/>
          <w:lang w:val="it-IT"/>
        </w:rPr>
        <w:t>me</w:t>
      </w:r>
      <w:r w:rsidR="00641DDA" w:rsidRPr="0070292F">
        <w:rPr>
          <w:rFonts w:eastAsia="Times New Roman"/>
          <w:lang w:val="it-IT"/>
        </w:rPr>
        <w:tab/>
      </w:r>
      <w:r w:rsidRPr="0070292F">
        <w:rPr>
          <w:rStyle w:val="JUNAMES"/>
          <w:lang w:val="it-IT"/>
        </w:rPr>
        <w:t xml:space="preserve">P. </w:t>
      </w:r>
      <w:r w:rsidR="00641DDA" w:rsidRPr="0070292F">
        <w:rPr>
          <w:rStyle w:val="JUNAMES"/>
          <w:lang w:val="it-IT"/>
        </w:rPr>
        <w:t>Accardo</w:t>
      </w:r>
      <w:r w:rsidR="00641DDA" w:rsidRPr="0070292F">
        <w:rPr>
          <w:rFonts w:eastAsia="Times New Roman"/>
          <w:lang w:val="it-IT"/>
        </w:rPr>
        <w:tab/>
      </w:r>
      <w:r w:rsidRPr="0070292F">
        <w:rPr>
          <w:rFonts w:eastAsia="Times New Roman"/>
          <w:i/>
          <w:lang w:val="it-IT"/>
        </w:rPr>
        <w:t>co-agent</w:t>
      </w:r>
      <w:r w:rsidR="00641DDA" w:rsidRPr="0070292F">
        <w:rPr>
          <w:rFonts w:eastAsia="Times New Roman"/>
          <w:i/>
          <w:lang w:val="it-IT"/>
        </w:rPr>
        <w:t>,</w:t>
      </w:r>
      <w:r w:rsidR="00641DDA" w:rsidRPr="0070292F">
        <w:rPr>
          <w:rFonts w:eastAsia="Times New Roman"/>
          <w:lang w:val="it-IT"/>
        </w:rPr>
        <w:br/>
        <w:t>M.</w:t>
      </w:r>
      <w:r w:rsidR="00641DDA" w:rsidRPr="0070292F">
        <w:rPr>
          <w:rFonts w:eastAsia="Times New Roman"/>
          <w:lang w:val="it-IT"/>
        </w:rPr>
        <w:tab/>
      </w:r>
      <w:r w:rsidRPr="0070292F">
        <w:rPr>
          <w:rFonts w:eastAsia="Times New Roman"/>
          <w:lang w:val="it-IT"/>
        </w:rPr>
        <w:t xml:space="preserve">G. </w:t>
      </w:r>
      <w:r w:rsidR="00641DDA" w:rsidRPr="0070292F">
        <w:rPr>
          <w:rStyle w:val="JUNAMES"/>
          <w:lang w:val="it-IT"/>
        </w:rPr>
        <w:t>Mauro Pellegrini</w:t>
      </w:r>
      <w:r w:rsidR="00641DDA" w:rsidRPr="0070292F">
        <w:rPr>
          <w:rFonts w:eastAsia="Times New Roman"/>
          <w:lang w:val="it-IT"/>
        </w:rPr>
        <w:tab/>
      </w:r>
      <w:r w:rsidRPr="0070292F">
        <w:rPr>
          <w:rFonts w:eastAsia="Times New Roman"/>
          <w:i/>
          <w:lang w:val="it-IT"/>
        </w:rPr>
        <w:t>co-agent</w:t>
      </w:r>
      <w:r w:rsidRPr="0070292F">
        <w:rPr>
          <w:rFonts w:eastAsia="Times New Roman"/>
          <w:lang w:val="it-IT"/>
        </w:rPr>
        <w:t> ;</w:t>
      </w:r>
    </w:p>
    <w:p w:rsidR="00761E63" w:rsidRPr="0070292F" w:rsidRDefault="00761E63" w:rsidP="0070292F">
      <w:pPr>
        <w:pStyle w:val="ECHRPara"/>
        <w:ind w:left="284" w:firstLine="0"/>
        <w:rPr>
          <w:rFonts w:ascii="Times New Roman" w:eastAsia="Times New Roman" w:hAnsi="Times New Roman" w:cs="Times New Roman"/>
          <w:lang w:val="it-IT"/>
        </w:rPr>
      </w:pPr>
    </w:p>
    <w:p w:rsidR="004405A5" w:rsidRPr="0070292F" w:rsidRDefault="004405A5" w:rsidP="0070292F">
      <w:pPr>
        <w:pStyle w:val="ECHRPara"/>
        <w:ind w:left="284" w:firstLine="0"/>
        <w:rPr>
          <w:rFonts w:ascii="Times New Roman" w:eastAsia="Times New Roman" w:hAnsi="Times New Roman" w:cs="Times New Roman"/>
          <w:lang w:val="fr-FR"/>
        </w:rPr>
      </w:pPr>
      <w:r w:rsidRPr="0070292F">
        <w:rPr>
          <w:rFonts w:ascii="Times New Roman" w:eastAsia="Times New Roman" w:hAnsi="Times New Roman" w:cs="Times New Roman"/>
          <w:lang w:val="fr-FR"/>
        </w:rPr>
        <w:t>–  </w:t>
      </w:r>
      <w:r w:rsidRPr="0070292F">
        <w:rPr>
          <w:rFonts w:ascii="Times New Roman" w:eastAsia="Times New Roman" w:hAnsi="Times New Roman" w:cs="Times New Roman"/>
          <w:i/>
          <w:lang w:val="fr-FR"/>
        </w:rPr>
        <w:t>pour le requérant</w:t>
      </w:r>
    </w:p>
    <w:p w:rsidR="004405A5" w:rsidRPr="0070292F" w:rsidRDefault="004405A5" w:rsidP="0070292F">
      <w:pPr>
        <w:pStyle w:val="JuCourt"/>
        <w:ind w:left="284" w:firstLine="0"/>
        <w:rPr>
          <w:rFonts w:ascii="Times New Roman" w:eastAsia="Times New Roman" w:hAnsi="Times New Roman" w:cs="Times New Roman"/>
          <w:i/>
          <w:lang w:val="fr-FR"/>
        </w:rPr>
      </w:pPr>
      <w:r w:rsidRPr="0070292F">
        <w:rPr>
          <w:rFonts w:eastAsia="Times New Roman"/>
          <w:lang w:val="fr-FR"/>
        </w:rPr>
        <w:t>M</w:t>
      </w:r>
      <w:r w:rsidRPr="0070292F">
        <w:rPr>
          <w:rFonts w:eastAsia="Times New Roman"/>
          <w:vertAlign w:val="superscript"/>
          <w:lang w:val="fr-FR"/>
        </w:rPr>
        <w:t>e</w:t>
      </w:r>
      <w:r w:rsidR="007B347B" w:rsidRPr="0070292F">
        <w:rPr>
          <w:rFonts w:eastAsia="Times New Roman"/>
          <w:vertAlign w:val="superscript"/>
          <w:lang w:val="fr-FR"/>
        </w:rPr>
        <w:tab/>
      </w:r>
      <w:r w:rsidR="007B347B" w:rsidRPr="0070292F">
        <w:rPr>
          <w:rFonts w:eastAsia="Times New Roman"/>
          <w:lang w:val="fr-FR"/>
        </w:rPr>
        <w:t>D</w:t>
      </w:r>
      <w:r w:rsidR="00F17BD3" w:rsidRPr="0070292F">
        <w:rPr>
          <w:rFonts w:eastAsia="Times New Roman"/>
          <w:lang w:val="fr-FR"/>
        </w:rPr>
        <w:t>.</w:t>
      </w:r>
      <w:r w:rsidR="007B347B" w:rsidRPr="0070292F">
        <w:rPr>
          <w:rFonts w:eastAsia="Times New Roman"/>
          <w:lang w:val="fr-FR"/>
        </w:rPr>
        <w:t xml:space="preserve"> </w:t>
      </w:r>
      <w:r w:rsidR="007B347B" w:rsidRPr="0070292F">
        <w:rPr>
          <w:rStyle w:val="JUNAMES"/>
          <w:lang w:val="fr-FR"/>
        </w:rPr>
        <w:t>C</w:t>
      </w:r>
      <w:r w:rsidR="006F703A" w:rsidRPr="0070292F">
        <w:rPr>
          <w:rStyle w:val="JUNAMES"/>
          <w:lang w:val="fr-FR"/>
        </w:rPr>
        <w:t>onticchio</w:t>
      </w:r>
      <w:r w:rsidR="007B347B" w:rsidRPr="0070292F">
        <w:rPr>
          <w:rFonts w:eastAsia="Times New Roman"/>
          <w:lang w:val="fr-FR"/>
        </w:rPr>
        <w:t>,</w:t>
      </w:r>
      <w:r w:rsidR="007B347B" w:rsidRPr="0070292F">
        <w:rPr>
          <w:rFonts w:eastAsia="Times New Roman"/>
          <w:lang w:val="fr-FR"/>
        </w:rPr>
        <w:tab/>
      </w:r>
      <w:r w:rsidR="00AF1A35" w:rsidRPr="0070292F">
        <w:rPr>
          <w:rFonts w:eastAsia="Times New Roman"/>
          <w:i/>
          <w:lang w:val="fr-FR"/>
        </w:rPr>
        <w:t>c</w:t>
      </w:r>
      <w:r w:rsidRPr="0070292F">
        <w:rPr>
          <w:rFonts w:eastAsia="Times New Roman"/>
          <w:i/>
          <w:lang w:val="fr-FR"/>
        </w:rPr>
        <w:t>onseil</w:t>
      </w:r>
      <w:r w:rsidR="007B347B" w:rsidRPr="0070292F">
        <w:rPr>
          <w:rFonts w:eastAsia="Times New Roman"/>
          <w:i/>
          <w:lang w:val="fr-FR"/>
        </w:rPr>
        <w:t>,</w:t>
      </w:r>
      <w:r w:rsidR="003678EA" w:rsidRPr="0070292F">
        <w:rPr>
          <w:rFonts w:eastAsia="Times New Roman"/>
          <w:i/>
          <w:lang w:val="fr-FR"/>
        </w:rPr>
        <w:br/>
      </w:r>
      <w:r w:rsidRPr="0070292F">
        <w:rPr>
          <w:rFonts w:ascii="Times New Roman" w:eastAsia="Times New Roman" w:hAnsi="Times New Roman" w:cs="Times New Roman"/>
          <w:lang w:val="fr-FR"/>
        </w:rPr>
        <w:t>M</w:t>
      </w:r>
      <w:r w:rsidRPr="0070292F">
        <w:rPr>
          <w:rFonts w:ascii="Times New Roman" w:eastAsia="Times New Roman" w:hAnsi="Times New Roman" w:cs="Times New Roman"/>
          <w:vertAlign w:val="superscript"/>
          <w:lang w:val="fr-FR"/>
        </w:rPr>
        <w:t>me</w:t>
      </w:r>
      <w:r w:rsidR="007B347B" w:rsidRPr="0070292F">
        <w:rPr>
          <w:rFonts w:ascii="Times New Roman" w:eastAsia="Times New Roman" w:hAnsi="Times New Roman" w:cs="Times New Roman"/>
          <w:vertAlign w:val="superscript"/>
          <w:lang w:val="fr-FR"/>
        </w:rPr>
        <w:tab/>
      </w:r>
      <w:r w:rsidR="00F17BD3" w:rsidRPr="0070292F">
        <w:rPr>
          <w:rFonts w:ascii="Times New Roman" w:eastAsia="Times New Roman" w:hAnsi="Times New Roman" w:cs="Times New Roman"/>
          <w:lang w:val="fr-FR"/>
        </w:rPr>
        <w:t>L.</w:t>
      </w:r>
      <w:r w:rsidR="007B347B" w:rsidRPr="0070292F">
        <w:rPr>
          <w:rFonts w:ascii="Times New Roman" w:eastAsia="Times New Roman" w:hAnsi="Times New Roman" w:cs="Times New Roman"/>
          <w:lang w:val="fr-FR"/>
        </w:rPr>
        <w:t xml:space="preserve"> </w:t>
      </w:r>
      <w:r w:rsidR="007B347B" w:rsidRPr="0070292F">
        <w:rPr>
          <w:rStyle w:val="JUNAMES"/>
          <w:lang w:val="fr-FR"/>
        </w:rPr>
        <w:t>F</w:t>
      </w:r>
      <w:r w:rsidR="006F703A" w:rsidRPr="0070292F">
        <w:rPr>
          <w:rStyle w:val="JUNAMES"/>
          <w:lang w:val="fr-FR"/>
        </w:rPr>
        <w:t>anizzi</w:t>
      </w:r>
      <w:r w:rsidR="007B347B" w:rsidRPr="0070292F">
        <w:rPr>
          <w:rFonts w:ascii="Times New Roman" w:eastAsia="Times New Roman" w:hAnsi="Times New Roman" w:cs="Times New Roman"/>
          <w:lang w:val="fr-FR"/>
        </w:rPr>
        <w:t>,</w:t>
      </w:r>
      <w:r w:rsidR="007B347B" w:rsidRPr="0070292F">
        <w:rPr>
          <w:rFonts w:ascii="Times New Roman" w:eastAsia="Times New Roman" w:hAnsi="Times New Roman" w:cs="Times New Roman"/>
          <w:lang w:val="fr-FR"/>
        </w:rPr>
        <w:tab/>
      </w:r>
      <w:r w:rsidR="00AF1A35" w:rsidRPr="0070292F">
        <w:rPr>
          <w:rFonts w:ascii="Times New Roman" w:eastAsia="Times New Roman" w:hAnsi="Times New Roman" w:cs="Times New Roman"/>
          <w:lang w:val="fr-FR"/>
        </w:rPr>
        <w:br/>
      </w:r>
      <w:r w:rsidRPr="0070292F">
        <w:rPr>
          <w:rFonts w:ascii="Times New Roman" w:eastAsia="Times New Roman" w:hAnsi="Times New Roman" w:cs="Times New Roman"/>
          <w:lang w:val="fr-FR"/>
        </w:rPr>
        <w:t>M</w:t>
      </w:r>
      <w:r w:rsidRPr="0070292F">
        <w:rPr>
          <w:rFonts w:ascii="Times New Roman" w:eastAsia="Times New Roman" w:hAnsi="Times New Roman" w:cs="Times New Roman"/>
          <w:vertAlign w:val="superscript"/>
          <w:lang w:val="fr-FR"/>
        </w:rPr>
        <w:t>e</w:t>
      </w:r>
      <w:r w:rsidR="007B347B" w:rsidRPr="0070292F">
        <w:rPr>
          <w:rFonts w:ascii="Times New Roman" w:eastAsia="Times New Roman" w:hAnsi="Times New Roman" w:cs="Times New Roman"/>
          <w:vertAlign w:val="superscript"/>
          <w:lang w:val="fr-FR"/>
        </w:rPr>
        <w:tab/>
      </w:r>
      <w:r w:rsidR="00937C16" w:rsidRPr="0070292F">
        <w:rPr>
          <w:rFonts w:ascii="Times New Roman" w:eastAsia="Times New Roman" w:hAnsi="Times New Roman" w:cs="Times New Roman"/>
          <w:lang w:val="fr-FR"/>
        </w:rPr>
        <w:t>M</w:t>
      </w:r>
      <w:r w:rsidR="00F17BD3" w:rsidRPr="0070292F">
        <w:rPr>
          <w:rFonts w:ascii="Times New Roman" w:eastAsia="Times New Roman" w:hAnsi="Times New Roman" w:cs="Times New Roman"/>
          <w:lang w:val="fr-FR"/>
        </w:rPr>
        <w:t>.</w:t>
      </w:r>
      <w:r w:rsidR="00937C16" w:rsidRPr="0070292F">
        <w:rPr>
          <w:rFonts w:ascii="Times New Roman" w:eastAsia="Times New Roman" w:hAnsi="Times New Roman" w:cs="Times New Roman"/>
          <w:lang w:val="fr-FR"/>
        </w:rPr>
        <w:t xml:space="preserve"> </w:t>
      </w:r>
      <w:r w:rsidR="00937C16" w:rsidRPr="0070292F">
        <w:rPr>
          <w:rStyle w:val="JUNAMES"/>
          <w:lang w:val="fr-FR"/>
        </w:rPr>
        <w:t>C</w:t>
      </w:r>
      <w:r w:rsidR="006F703A" w:rsidRPr="0070292F">
        <w:rPr>
          <w:rStyle w:val="JUNAMES"/>
          <w:lang w:val="fr-FR"/>
        </w:rPr>
        <w:t>asulli</w:t>
      </w:r>
      <w:r w:rsidR="00937C16" w:rsidRPr="0070292F">
        <w:rPr>
          <w:rFonts w:ascii="Times New Roman" w:eastAsia="Times New Roman" w:hAnsi="Times New Roman" w:cs="Times New Roman"/>
          <w:lang w:val="fr-FR"/>
        </w:rPr>
        <w:t>,</w:t>
      </w:r>
      <w:r w:rsidR="007B347B" w:rsidRPr="0070292F">
        <w:rPr>
          <w:rFonts w:ascii="Times New Roman" w:eastAsia="Times New Roman" w:hAnsi="Times New Roman" w:cs="Times New Roman"/>
          <w:lang w:val="fr-FR"/>
        </w:rPr>
        <w:tab/>
      </w:r>
      <w:r w:rsidR="00AF1A35" w:rsidRPr="0070292F">
        <w:rPr>
          <w:rFonts w:ascii="Times New Roman" w:eastAsia="Times New Roman" w:hAnsi="Times New Roman" w:cs="Times New Roman"/>
          <w:i/>
          <w:lang w:val="fr-FR"/>
        </w:rPr>
        <w:t>c</w:t>
      </w:r>
      <w:r w:rsidRPr="0070292F">
        <w:rPr>
          <w:rFonts w:ascii="Times New Roman" w:eastAsia="Times New Roman" w:hAnsi="Times New Roman" w:cs="Times New Roman"/>
          <w:i/>
          <w:lang w:val="fr-FR"/>
        </w:rPr>
        <w:t>onseillère</w:t>
      </w:r>
      <w:r w:rsidR="00AF1A35" w:rsidRPr="0070292F">
        <w:rPr>
          <w:rFonts w:ascii="Times New Roman" w:eastAsia="Times New Roman" w:hAnsi="Times New Roman" w:cs="Times New Roman"/>
          <w:i/>
          <w:lang w:val="fr-FR"/>
        </w:rPr>
        <w:t>s</w:t>
      </w:r>
      <w:r w:rsidR="007B347B" w:rsidRPr="0070292F">
        <w:rPr>
          <w:rFonts w:ascii="Times New Roman" w:eastAsia="Times New Roman" w:hAnsi="Times New Roman" w:cs="Times New Roman"/>
          <w:i/>
          <w:lang w:val="fr-FR"/>
        </w:rPr>
        <w:t>.</w:t>
      </w:r>
    </w:p>
    <w:p w:rsidR="004405A5" w:rsidRPr="0070292F" w:rsidRDefault="004405A5" w:rsidP="0070292F">
      <w:pPr>
        <w:pStyle w:val="ECHRPara"/>
        <w:rPr>
          <w:rFonts w:eastAsia="Times New Roman"/>
          <w:lang w:val="fr-FR"/>
        </w:rPr>
      </w:pPr>
    </w:p>
    <w:p w:rsidR="00E77CB3" w:rsidRPr="0070292F" w:rsidRDefault="004405A5" w:rsidP="0070292F">
      <w:pPr>
        <w:pStyle w:val="ECHRPara"/>
        <w:rPr>
          <w:szCs w:val="24"/>
          <w:lang w:val="fr-FR" w:eastAsia="en-GB"/>
        </w:rPr>
      </w:pPr>
      <w:r w:rsidRPr="0070292F">
        <w:rPr>
          <w:lang w:val="fr-FR"/>
        </w:rPr>
        <w:t xml:space="preserve">La Cour a entendu </w:t>
      </w:r>
      <w:r w:rsidR="00761E63" w:rsidRPr="0070292F">
        <w:rPr>
          <w:lang w:val="fr-FR"/>
        </w:rPr>
        <w:t>M</w:t>
      </w:r>
      <w:r w:rsidR="00761E63" w:rsidRPr="0070292F">
        <w:rPr>
          <w:vertAlign w:val="superscript"/>
          <w:lang w:val="fr-FR"/>
        </w:rPr>
        <w:t>me</w:t>
      </w:r>
      <w:r w:rsidR="00761E63" w:rsidRPr="0070292F">
        <w:rPr>
          <w:lang w:val="fr-FR"/>
        </w:rPr>
        <w:t xml:space="preserve"> Accardo et M</w:t>
      </w:r>
      <w:r w:rsidR="00761E63" w:rsidRPr="0070292F">
        <w:rPr>
          <w:vertAlign w:val="superscript"/>
          <w:lang w:val="fr-FR"/>
        </w:rPr>
        <w:t>e</w:t>
      </w:r>
      <w:r w:rsidR="00937C16" w:rsidRPr="0070292F">
        <w:rPr>
          <w:vertAlign w:val="superscript"/>
          <w:lang w:val="fr-FR"/>
        </w:rPr>
        <w:t xml:space="preserve"> </w:t>
      </w:r>
      <w:r w:rsidR="00761E63" w:rsidRPr="0070292F">
        <w:rPr>
          <w:lang w:val="fr-FR"/>
        </w:rPr>
        <w:t xml:space="preserve">Conticchio </w:t>
      </w:r>
      <w:r w:rsidR="00630923" w:rsidRPr="0070292F">
        <w:rPr>
          <w:lang w:val="fr-FR"/>
        </w:rPr>
        <w:t xml:space="preserve">en leurs déclarations </w:t>
      </w:r>
      <w:r w:rsidR="00761E63" w:rsidRPr="0070292F">
        <w:rPr>
          <w:lang w:val="fr-FR"/>
        </w:rPr>
        <w:t>ainsi qu</w:t>
      </w:r>
      <w:r w:rsidR="0070292F" w:rsidRPr="0070292F">
        <w:rPr>
          <w:lang w:val="fr-FR"/>
        </w:rPr>
        <w:t>’</w:t>
      </w:r>
      <w:r w:rsidR="00761E63" w:rsidRPr="0070292F">
        <w:rPr>
          <w:lang w:val="fr-FR"/>
        </w:rPr>
        <w:t>en leurs réponses aux questions posées par les juges.</w:t>
      </w:r>
    </w:p>
    <w:p w:rsidR="00E77CB3" w:rsidRPr="0070292F" w:rsidRDefault="00E77CB3" w:rsidP="0070292F">
      <w:pPr>
        <w:pStyle w:val="ECHRTitle1"/>
        <w:tabs>
          <w:tab w:val="left" w:pos="5387"/>
        </w:tabs>
        <w:rPr>
          <w:lang w:val="fr-FR"/>
        </w:rPr>
      </w:pPr>
      <w:bookmarkStart w:id="6" w:name="_Toc475451834"/>
      <w:r w:rsidRPr="0070292F">
        <w:rPr>
          <w:lang w:val="fr-FR"/>
        </w:rPr>
        <w:t>EN FAIT</w:t>
      </w:r>
      <w:bookmarkEnd w:id="6"/>
    </w:p>
    <w:p w:rsidR="00E77CB3" w:rsidRPr="0070292F" w:rsidRDefault="00E77CB3" w:rsidP="0070292F">
      <w:pPr>
        <w:pStyle w:val="ECHRHeading1"/>
        <w:rPr>
          <w:lang w:val="fr-FR"/>
        </w:rPr>
      </w:pPr>
      <w:bookmarkStart w:id="7" w:name="_Toc475451835"/>
      <w:r w:rsidRPr="0070292F">
        <w:rPr>
          <w:lang w:val="fr-FR"/>
        </w:rPr>
        <w:t>I.  LES CIRCONSTANCES DE L</w:t>
      </w:r>
      <w:r w:rsidR="0070292F" w:rsidRPr="0070292F">
        <w:rPr>
          <w:lang w:val="fr-FR"/>
        </w:rPr>
        <w:t>’</w:t>
      </w:r>
      <w:r w:rsidRPr="0070292F">
        <w:rPr>
          <w:lang w:val="fr-FR"/>
        </w:rPr>
        <w:t>ESPÈCE</w:t>
      </w:r>
      <w:bookmarkEnd w:id="7"/>
    </w:p>
    <w:p w:rsidR="0070292F" w:rsidRPr="0070292F" w:rsidRDefault="00EB79E3"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10</w:t>
      </w:r>
      <w:r w:rsidRPr="0070292F">
        <w:rPr>
          <w:lang w:val="fr-FR"/>
        </w:rPr>
        <w:fldChar w:fldCharType="end"/>
      </w:r>
      <w:r w:rsidRPr="0070292F">
        <w:rPr>
          <w:lang w:val="fr-FR"/>
        </w:rPr>
        <w:t>.  Le requérant, M. Angelo de Tommaso, est un ressortissant italien né en 1963 et résidant à Casamassima.</w:t>
      </w:r>
    </w:p>
    <w:p w:rsidR="009A3573" w:rsidRPr="0070292F" w:rsidRDefault="009A3573"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11</w:t>
      </w:r>
      <w:r w:rsidRPr="0070292F">
        <w:rPr>
          <w:lang w:val="fr-FR"/>
        </w:rPr>
        <w:fldChar w:fldCharType="end"/>
      </w:r>
      <w:r w:rsidRPr="0070292F">
        <w:rPr>
          <w:lang w:val="fr-FR"/>
        </w:rPr>
        <w:t>.  </w:t>
      </w:r>
      <w:r w:rsidR="0070292F" w:rsidRPr="0070292F">
        <w:rPr>
          <w:lang w:val="fr-FR"/>
        </w:rPr>
        <w:t xml:space="preserve">Le 22 mai </w:t>
      </w:r>
      <w:r w:rsidRPr="0070292F">
        <w:rPr>
          <w:lang w:val="fr-FR"/>
        </w:rPr>
        <w:t xml:space="preserve">2007, le procureur de la République de Bari proposa au tribunal de </w:t>
      </w:r>
      <w:r w:rsidR="00630923" w:rsidRPr="0070292F">
        <w:rPr>
          <w:lang w:val="fr-FR"/>
        </w:rPr>
        <w:t>cette</w:t>
      </w:r>
      <w:r w:rsidRPr="0070292F">
        <w:rPr>
          <w:lang w:val="fr-FR"/>
        </w:rPr>
        <w:t xml:space="preserve"> ville de soumettre le requérant</w:t>
      </w:r>
      <w:r w:rsidR="007C015C" w:rsidRPr="0070292F">
        <w:rPr>
          <w:lang w:val="fr-FR"/>
        </w:rPr>
        <w:t xml:space="preserve">, pour </w:t>
      </w:r>
      <w:r w:rsidR="001C6B54" w:rsidRPr="0070292F">
        <w:rPr>
          <w:lang w:val="fr-FR"/>
        </w:rPr>
        <w:t xml:space="preserve">une période de </w:t>
      </w:r>
      <w:r w:rsidR="007C015C" w:rsidRPr="0070292F">
        <w:rPr>
          <w:lang w:val="fr-FR"/>
        </w:rPr>
        <w:t>deux ans,</w:t>
      </w:r>
      <w:r w:rsidRPr="0070292F">
        <w:rPr>
          <w:lang w:val="fr-FR"/>
        </w:rPr>
        <w:t xml:space="preserve"> à une </w:t>
      </w:r>
      <w:r w:rsidR="007C015C" w:rsidRPr="0070292F">
        <w:rPr>
          <w:lang w:val="fr-FR"/>
        </w:rPr>
        <w:t xml:space="preserve">mesure de </w:t>
      </w:r>
      <w:r w:rsidRPr="0070292F">
        <w:rPr>
          <w:lang w:val="fr-FR"/>
        </w:rPr>
        <w:t>surveillance spéciale</w:t>
      </w:r>
      <w:r w:rsidR="007C015C" w:rsidRPr="0070292F">
        <w:rPr>
          <w:lang w:val="fr-FR"/>
        </w:rPr>
        <w:t xml:space="preserve"> de</w:t>
      </w:r>
      <w:r w:rsidRPr="0070292F">
        <w:rPr>
          <w:lang w:val="fr-FR"/>
        </w:rPr>
        <w:t xml:space="preserve"> police (</w:t>
      </w:r>
      <w:r w:rsidRPr="0070292F">
        <w:rPr>
          <w:i/>
          <w:lang w:val="fr-FR"/>
        </w:rPr>
        <w:t>sorveglianza speciale di pubblica sicurezza</w:t>
      </w:r>
      <w:r w:rsidRPr="0070292F">
        <w:rPr>
          <w:lang w:val="fr-FR"/>
        </w:rPr>
        <w:t>)</w:t>
      </w:r>
      <w:r w:rsidR="007C015C" w:rsidRPr="0070292F">
        <w:rPr>
          <w:lang w:val="fr-FR"/>
        </w:rPr>
        <w:t xml:space="preserve"> fondée sur</w:t>
      </w:r>
      <w:r w:rsidRPr="0070292F">
        <w:rPr>
          <w:lang w:val="fr-FR"/>
        </w:rPr>
        <w:t xml:space="preserve"> la loi n</w:t>
      </w:r>
      <w:r w:rsidR="008C1E94" w:rsidRPr="0070292F">
        <w:rPr>
          <w:vertAlign w:val="superscript"/>
          <w:lang w:val="fr-FR"/>
        </w:rPr>
        <w:t>o</w:t>
      </w:r>
      <w:r w:rsidRPr="0070292F">
        <w:rPr>
          <w:vertAlign w:val="superscript"/>
          <w:lang w:val="fr-FR"/>
        </w:rPr>
        <w:t xml:space="preserve"> </w:t>
      </w:r>
      <w:r w:rsidRPr="0070292F">
        <w:rPr>
          <w:lang w:val="fr-FR"/>
        </w:rPr>
        <w:t xml:space="preserve">1423 de 1956, </w:t>
      </w:r>
      <w:r w:rsidR="007C015C" w:rsidRPr="0070292F">
        <w:rPr>
          <w:lang w:val="fr-FR"/>
        </w:rPr>
        <w:t>assortie d</w:t>
      </w:r>
      <w:r w:rsidR="0070292F" w:rsidRPr="0070292F">
        <w:rPr>
          <w:lang w:val="fr-FR"/>
        </w:rPr>
        <w:t>’</w:t>
      </w:r>
      <w:r w:rsidR="007C015C" w:rsidRPr="0070292F">
        <w:rPr>
          <w:lang w:val="fr-FR"/>
        </w:rPr>
        <w:t xml:space="preserve">une </w:t>
      </w:r>
      <w:r w:rsidRPr="0070292F">
        <w:rPr>
          <w:lang w:val="fr-FR"/>
        </w:rPr>
        <w:t xml:space="preserve">assignation à résidence. </w:t>
      </w:r>
      <w:r w:rsidR="001C6B54" w:rsidRPr="0070292F">
        <w:rPr>
          <w:lang w:val="fr-FR"/>
        </w:rPr>
        <w:t xml:space="preserve">Le procureur </w:t>
      </w:r>
      <w:r w:rsidRPr="0070292F">
        <w:rPr>
          <w:lang w:val="fr-FR"/>
        </w:rPr>
        <w:t>souligna que</w:t>
      </w:r>
      <w:r w:rsidR="00601522" w:rsidRPr="0070292F">
        <w:rPr>
          <w:lang w:val="fr-FR"/>
        </w:rPr>
        <w:t xml:space="preserve"> les</w:t>
      </w:r>
      <w:r w:rsidRPr="0070292F">
        <w:rPr>
          <w:lang w:val="fr-FR"/>
        </w:rPr>
        <w:t xml:space="preserve"> précédentes condamnations </w:t>
      </w:r>
      <w:r w:rsidR="00601522" w:rsidRPr="0070292F">
        <w:rPr>
          <w:lang w:val="fr-FR"/>
        </w:rPr>
        <w:t xml:space="preserve">du requérant </w:t>
      </w:r>
      <w:r w:rsidRPr="0070292F">
        <w:rPr>
          <w:lang w:val="fr-FR"/>
        </w:rPr>
        <w:t>pour trafic de drogue, évasion et détention d</w:t>
      </w:r>
      <w:r w:rsidR="0070292F" w:rsidRPr="0070292F">
        <w:rPr>
          <w:lang w:val="fr-FR"/>
        </w:rPr>
        <w:t>’</w:t>
      </w:r>
      <w:r w:rsidRPr="0070292F">
        <w:rPr>
          <w:lang w:val="fr-FR"/>
        </w:rPr>
        <w:t>armes</w:t>
      </w:r>
      <w:r w:rsidR="00601522" w:rsidRPr="0070292F">
        <w:rPr>
          <w:lang w:val="fr-FR"/>
        </w:rPr>
        <w:t xml:space="preserve"> montraient qu</w:t>
      </w:r>
      <w:r w:rsidR="0070292F" w:rsidRPr="0070292F">
        <w:rPr>
          <w:lang w:val="fr-FR"/>
        </w:rPr>
        <w:t>’</w:t>
      </w:r>
      <w:r w:rsidR="00601522" w:rsidRPr="0070292F">
        <w:rPr>
          <w:lang w:val="fr-FR"/>
        </w:rPr>
        <w:t xml:space="preserve">il </w:t>
      </w:r>
      <w:r w:rsidRPr="0070292F">
        <w:rPr>
          <w:lang w:val="fr-FR"/>
        </w:rPr>
        <w:t xml:space="preserve">fréquentait des criminels et </w:t>
      </w:r>
      <w:r w:rsidR="00601522" w:rsidRPr="0070292F">
        <w:rPr>
          <w:lang w:val="fr-FR"/>
        </w:rPr>
        <w:t>était</w:t>
      </w:r>
      <w:r w:rsidRPr="0070292F">
        <w:rPr>
          <w:lang w:val="fr-FR"/>
        </w:rPr>
        <w:t xml:space="preserve"> une personne dangereuse. </w:t>
      </w:r>
      <w:r w:rsidR="001C6B54" w:rsidRPr="0070292F">
        <w:rPr>
          <w:lang w:val="fr-FR"/>
        </w:rPr>
        <w:t>Il</w:t>
      </w:r>
      <w:r w:rsidRPr="0070292F">
        <w:rPr>
          <w:lang w:val="fr-FR"/>
        </w:rPr>
        <w:t xml:space="preserve"> </w:t>
      </w:r>
      <w:r w:rsidR="00601522" w:rsidRPr="0070292F">
        <w:rPr>
          <w:lang w:val="fr-FR"/>
        </w:rPr>
        <w:t xml:space="preserve">fit </w:t>
      </w:r>
      <w:r w:rsidR="001C6B54" w:rsidRPr="0070292F">
        <w:rPr>
          <w:lang w:val="fr-FR"/>
        </w:rPr>
        <w:t xml:space="preserve">aussi </w:t>
      </w:r>
      <w:r w:rsidR="00601522" w:rsidRPr="0070292F">
        <w:rPr>
          <w:lang w:val="fr-FR"/>
        </w:rPr>
        <w:t>remarquer</w:t>
      </w:r>
      <w:r w:rsidRPr="0070292F">
        <w:rPr>
          <w:lang w:val="fr-FR"/>
        </w:rPr>
        <w:t xml:space="preserve"> que le requérant avait reçu un </w:t>
      </w:r>
      <w:r w:rsidRPr="0070292F">
        <w:rPr>
          <w:lang w:val="fr-FR"/>
        </w:rPr>
        <w:lastRenderedPageBreak/>
        <w:t xml:space="preserve">« avertissement » </w:t>
      </w:r>
      <w:r w:rsidR="00601522" w:rsidRPr="0070292F">
        <w:rPr>
          <w:lang w:val="fr-FR"/>
        </w:rPr>
        <w:t xml:space="preserve">de </w:t>
      </w:r>
      <w:r w:rsidRPr="0070292F">
        <w:rPr>
          <w:lang w:val="fr-FR"/>
        </w:rPr>
        <w:t xml:space="preserve">la police mais avait </w:t>
      </w:r>
      <w:r w:rsidR="00601522" w:rsidRPr="0070292F">
        <w:rPr>
          <w:lang w:val="fr-FR"/>
        </w:rPr>
        <w:t xml:space="preserve">persisté </w:t>
      </w:r>
      <w:r w:rsidRPr="0070292F">
        <w:rPr>
          <w:lang w:val="fr-FR"/>
        </w:rPr>
        <w:t xml:space="preserve">dans sa conduite </w:t>
      </w:r>
      <w:r w:rsidR="00601522" w:rsidRPr="0070292F">
        <w:rPr>
          <w:lang w:val="fr-FR"/>
        </w:rPr>
        <w:t>délictueuse</w:t>
      </w:r>
      <w:r w:rsidRPr="0070292F">
        <w:rPr>
          <w:lang w:val="fr-FR"/>
        </w:rPr>
        <w:t>.</w:t>
      </w:r>
    </w:p>
    <w:p w:rsidR="009A3573" w:rsidRPr="0070292F" w:rsidRDefault="009A3573"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12</w:t>
      </w:r>
      <w:r w:rsidRPr="0070292F">
        <w:rPr>
          <w:lang w:val="fr-FR"/>
        </w:rPr>
        <w:fldChar w:fldCharType="end"/>
      </w:r>
      <w:r w:rsidRPr="0070292F">
        <w:rPr>
          <w:lang w:val="fr-FR"/>
        </w:rPr>
        <w:t xml:space="preserve">.  Dans un mémoire </w:t>
      </w:r>
      <w:r w:rsidR="00601522" w:rsidRPr="0070292F">
        <w:rPr>
          <w:lang w:val="fr-FR"/>
        </w:rPr>
        <w:t xml:space="preserve">en date </w:t>
      </w:r>
      <w:r w:rsidRPr="0070292F">
        <w:rPr>
          <w:lang w:val="fr-FR"/>
        </w:rPr>
        <w:t>du 6 mar</w:t>
      </w:r>
      <w:r w:rsidR="0070292F" w:rsidRPr="0070292F">
        <w:rPr>
          <w:lang w:val="fr-FR"/>
        </w:rPr>
        <w:t xml:space="preserve">s </w:t>
      </w:r>
      <w:r w:rsidRPr="0070292F">
        <w:rPr>
          <w:lang w:val="fr-FR"/>
        </w:rPr>
        <w:t>2008, le requérant s</w:t>
      </w:r>
      <w:r w:rsidR="0070292F" w:rsidRPr="0070292F">
        <w:rPr>
          <w:lang w:val="fr-FR"/>
        </w:rPr>
        <w:t>’</w:t>
      </w:r>
      <w:r w:rsidRPr="0070292F">
        <w:rPr>
          <w:lang w:val="fr-FR"/>
        </w:rPr>
        <w:t xml:space="preserve">opposa à la proposition du procureur. Il allégua une erreur </w:t>
      </w:r>
      <w:r w:rsidR="00601522" w:rsidRPr="0070292F">
        <w:rPr>
          <w:lang w:val="fr-FR"/>
        </w:rPr>
        <w:t xml:space="preserve">sur la personne et indiqua que </w:t>
      </w:r>
      <w:r w:rsidRPr="0070292F">
        <w:rPr>
          <w:lang w:val="fr-FR"/>
        </w:rPr>
        <w:t xml:space="preserve">les </w:t>
      </w:r>
      <w:r w:rsidR="00601522" w:rsidRPr="0070292F">
        <w:rPr>
          <w:lang w:val="fr-FR"/>
        </w:rPr>
        <w:t>infractions aux</w:t>
      </w:r>
      <w:r w:rsidRPr="0070292F">
        <w:rPr>
          <w:lang w:val="fr-FR"/>
        </w:rPr>
        <w:t xml:space="preserve"> obligations découlant de la surveillance spéciale qui lui étaient reprochées concernaient </w:t>
      </w:r>
      <w:r w:rsidR="00601522" w:rsidRPr="0070292F">
        <w:rPr>
          <w:lang w:val="fr-FR"/>
        </w:rPr>
        <w:t>un individu</w:t>
      </w:r>
      <w:r w:rsidRPr="0070292F">
        <w:rPr>
          <w:lang w:val="fr-FR"/>
        </w:rPr>
        <w:t xml:space="preserve"> qui </w:t>
      </w:r>
      <w:r w:rsidR="001C6B54" w:rsidRPr="0070292F">
        <w:rPr>
          <w:lang w:val="fr-FR"/>
        </w:rPr>
        <w:t xml:space="preserve">portait </w:t>
      </w:r>
      <w:r w:rsidRPr="0070292F">
        <w:rPr>
          <w:lang w:val="fr-FR"/>
        </w:rPr>
        <w:t>le</w:t>
      </w:r>
      <w:r w:rsidR="00601522" w:rsidRPr="0070292F">
        <w:rPr>
          <w:lang w:val="fr-FR"/>
        </w:rPr>
        <w:t>s</w:t>
      </w:r>
      <w:r w:rsidRPr="0070292F">
        <w:rPr>
          <w:lang w:val="fr-FR"/>
        </w:rPr>
        <w:t xml:space="preserve"> même</w:t>
      </w:r>
      <w:r w:rsidR="00601522" w:rsidRPr="0070292F">
        <w:rPr>
          <w:lang w:val="fr-FR"/>
        </w:rPr>
        <w:t>s</w:t>
      </w:r>
      <w:r w:rsidRPr="0070292F">
        <w:rPr>
          <w:lang w:val="fr-FR"/>
        </w:rPr>
        <w:t xml:space="preserve"> nom et prénom </w:t>
      </w:r>
      <w:r w:rsidR="0061547B" w:rsidRPr="0070292F">
        <w:rPr>
          <w:lang w:val="fr-FR"/>
        </w:rPr>
        <w:t xml:space="preserve">que </w:t>
      </w:r>
      <w:r w:rsidR="00601522" w:rsidRPr="0070292F">
        <w:rPr>
          <w:lang w:val="fr-FR"/>
        </w:rPr>
        <w:t>lui</w:t>
      </w:r>
      <w:r w:rsidR="0061547B" w:rsidRPr="0070292F">
        <w:rPr>
          <w:lang w:val="fr-FR"/>
        </w:rPr>
        <w:t xml:space="preserve"> </w:t>
      </w:r>
      <w:r w:rsidRPr="0070292F">
        <w:rPr>
          <w:lang w:val="fr-FR"/>
        </w:rPr>
        <w:t xml:space="preserve">mais était né en 1973. </w:t>
      </w:r>
      <w:r w:rsidR="00601522" w:rsidRPr="0070292F">
        <w:rPr>
          <w:lang w:val="fr-FR"/>
        </w:rPr>
        <w:t>Il plaida également qu</w:t>
      </w:r>
      <w:r w:rsidR="0070292F" w:rsidRPr="0070292F">
        <w:rPr>
          <w:lang w:val="fr-FR"/>
        </w:rPr>
        <w:t>’</w:t>
      </w:r>
      <w:r w:rsidRPr="0070292F">
        <w:rPr>
          <w:lang w:val="fr-FR"/>
        </w:rPr>
        <w:t>il n</w:t>
      </w:r>
      <w:r w:rsidR="0070292F" w:rsidRPr="0070292F">
        <w:rPr>
          <w:lang w:val="fr-FR"/>
        </w:rPr>
        <w:t>’</w:t>
      </w:r>
      <w:r w:rsidRPr="0070292F">
        <w:rPr>
          <w:lang w:val="fr-FR"/>
        </w:rPr>
        <w:t>avait plus fait l</w:t>
      </w:r>
      <w:r w:rsidR="0070292F" w:rsidRPr="0070292F">
        <w:rPr>
          <w:lang w:val="fr-FR"/>
        </w:rPr>
        <w:t>’</w:t>
      </w:r>
      <w:r w:rsidRPr="0070292F">
        <w:rPr>
          <w:lang w:val="fr-FR"/>
        </w:rPr>
        <w:t xml:space="preserve">objet de poursuites depuis une condamnation </w:t>
      </w:r>
      <w:r w:rsidR="00601522" w:rsidRPr="0070292F">
        <w:rPr>
          <w:lang w:val="fr-FR"/>
        </w:rPr>
        <w:t xml:space="preserve">prononcée </w:t>
      </w:r>
      <w:r w:rsidRPr="0070292F">
        <w:rPr>
          <w:lang w:val="fr-FR"/>
        </w:rPr>
        <w:t xml:space="preserve">en 2002. </w:t>
      </w:r>
      <w:r w:rsidR="00601522" w:rsidRPr="0070292F">
        <w:rPr>
          <w:lang w:val="fr-FR"/>
        </w:rPr>
        <w:t>Il ajouta que</w:t>
      </w:r>
      <w:r w:rsidR="001C6B54" w:rsidRPr="0070292F">
        <w:rPr>
          <w:lang w:val="fr-FR"/>
        </w:rPr>
        <w:t>,</w:t>
      </w:r>
      <w:r w:rsidR="00601522" w:rsidRPr="0070292F">
        <w:rPr>
          <w:lang w:val="fr-FR"/>
        </w:rPr>
        <w:t xml:space="preserve"> même </w:t>
      </w:r>
      <w:r w:rsidR="001C6B54" w:rsidRPr="0070292F">
        <w:rPr>
          <w:lang w:val="fr-FR"/>
        </w:rPr>
        <w:t>s</w:t>
      </w:r>
      <w:r w:rsidR="0070292F" w:rsidRPr="0070292F">
        <w:rPr>
          <w:lang w:val="fr-FR"/>
        </w:rPr>
        <w:t>’</w:t>
      </w:r>
      <w:r w:rsidRPr="0070292F">
        <w:rPr>
          <w:lang w:val="fr-FR"/>
        </w:rPr>
        <w:t>il avait été condamné pour évasion</w:t>
      </w:r>
      <w:r w:rsidR="001C6B54" w:rsidRPr="0070292F">
        <w:rPr>
          <w:lang w:val="fr-FR"/>
        </w:rPr>
        <w:t xml:space="preserve"> en 2004</w:t>
      </w:r>
      <w:r w:rsidRPr="0070292F">
        <w:rPr>
          <w:lang w:val="fr-FR"/>
        </w:rPr>
        <w:t xml:space="preserve">, </w:t>
      </w:r>
      <w:r w:rsidR="00601522" w:rsidRPr="0070292F">
        <w:rPr>
          <w:lang w:val="fr-FR"/>
        </w:rPr>
        <w:t>cet élément</w:t>
      </w:r>
      <w:r w:rsidR="0002688E" w:rsidRPr="0070292F">
        <w:rPr>
          <w:lang w:val="fr-FR"/>
        </w:rPr>
        <w:t xml:space="preserve"> n</w:t>
      </w:r>
      <w:r w:rsidR="0070292F" w:rsidRPr="0070292F">
        <w:rPr>
          <w:lang w:val="fr-FR"/>
        </w:rPr>
        <w:t>’</w:t>
      </w:r>
      <w:r w:rsidR="0002688E" w:rsidRPr="0070292F">
        <w:rPr>
          <w:lang w:val="fr-FR"/>
        </w:rPr>
        <w:t xml:space="preserve">était pas </w:t>
      </w:r>
      <w:r w:rsidR="008038C6" w:rsidRPr="0070292F">
        <w:rPr>
          <w:lang w:val="fr-FR"/>
        </w:rPr>
        <w:t>d</w:t>
      </w:r>
      <w:r w:rsidR="00B247F1" w:rsidRPr="0070292F">
        <w:rPr>
          <w:lang w:val="fr-FR"/>
        </w:rPr>
        <w:t>é</w:t>
      </w:r>
      <w:r w:rsidR="008038C6" w:rsidRPr="0070292F">
        <w:rPr>
          <w:lang w:val="fr-FR"/>
        </w:rPr>
        <w:t xml:space="preserve">terminant </w:t>
      </w:r>
      <w:r w:rsidRPr="0070292F">
        <w:rPr>
          <w:lang w:val="fr-FR"/>
        </w:rPr>
        <w:t>pour l</w:t>
      </w:r>
      <w:r w:rsidR="0070292F" w:rsidRPr="0070292F">
        <w:rPr>
          <w:lang w:val="fr-FR"/>
        </w:rPr>
        <w:t>’</w:t>
      </w:r>
      <w:r w:rsidRPr="0070292F">
        <w:rPr>
          <w:lang w:val="fr-FR"/>
        </w:rPr>
        <w:t xml:space="preserve">application de la mesure litigieuse. Il </w:t>
      </w:r>
      <w:r w:rsidR="00601522" w:rsidRPr="0070292F">
        <w:rPr>
          <w:lang w:val="fr-FR"/>
        </w:rPr>
        <w:t xml:space="preserve">soutint </w:t>
      </w:r>
      <w:r w:rsidRPr="0070292F">
        <w:rPr>
          <w:lang w:val="fr-FR"/>
        </w:rPr>
        <w:t>qu</w:t>
      </w:r>
      <w:r w:rsidR="0070292F" w:rsidRPr="0070292F">
        <w:rPr>
          <w:lang w:val="fr-FR"/>
        </w:rPr>
        <w:t>’</w:t>
      </w:r>
      <w:r w:rsidRPr="0070292F">
        <w:rPr>
          <w:lang w:val="fr-FR"/>
        </w:rPr>
        <w:t>il n</w:t>
      </w:r>
      <w:r w:rsidR="0070292F" w:rsidRPr="0070292F">
        <w:rPr>
          <w:lang w:val="fr-FR"/>
        </w:rPr>
        <w:t>’</w:t>
      </w:r>
      <w:r w:rsidRPr="0070292F">
        <w:rPr>
          <w:lang w:val="fr-FR"/>
        </w:rPr>
        <w:t>était pas nécessaire de le soumettre à une surveillance spéciale.</w:t>
      </w:r>
    </w:p>
    <w:p w:rsidR="009A3573" w:rsidRPr="0070292F" w:rsidRDefault="009A3573"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13</w:t>
      </w:r>
      <w:r w:rsidRPr="0070292F">
        <w:rPr>
          <w:lang w:val="fr-FR"/>
        </w:rPr>
        <w:fldChar w:fldCharType="end"/>
      </w:r>
      <w:r w:rsidRPr="0070292F">
        <w:rPr>
          <w:lang w:val="fr-FR"/>
        </w:rPr>
        <w:t>.  Par une décision du 11 avril 2008, notifiée le 4 juillet 2008, le tribunal de Bari ordonna l</w:t>
      </w:r>
      <w:r w:rsidR="0070292F" w:rsidRPr="0070292F">
        <w:rPr>
          <w:lang w:val="fr-FR"/>
        </w:rPr>
        <w:t>’</w:t>
      </w:r>
      <w:r w:rsidRPr="0070292F">
        <w:rPr>
          <w:lang w:val="fr-FR"/>
        </w:rPr>
        <w:t>application de la mesure de surveillance spéciale pour une durée de deux ans. Il rejeta les arguments du requérant, estimant que les conditions requises par la loi pour l</w:t>
      </w:r>
      <w:r w:rsidR="0070292F" w:rsidRPr="0070292F">
        <w:rPr>
          <w:lang w:val="fr-FR"/>
        </w:rPr>
        <w:t>’</w:t>
      </w:r>
      <w:r w:rsidRPr="0070292F">
        <w:rPr>
          <w:lang w:val="fr-FR"/>
        </w:rPr>
        <w:t>application de la mesure étaient bien remplies</w:t>
      </w:r>
      <w:r w:rsidR="00601522" w:rsidRPr="0070292F">
        <w:rPr>
          <w:lang w:val="fr-FR"/>
        </w:rPr>
        <w:t xml:space="preserve"> dès lors que </w:t>
      </w:r>
      <w:r w:rsidRPr="0070292F">
        <w:rPr>
          <w:lang w:val="fr-FR"/>
        </w:rPr>
        <w:t>la dangerosité de l</w:t>
      </w:r>
      <w:r w:rsidR="0070292F" w:rsidRPr="0070292F">
        <w:rPr>
          <w:lang w:val="fr-FR"/>
        </w:rPr>
        <w:t>’</w:t>
      </w:r>
      <w:r w:rsidRPr="0070292F">
        <w:rPr>
          <w:lang w:val="fr-FR"/>
        </w:rPr>
        <w:t>intéressé ne faisa</w:t>
      </w:r>
      <w:r w:rsidR="00601522" w:rsidRPr="0070292F">
        <w:rPr>
          <w:lang w:val="fr-FR"/>
        </w:rPr>
        <w:t>it</w:t>
      </w:r>
      <w:r w:rsidRPr="0070292F">
        <w:rPr>
          <w:lang w:val="fr-FR"/>
        </w:rPr>
        <w:t xml:space="preserve"> pas de doute.</w:t>
      </w:r>
    </w:p>
    <w:p w:rsidR="009A3573" w:rsidRPr="0070292F" w:rsidRDefault="009A3573"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14</w:t>
      </w:r>
      <w:r w:rsidRPr="0070292F">
        <w:rPr>
          <w:lang w:val="fr-FR"/>
        </w:rPr>
        <w:fldChar w:fldCharType="end"/>
      </w:r>
      <w:r w:rsidRPr="0070292F">
        <w:rPr>
          <w:lang w:val="fr-FR"/>
        </w:rPr>
        <w:t>.  </w:t>
      </w:r>
      <w:r w:rsidR="00601522" w:rsidRPr="0070292F">
        <w:rPr>
          <w:lang w:val="fr-FR"/>
        </w:rPr>
        <w:t xml:space="preserve">Pour </w:t>
      </w:r>
      <w:r w:rsidRPr="0070292F">
        <w:rPr>
          <w:lang w:val="fr-FR"/>
        </w:rPr>
        <w:t>le tribunal</w:t>
      </w:r>
      <w:r w:rsidR="00601522" w:rsidRPr="0070292F">
        <w:rPr>
          <w:lang w:val="fr-FR"/>
        </w:rPr>
        <w:t xml:space="preserve">, le requérant </w:t>
      </w:r>
      <w:r w:rsidR="001C6B54" w:rsidRPr="0070292F">
        <w:rPr>
          <w:lang w:val="fr-FR"/>
        </w:rPr>
        <w:t>présentait</w:t>
      </w:r>
      <w:r w:rsidR="00601522" w:rsidRPr="0070292F">
        <w:rPr>
          <w:lang w:val="fr-FR"/>
        </w:rPr>
        <w:t xml:space="preserve"> </w:t>
      </w:r>
      <w:r w:rsidRPr="0070292F">
        <w:rPr>
          <w:lang w:val="fr-FR"/>
        </w:rPr>
        <w:t xml:space="preserve">une </w:t>
      </w:r>
      <w:r w:rsidR="008038C6" w:rsidRPr="0070292F">
        <w:rPr>
          <w:lang w:val="fr-FR"/>
        </w:rPr>
        <w:t xml:space="preserve">tendance « active » </w:t>
      </w:r>
      <w:r w:rsidR="001C6B54" w:rsidRPr="0070292F">
        <w:rPr>
          <w:lang w:val="fr-FR"/>
        </w:rPr>
        <w:t>à la délinquance</w:t>
      </w:r>
      <w:r w:rsidR="00601522" w:rsidRPr="0070292F">
        <w:rPr>
          <w:lang w:val="fr-FR"/>
        </w:rPr>
        <w:t xml:space="preserve"> et les </w:t>
      </w:r>
      <w:r w:rsidRPr="0070292F">
        <w:rPr>
          <w:lang w:val="fr-FR"/>
        </w:rPr>
        <w:t xml:space="preserve">pièces du dossier </w:t>
      </w:r>
      <w:r w:rsidR="00601522" w:rsidRPr="0070292F">
        <w:rPr>
          <w:lang w:val="fr-FR"/>
        </w:rPr>
        <w:t>montraient qu</w:t>
      </w:r>
      <w:r w:rsidR="0070292F" w:rsidRPr="0070292F">
        <w:rPr>
          <w:lang w:val="fr-FR"/>
        </w:rPr>
        <w:t>’</w:t>
      </w:r>
      <w:r w:rsidR="00601522" w:rsidRPr="0070292F">
        <w:rPr>
          <w:lang w:val="fr-FR"/>
        </w:rPr>
        <w:t>il</w:t>
      </w:r>
      <w:r w:rsidRPr="0070292F">
        <w:rPr>
          <w:lang w:val="fr-FR"/>
        </w:rPr>
        <w:t xml:space="preserve"> avait </w:t>
      </w:r>
      <w:r w:rsidR="00601522" w:rsidRPr="0070292F">
        <w:rPr>
          <w:lang w:val="fr-FR"/>
        </w:rPr>
        <w:t>tiré d</w:t>
      </w:r>
      <w:r w:rsidR="0070292F" w:rsidRPr="0070292F">
        <w:rPr>
          <w:lang w:val="fr-FR"/>
        </w:rPr>
        <w:t>’</w:t>
      </w:r>
      <w:r w:rsidR="00601522" w:rsidRPr="0070292F">
        <w:rPr>
          <w:lang w:val="fr-FR"/>
        </w:rPr>
        <w:t xml:space="preserve">une </w:t>
      </w:r>
      <w:r w:rsidRPr="0070292F">
        <w:rPr>
          <w:lang w:val="fr-FR"/>
        </w:rPr>
        <w:t xml:space="preserve">activité </w:t>
      </w:r>
      <w:r w:rsidR="007C015C" w:rsidRPr="0070292F">
        <w:rPr>
          <w:lang w:val="fr-FR"/>
        </w:rPr>
        <w:t xml:space="preserve">délictueuse </w:t>
      </w:r>
      <w:r w:rsidRPr="0070292F">
        <w:rPr>
          <w:lang w:val="fr-FR"/>
        </w:rPr>
        <w:t>la plupart de ses moyens de subsistance.</w:t>
      </w:r>
    </w:p>
    <w:p w:rsidR="00BA3AF8" w:rsidRPr="0070292F" w:rsidRDefault="009A3573"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15</w:t>
      </w:r>
      <w:r w:rsidRPr="0070292F">
        <w:rPr>
          <w:lang w:val="fr-FR"/>
        </w:rPr>
        <w:fldChar w:fldCharType="end"/>
      </w:r>
      <w:r w:rsidR="008038C6" w:rsidRPr="0070292F">
        <w:rPr>
          <w:lang w:val="fr-FR"/>
        </w:rPr>
        <w:t>.  </w:t>
      </w:r>
      <w:r w:rsidR="00BA3AF8" w:rsidRPr="0070292F">
        <w:rPr>
          <w:lang w:val="fr-FR"/>
        </w:rPr>
        <w:t>Le tribunal remarqua en particulier ce qui suit :</w:t>
      </w:r>
    </w:p>
    <w:p w:rsidR="00BA3AF8" w:rsidRPr="0070292F" w:rsidRDefault="00BA3AF8" w:rsidP="0070292F">
      <w:pPr>
        <w:pStyle w:val="ECHRParaQuote"/>
        <w:rPr>
          <w:lang w:val="fr-FR"/>
        </w:rPr>
      </w:pPr>
      <w:r w:rsidRPr="0070292F">
        <w:rPr>
          <w:lang w:val="fr-FR"/>
        </w:rPr>
        <w:t>« Le 18 septembre 2006, l</w:t>
      </w:r>
      <w:r w:rsidR="0070292F" w:rsidRPr="0070292F">
        <w:rPr>
          <w:lang w:val="fr-FR"/>
        </w:rPr>
        <w:t>’</w:t>
      </w:r>
      <w:r w:rsidRPr="0070292F">
        <w:rPr>
          <w:lang w:val="fr-FR"/>
        </w:rPr>
        <w:t xml:space="preserve">intéressé </w:t>
      </w:r>
      <w:r w:rsidR="00823C55" w:rsidRPr="0070292F">
        <w:rPr>
          <w:lang w:val="fr-FR"/>
        </w:rPr>
        <w:t>a</w:t>
      </w:r>
      <w:r w:rsidRPr="0070292F">
        <w:rPr>
          <w:lang w:val="fr-FR"/>
        </w:rPr>
        <w:t xml:space="preserve"> reçu un « avertissement verbal</w:t>
      </w:r>
      <w:r w:rsidR="009A02F3" w:rsidRPr="0070292F">
        <w:rPr>
          <w:lang w:val="fr-FR"/>
        </w:rPr>
        <w:t xml:space="preserve"> </w:t>
      </w:r>
      <w:r w:rsidR="00823C55" w:rsidRPr="0070292F">
        <w:rPr>
          <w:lang w:val="fr-FR"/>
        </w:rPr>
        <w:t>pour</w:t>
      </w:r>
      <w:r w:rsidR="009A02F3" w:rsidRPr="0070292F">
        <w:rPr>
          <w:lang w:val="fr-FR"/>
        </w:rPr>
        <w:t xml:space="preserve"> la sécurité publique</w:t>
      </w:r>
      <w:r w:rsidRPr="0070292F">
        <w:rPr>
          <w:lang w:val="fr-FR"/>
        </w:rPr>
        <w:t xml:space="preserve"> » mais </w:t>
      </w:r>
      <w:r w:rsidR="009A02F3" w:rsidRPr="0070292F">
        <w:rPr>
          <w:lang w:val="fr-FR"/>
        </w:rPr>
        <w:t xml:space="preserve">cela </w:t>
      </w:r>
      <w:r w:rsidRPr="0070292F">
        <w:rPr>
          <w:lang w:val="fr-FR"/>
        </w:rPr>
        <w:t>n</w:t>
      </w:r>
      <w:r w:rsidR="0070292F" w:rsidRPr="0070292F">
        <w:rPr>
          <w:lang w:val="fr-FR"/>
        </w:rPr>
        <w:t>’</w:t>
      </w:r>
      <w:r w:rsidRPr="0070292F">
        <w:rPr>
          <w:lang w:val="fr-FR"/>
        </w:rPr>
        <w:t xml:space="preserve">a </w:t>
      </w:r>
      <w:r w:rsidR="009A02F3" w:rsidRPr="0070292F">
        <w:rPr>
          <w:lang w:val="fr-FR"/>
        </w:rPr>
        <w:t xml:space="preserve">aucunement </w:t>
      </w:r>
      <w:r w:rsidRPr="0070292F">
        <w:rPr>
          <w:lang w:val="fr-FR"/>
        </w:rPr>
        <w:t>amélior</w:t>
      </w:r>
      <w:r w:rsidR="009A02F3" w:rsidRPr="0070292F">
        <w:rPr>
          <w:lang w:val="fr-FR"/>
        </w:rPr>
        <w:t>é</w:t>
      </w:r>
      <w:r w:rsidRPr="0070292F">
        <w:rPr>
          <w:lang w:val="fr-FR"/>
        </w:rPr>
        <w:t xml:space="preserve"> sa conduite ; il a continué à fréquenter assidûment certains criminels importants au niveau local (</w:t>
      </w:r>
      <w:r w:rsidRPr="0070292F">
        <w:rPr>
          <w:i/>
          <w:lang w:val="fr-FR"/>
        </w:rPr>
        <w:t>malavita locale</w:t>
      </w:r>
      <w:r w:rsidRPr="0070292F">
        <w:rPr>
          <w:lang w:val="fr-FR"/>
        </w:rPr>
        <w:t>) et à commettre des délits (voir l</w:t>
      </w:r>
      <w:r w:rsidR="0070292F" w:rsidRPr="0070292F">
        <w:rPr>
          <w:lang w:val="fr-FR"/>
        </w:rPr>
        <w:t>’</w:t>
      </w:r>
      <w:r w:rsidRPr="0070292F">
        <w:rPr>
          <w:lang w:val="fr-FR"/>
        </w:rPr>
        <w:t xml:space="preserve">acte </w:t>
      </w:r>
      <w:r w:rsidR="009A02F3" w:rsidRPr="0070292F">
        <w:rPr>
          <w:lang w:val="fr-FR"/>
        </w:rPr>
        <w:t>d</w:t>
      </w:r>
      <w:r w:rsidR="0070292F" w:rsidRPr="0070292F">
        <w:rPr>
          <w:lang w:val="fr-FR"/>
        </w:rPr>
        <w:t>’</w:t>
      </w:r>
      <w:r w:rsidR="009A02F3" w:rsidRPr="0070292F">
        <w:rPr>
          <w:lang w:val="fr-FR"/>
        </w:rPr>
        <w:t>accusation</w:t>
      </w:r>
      <w:r w:rsidR="00114E0F" w:rsidRPr="0070292F">
        <w:rPr>
          <w:lang w:val="fr-FR"/>
        </w:rPr>
        <w:t> </w:t>
      </w:r>
      <w:r w:rsidRPr="0070292F">
        <w:rPr>
          <w:lang w:val="fr-FR"/>
        </w:rPr>
        <w:t>: infraction aux obligations associées à la surveillance le 25 avril 2007 ; infraction aux obligations associées à la surveillance</w:t>
      </w:r>
      <w:r w:rsidR="0070292F" w:rsidRPr="0070292F">
        <w:rPr>
          <w:lang w:val="fr-FR"/>
        </w:rPr>
        <w:t xml:space="preserve"> le 29 avril 2007). »</w:t>
      </w:r>
    </w:p>
    <w:p w:rsidR="00E13079" w:rsidRPr="0070292F" w:rsidRDefault="009A3573"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16</w:t>
      </w:r>
      <w:r w:rsidRPr="0070292F">
        <w:rPr>
          <w:lang w:val="fr-FR"/>
        </w:rPr>
        <w:fldChar w:fldCharType="end"/>
      </w:r>
      <w:r w:rsidRPr="0070292F">
        <w:rPr>
          <w:lang w:val="fr-FR"/>
        </w:rPr>
        <w:t xml:space="preserve">.  Le tribunal </w:t>
      </w:r>
      <w:r w:rsidR="002205C9" w:rsidRPr="0070292F">
        <w:rPr>
          <w:lang w:val="fr-FR"/>
        </w:rPr>
        <w:t>ajouta ceci</w:t>
      </w:r>
      <w:r w:rsidR="00E13079" w:rsidRPr="0070292F">
        <w:rPr>
          <w:lang w:val="fr-FR"/>
        </w:rPr>
        <w:t> :</w:t>
      </w:r>
    </w:p>
    <w:p w:rsidR="00E13079" w:rsidRPr="0070292F" w:rsidRDefault="008038C6" w:rsidP="0070292F">
      <w:pPr>
        <w:pStyle w:val="ECHRParaQuote"/>
        <w:rPr>
          <w:rFonts w:eastAsia="Calibri"/>
          <w:lang w:val="fr-FR"/>
        </w:rPr>
      </w:pPr>
      <w:r w:rsidRPr="0070292F">
        <w:rPr>
          <w:rFonts w:eastAsia="Calibri"/>
          <w:lang w:val="fr-FR"/>
        </w:rPr>
        <w:t>« </w:t>
      </w:r>
      <w:r w:rsidR="00E13079" w:rsidRPr="0070292F">
        <w:rPr>
          <w:rFonts w:eastAsia="Calibri"/>
          <w:lang w:val="fr-FR"/>
        </w:rPr>
        <w:t>Le</w:t>
      </w:r>
      <w:r w:rsidR="001C6B54" w:rsidRPr="0070292F">
        <w:rPr>
          <w:rFonts w:eastAsia="Calibri"/>
          <w:lang w:val="fr-FR"/>
        </w:rPr>
        <w:t>s</w:t>
      </w:r>
      <w:r w:rsidR="00E13079" w:rsidRPr="0070292F">
        <w:rPr>
          <w:rFonts w:eastAsia="Calibri"/>
          <w:lang w:val="fr-FR"/>
        </w:rPr>
        <w:t xml:space="preserve"> </w:t>
      </w:r>
      <w:r w:rsidR="001C6B54" w:rsidRPr="0070292F">
        <w:rPr>
          <w:rFonts w:eastAsia="Calibri"/>
          <w:lang w:val="fr-FR"/>
        </w:rPr>
        <w:t xml:space="preserve">conclusions </w:t>
      </w:r>
      <w:r w:rsidR="00E13079" w:rsidRPr="0070292F">
        <w:rPr>
          <w:rFonts w:eastAsia="Calibri"/>
          <w:lang w:val="fr-FR"/>
        </w:rPr>
        <w:t>de l</w:t>
      </w:r>
      <w:r w:rsidR="0070292F" w:rsidRPr="0070292F">
        <w:rPr>
          <w:rFonts w:eastAsia="Calibri"/>
          <w:lang w:val="fr-FR"/>
        </w:rPr>
        <w:t>’</w:t>
      </w:r>
      <w:r w:rsidR="00E13079" w:rsidRPr="0070292F">
        <w:rPr>
          <w:rFonts w:eastAsia="Calibri"/>
          <w:lang w:val="fr-FR"/>
        </w:rPr>
        <w:t xml:space="preserve">instruction (voir les documents et certificats </w:t>
      </w:r>
      <w:r w:rsidR="0061547B" w:rsidRPr="0070292F">
        <w:rPr>
          <w:rFonts w:eastAsia="Calibri"/>
          <w:lang w:val="fr-FR"/>
        </w:rPr>
        <w:t xml:space="preserve">joints </w:t>
      </w:r>
      <w:r w:rsidR="00E13079" w:rsidRPr="0070292F">
        <w:rPr>
          <w:rFonts w:eastAsia="Calibri"/>
          <w:lang w:val="fr-FR"/>
        </w:rPr>
        <w:t>au dossier) montr</w:t>
      </w:r>
      <w:r w:rsidR="001C6B54" w:rsidRPr="0070292F">
        <w:rPr>
          <w:rFonts w:eastAsia="Calibri"/>
          <w:lang w:val="fr-FR"/>
        </w:rPr>
        <w:t>ent</w:t>
      </w:r>
      <w:r w:rsidR="00E13079" w:rsidRPr="0070292F">
        <w:rPr>
          <w:rFonts w:eastAsia="Calibri"/>
          <w:lang w:val="fr-FR"/>
        </w:rPr>
        <w:t xml:space="preserve"> que </w:t>
      </w:r>
      <w:r w:rsidR="0061547B" w:rsidRPr="0070292F">
        <w:rPr>
          <w:rFonts w:eastAsia="Calibri"/>
          <w:lang w:val="fr-FR"/>
        </w:rPr>
        <w:t xml:space="preserve">M. </w:t>
      </w:r>
      <w:r w:rsidR="00600F60" w:rsidRPr="0070292F">
        <w:rPr>
          <w:rFonts w:eastAsia="Calibri"/>
          <w:lang w:val="fr-FR"/>
        </w:rPr>
        <w:t xml:space="preserve">Angelo </w:t>
      </w:r>
      <w:r w:rsidRPr="0070292F">
        <w:rPr>
          <w:rFonts w:eastAsia="Calibri"/>
          <w:lang w:val="fr-FR"/>
        </w:rPr>
        <w:t>d</w:t>
      </w:r>
      <w:r w:rsidR="00A93616" w:rsidRPr="0070292F">
        <w:rPr>
          <w:rFonts w:eastAsia="Calibri"/>
          <w:lang w:val="fr-FR"/>
        </w:rPr>
        <w:t>e Tommaso</w:t>
      </w:r>
      <w:r w:rsidR="00E13079" w:rsidRPr="0070292F">
        <w:rPr>
          <w:rFonts w:eastAsia="Calibri"/>
          <w:lang w:val="fr-FR"/>
        </w:rPr>
        <w:t xml:space="preserve"> est effectivement et actuellement impliqué dans différents </w:t>
      </w:r>
      <w:r w:rsidR="007C015C" w:rsidRPr="0070292F">
        <w:rPr>
          <w:rFonts w:eastAsia="Calibri"/>
          <w:lang w:val="fr-FR"/>
        </w:rPr>
        <w:t>actes délictueux</w:t>
      </w:r>
      <w:r w:rsidR="00E13079" w:rsidRPr="0070292F">
        <w:rPr>
          <w:rFonts w:eastAsia="Calibri"/>
          <w:lang w:val="fr-FR"/>
        </w:rPr>
        <w:t>, dont les plus alarmants pour l</w:t>
      </w:r>
      <w:r w:rsidR="0070292F" w:rsidRPr="0070292F">
        <w:rPr>
          <w:rFonts w:eastAsia="Calibri"/>
          <w:lang w:val="fr-FR"/>
        </w:rPr>
        <w:t>’</w:t>
      </w:r>
      <w:r w:rsidR="00E13079" w:rsidRPr="0070292F">
        <w:rPr>
          <w:rFonts w:eastAsia="Calibri"/>
          <w:lang w:val="fr-FR"/>
        </w:rPr>
        <w:t>ordre et la sécurité publique</w:t>
      </w:r>
      <w:r w:rsidRPr="0070292F">
        <w:rPr>
          <w:rFonts w:eastAsia="Calibri"/>
          <w:lang w:val="fr-FR"/>
        </w:rPr>
        <w:t>s</w:t>
      </w:r>
      <w:r w:rsidR="00E13079" w:rsidRPr="0070292F">
        <w:rPr>
          <w:rFonts w:eastAsia="Calibri"/>
          <w:lang w:val="fr-FR"/>
        </w:rPr>
        <w:t xml:space="preserve"> sont les infractions </w:t>
      </w:r>
      <w:r w:rsidR="00600F60" w:rsidRPr="0070292F">
        <w:rPr>
          <w:rFonts w:eastAsia="Calibri"/>
          <w:lang w:val="fr-FR"/>
        </w:rPr>
        <w:t>d</w:t>
      </w:r>
      <w:r w:rsidR="0070292F" w:rsidRPr="0070292F">
        <w:rPr>
          <w:rFonts w:eastAsia="Calibri"/>
          <w:lang w:val="fr-FR"/>
        </w:rPr>
        <w:t>’</w:t>
      </w:r>
      <w:r w:rsidR="00600F60" w:rsidRPr="0070292F">
        <w:rPr>
          <w:rFonts w:eastAsia="Calibri"/>
          <w:lang w:val="fr-FR"/>
        </w:rPr>
        <w:t>ordre</w:t>
      </w:r>
      <w:r w:rsidR="00E13079" w:rsidRPr="0070292F">
        <w:rPr>
          <w:rFonts w:eastAsia="Calibri"/>
          <w:lang w:val="fr-FR"/>
        </w:rPr>
        <w:t xml:space="preserve"> patrimo</w:t>
      </w:r>
      <w:r w:rsidR="00600F60" w:rsidRPr="0070292F">
        <w:rPr>
          <w:rFonts w:eastAsia="Calibri"/>
          <w:lang w:val="fr-FR"/>
        </w:rPr>
        <w:t>nial</w:t>
      </w:r>
      <w:r w:rsidR="00E13079" w:rsidRPr="0070292F">
        <w:rPr>
          <w:rFonts w:eastAsia="Calibri"/>
          <w:lang w:val="fr-FR"/>
        </w:rPr>
        <w:t xml:space="preserve"> et </w:t>
      </w:r>
      <w:r w:rsidR="00747B8E" w:rsidRPr="0070292F">
        <w:rPr>
          <w:rFonts w:eastAsia="Calibri"/>
          <w:lang w:val="fr-FR"/>
        </w:rPr>
        <w:t>en matière d</w:t>
      </w:r>
      <w:r w:rsidR="0070292F" w:rsidRPr="0070292F">
        <w:rPr>
          <w:rFonts w:eastAsia="Calibri"/>
          <w:lang w:val="fr-FR"/>
        </w:rPr>
        <w:t>’</w:t>
      </w:r>
      <w:r w:rsidR="00E13079" w:rsidRPr="0070292F">
        <w:rPr>
          <w:rFonts w:eastAsia="Calibri"/>
          <w:lang w:val="fr-FR"/>
        </w:rPr>
        <w:t xml:space="preserve">armes et </w:t>
      </w:r>
      <w:r w:rsidR="00747B8E" w:rsidRPr="0070292F">
        <w:rPr>
          <w:rFonts w:eastAsia="Calibri"/>
          <w:lang w:val="fr-FR"/>
        </w:rPr>
        <w:t xml:space="preserve">de </w:t>
      </w:r>
      <w:r w:rsidR="00E13079" w:rsidRPr="0070292F">
        <w:rPr>
          <w:rFonts w:eastAsia="Calibri"/>
          <w:lang w:val="fr-FR"/>
        </w:rPr>
        <w:t>stupéfiants.</w:t>
      </w:r>
    </w:p>
    <w:p w:rsidR="00E13079" w:rsidRPr="0070292F" w:rsidRDefault="00747B8E" w:rsidP="0070292F">
      <w:pPr>
        <w:pStyle w:val="ECHRParaQuote"/>
        <w:rPr>
          <w:rFonts w:eastAsia="Calibri"/>
          <w:lang w:val="fr-FR"/>
        </w:rPr>
      </w:pPr>
      <w:r w:rsidRPr="0070292F">
        <w:rPr>
          <w:rFonts w:eastAsia="Calibri"/>
          <w:lang w:val="fr-FR"/>
        </w:rPr>
        <w:t>À c</w:t>
      </w:r>
      <w:r w:rsidR="00E13079" w:rsidRPr="0070292F">
        <w:rPr>
          <w:rFonts w:eastAsia="Calibri"/>
          <w:lang w:val="fr-FR"/>
        </w:rPr>
        <w:t xml:space="preserve">e cadre négatif </w:t>
      </w:r>
      <w:r w:rsidRPr="0070292F">
        <w:rPr>
          <w:rFonts w:eastAsia="Calibri"/>
          <w:lang w:val="fr-FR"/>
        </w:rPr>
        <w:t>s</w:t>
      </w:r>
      <w:r w:rsidR="0070292F" w:rsidRPr="0070292F">
        <w:rPr>
          <w:rFonts w:eastAsia="Calibri"/>
          <w:lang w:val="fr-FR"/>
        </w:rPr>
        <w:t>’</w:t>
      </w:r>
      <w:r w:rsidRPr="0070292F">
        <w:rPr>
          <w:rFonts w:eastAsia="Calibri"/>
          <w:lang w:val="fr-FR"/>
        </w:rPr>
        <w:t xml:space="preserve">ajoute </w:t>
      </w:r>
      <w:r w:rsidR="00E13079" w:rsidRPr="0070292F">
        <w:rPr>
          <w:rFonts w:eastAsia="Calibri"/>
          <w:lang w:val="fr-FR"/>
        </w:rPr>
        <w:t xml:space="preserve">le contenu du signalement </w:t>
      </w:r>
      <w:r w:rsidRPr="0070292F">
        <w:rPr>
          <w:rFonts w:eastAsia="Calibri"/>
          <w:lang w:val="fr-FR"/>
        </w:rPr>
        <w:t>fait récemment, le 26 janvier 2008,</w:t>
      </w:r>
      <w:r w:rsidR="00E13079" w:rsidRPr="0070292F">
        <w:rPr>
          <w:rFonts w:eastAsia="Calibri"/>
          <w:lang w:val="fr-FR"/>
        </w:rPr>
        <w:t xml:space="preserve"> par le corps des carabiniers de Gioia del Colle, dont il ressort que </w:t>
      </w:r>
      <w:r w:rsidR="008038C6" w:rsidRPr="0070292F">
        <w:rPr>
          <w:rFonts w:eastAsia="Calibri"/>
          <w:lang w:val="fr-FR"/>
        </w:rPr>
        <w:t>la tendance</w:t>
      </w:r>
      <w:r w:rsidR="00E13079" w:rsidRPr="0070292F">
        <w:rPr>
          <w:rFonts w:eastAsia="Calibri"/>
          <w:lang w:val="fr-FR"/>
        </w:rPr>
        <w:t xml:space="preserve"> du sujet à la délinquance, loin d</w:t>
      </w:r>
      <w:r w:rsidR="0070292F" w:rsidRPr="0070292F">
        <w:rPr>
          <w:rFonts w:eastAsia="Calibri"/>
          <w:lang w:val="fr-FR"/>
        </w:rPr>
        <w:t>’</w:t>
      </w:r>
      <w:r w:rsidR="00E13079" w:rsidRPr="0070292F">
        <w:rPr>
          <w:rFonts w:eastAsia="Calibri"/>
          <w:lang w:val="fr-FR"/>
        </w:rPr>
        <w:t xml:space="preserve">avoir disparu, est considérée comme active et opérationnelle. Il ressort des pièces </w:t>
      </w:r>
      <w:r w:rsidRPr="0070292F">
        <w:rPr>
          <w:rFonts w:eastAsia="Calibri"/>
          <w:lang w:val="fr-FR"/>
        </w:rPr>
        <w:t xml:space="preserve">du </w:t>
      </w:r>
      <w:r w:rsidR="00E13079" w:rsidRPr="0070292F">
        <w:rPr>
          <w:rFonts w:eastAsia="Calibri"/>
          <w:lang w:val="fr-FR"/>
        </w:rPr>
        <w:t>dossier que le sujet n</w:t>
      </w:r>
      <w:r w:rsidR="0070292F" w:rsidRPr="0070292F">
        <w:rPr>
          <w:rFonts w:eastAsia="Calibri"/>
          <w:lang w:val="fr-FR"/>
        </w:rPr>
        <w:t>’</w:t>
      </w:r>
      <w:r w:rsidR="00E13079" w:rsidRPr="0070292F">
        <w:rPr>
          <w:rFonts w:eastAsia="Calibri"/>
          <w:lang w:val="fr-FR"/>
        </w:rPr>
        <w:t xml:space="preserve">exerce aucune activité professionnelle fixe et légale (il </w:t>
      </w:r>
      <w:r w:rsidR="007C015C" w:rsidRPr="0070292F">
        <w:rPr>
          <w:rFonts w:eastAsia="Calibri"/>
          <w:lang w:val="fr-FR"/>
        </w:rPr>
        <w:t>s</w:t>
      </w:r>
      <w:r w:rsidR="0070292F" w:rsidRPr="0070292F">
        <w:rPr>
          <w:rFonts w:eastAsia="Calibri"/>
          <w:lang w:val="fr-FR"/>
        </w:rPr>
        <w:t>’</w:t>
      </w:r>
      <w:r w:rsidR="007C015C" w:rsidRPr="0070292F">
        <w:rPr>
          <w:rFonts w:eastAsia="Calibri"/>
          <w:lang w:val="fr-FR"/>
        </w:rPr>
        <w:t>est déclaré</w:t>
      </w:r>
      <w:r w:rsidR="00E13079" w:rsidRPr="0070292F">
        <w:rPr>
          <w:rFonts w:eastAsia="Calibri"/>
          <w:lang w:val="fr-FR"/>
        </w:rPr>
        <w:t xml:space="preserve"> disponib</w:t>
      </w:r>
      <w:r w:rsidR="007C015C" w:rsidRPr="0070292F">
        <w:rPr>
          <w:rFonts w:eastAsia="Calibri"/>
          <w:lang w:val="fr-FR"/>
        </w:rPr>
        <w:t>le</w:t>
      </w:r>
      <w:r w:rsidR="00E13079" w:rsidRPr="0070292F">
        <w:rPr>
          <w:rFonts w:eastAsia="Calibri"/>
          <w:lang w:val="fr-FR"/>
        </w:rPr>
        <w:t xml:space="preserve"> pour un emploi à partir de février 2008) et que les faits graves pris en considération sont tels qu</w:t>
      </w:r>
      <w:r w:rsidR="0070292F" w:rsidRPr="0070292F">
        <w:rPr>
          <w:rFonts w:eastAsia="Calibri"/>
          <w:lang w:val="fr-FR"/>
        </w:rPr>
        <w:t>’</w:t>
      </w:r>
      <w:r w:rsidR="00E13079" w:rsidRPr="0070292F">
        <w:rPr>
          <w:rFonts w:eastAsia="Calibri"/>
          <w:lang w:val="fr-FR"/>
        </w:rPr>
        <w:t>ils permettent de penser qu</w:t>
      </w:r>
      <w:r w:rsidR="0070292F" w:rsidRPr="0070292F">
        <w:rPr>
          <w:rFonts w:eastAsia="Calibri"/>
          <w:lang w:val="fr-FR"/>
        </w:rPr>
        <w:t>’</w:t>
      </w:r>
      <w:r w:rsidR="00E13079" w:rsidRPr="0070292F">
        <w:rPr>
          <w:rFonts w:eastAsia="Calibri"/>
          <w:lang w:val="fr-FR"/>
        </w:rPr>
        <w:t>il a jusqu</w:t>
      </w:r>
      <w:r w:rsidR="0070292F" w:rsidRPr="0070292F">
        <w:rPr>
          <w:rFonts w:eastAsia="Calibri"/>
          <w:lang w:val="fr-FR"/>
        </w:rPr>
        <w:t>’</w:t>
      </w:r>
      <w:r w:rsidR="00E13079" w:rsidRPr="0070292F">
        <w:rPr>
          <w:rFonts w:eastAsia="Calibri"/>
          <w:lang w:val="fr-FR"/>
        </w:rPr>
        <w:t xml:space="preserve">à présent tiré une grande partie de ses moyens de subsistance de son activité </w:t>
      </w:r>
      <w:r w:rsidR="007658D0" w:rsidRPr="0070292F">
        <w:rPr>
          <w:rFonts w:eastAsia="Calibri"/>
          <w:lang w:val="fr-FR"/>
        </w:rPr>
        <w:t>délictueuse</w:t>
      </w:r>
      <w:r w:rsidR="00E13079" w:rsidRPr="0070292F">
        <w:rPr>
          <w:rFonts w:eastAsia="Calibri"/>
          <w:lang w:val="fr-FR"/>
        </w:rPr>
        <w:t xml:space="preserve">, recourant </w:t>
      </w:r>
      <w:r w:rsidRPr="0070292F">
        <w:rPr>
          <w:rFonts w:eastAsia="Calibri"/>
          <w:lang w:val="fr-FR"/>
        </w:rPr>
        <w:t>constamment aux</w:t>
      </w:r>
      <w:r w:rsidR="00E13079" w:rsidRPr="0070292F">
        <w:rPr>
          <w:rFonts w:eastAsia="Calibri"/>
          <w:lang w:val="fr-FR"/>
        </w:rPr>
        <w:t xml:space="preserve"> délits, commis seul ou en associ</w:t>
      </w:r>
      <w:r w:rsidRPr="0070292F">
        <w:rPr>
          <w:rFonts w:eastAsia="Calibri"/>
          <w:lang w:val="fr-FR"/>
        </w:rPr>
        <w:t>ation</w:t>
      </w:r>
      <w:r w:rsidR="00E13079" w:rsidRPr="0070292F">
        <w:rPr>
          <w:rFonts w:eastAsia="Calibri"/>
          <w:lang w:val="fr-FR"/>
        </w:rPr>
        <w:t xml:space="preserve"> avec des repris de justice (dans </w:t>
      </w:r>
      <w:r w:rsidRPr="0070292F">
        <w:rPr>
          <w:rFonts w:eastAsia="Calibri"/>
          <w:lang w:val="fr-FR"/>
        </w:rPr>
        <w:t>sa localité</w:t>
      </w:r>
      <w:r w:rsidR="00E13079" w:rsidRPr="0070292F">
        <w:rPr>
          <w:rFonts w:eastAsia="Calibri"/>
          <w:lang w:val="fr-FR"/>
        </w:rPr>
        <w:t xml:space="preserve"> de résidence </w:t>
      </w:r>
      <w:r w:rsidRPr="0070292F">
        <w:rPr>
          <w:rFonts w:eastAsia="Calibri"/>
          <w:lang w:val="fr-FR"/>
        </w:rPr>
        <w:t>ou</w:t>
      </w:r>
      <w:r w:rsidR="00E13079" w:rsidRPr="0070292F">
        <w:rPr>
          <w:rFonts w:eastAsia="Calibri"/>
          <w:lang w:val="fr-FR"/>
        </w:rPr>
        <w:t xml:space="preserve"> dans d</w:t>
      </w:r>
      <w:r w:rsidR="0070292F" w:rsidRPr="0070292F">
        <w:rPr>
          <w:rFonts w:eastAsia="Calibri"/>
          <w:lang w:val="fr-FR"/>
        </w:rPr>
        <w:t>’</w:t>
      </w:r>
      <w:r w:rsidR="00E13079" w:rsidRPr="0070292F">
        <w:rPr>
          <w:rFonts w:eastAsia="Calibri"/>
          <w:lang w:val="fr-FR"/>
        </w:rPr>
        <w:t>autres localités). D</w:t>
      </w:r>
      <w:r w:rsidR="0070292F" w:rsidRPr="0070292F">
        <w:rPr>
          <w:rFonts w:eastAsia="Calibri"/>
          <w:lang w:val="fr-FR"/>
        </w:rPr>
        <w:t>’</w:t>
      </w:r>
      <w:r w:rsidR="00E13079" w:rsidRPr="0070292F">
        <w:rPr>
          <w:rFonts w:eastAsia="Calibri"/>
          <w:lang w:val="fr-FR"/>
        </w:rPr>
        <w:t xml:space="preserve">où la nécessité, pour permettre un contrôle plus assidu, de prononcer, en plus de la surveillance spéciale </w:t>
      </w:r>
      <w:r w:rsidRPr="0070292F">
        <w:rPr>
          <w:rFonts w:eastAsia="Calibri"/>
          <w:lang w:val="fr-FR"/>
        </w:rPr>
        <w:t>de</w:t>
      </w:r>
      <w:r w:rsidR="00E13079" w:rsidRPr="0070292F">
        <w:rPr>
          <w:rFonts w:eastAsia="Calibri"/>
          <w:lang w:val="fr-FR"/>
        </w:rPr>
        <w:t xml:space="preserve"> police </w:t>
      </w:r>
      <w:r w:rsidRPr="0070292F">
        <w:rPr>
          <w:rFonts w:eastAsia="Calibri"/>
          <w:lang w:val="fr-FR"/>
        </w:rPr>
        <w:t>d</w:t>
      </w:r>
      <w:r w:rsidR="0070292F" w:rsidRPr="0070292F">
        <w:rPr>
          <w:rFonts w:eastAsia="Calibri"/>
          <w:lang w:val="fr-FR"/>
        </w:rPr>
        <w:t>’</w:t>
      </w:r>
      <w:r w:rsidR="00E13079" w:rsidRPr="0070292F">
        <w:rPr>
          <w:rFonts w:eastAsia="Calibri"/>
          <w:lang w:val="fr-FR"/>
        </w:rPr>
        <w:t>une durée de deux ans (mesure jugée appropriée au vu de la personnalité du sujet, telle qu</w:t>
      </w:r>
      <w:r w:rsidR="0070292F" w:rsidRPr="0070292F">
        <w:rPr>
          <w:rFonts w:eastAsia="Calibri"/>
          <w:lang w:val="fr-FR"/>
        </w:rPr>
        <w:t>’</w:t>
      </w:r>
      <w:r w:rsidR="00E13079" w:rsidRPr="0070292F">
        <w:rPr>
          <w:rFonts w:eastAsia="Calibri"/>
          <w:lang w:val="fr-FR"/>
        </w:rPr>
        <w:t xml:space="preserve">elle ressort des </w:t>
      </w:r>
      <w:r w:rsidRPr="0070292F">
        <w:rPr>
          <w:rFonts w:eastAsia="Calibri"/>
          <w:lang w:val="fr-FR"/>
        </w:rPr>
        <w:t>actes</w:t>
      </w:r>
      <w:r w:rsidR="00E13079" w:rsidRPr="0070292F">
        <w:rPr>
          <w:rFonts w:eastAsia="Calibri"/>
          <w:lang w:val="fr-FR"/>
        </w:rPr>
        <w:t xml:space="preserve"> attribués</w:t>
      </w:r>
      <w:r w:rsidRPr="0070292F">
        <w:rPr>
          <w:rFonts w:eastAsia="Calibri"/>
          <w:lang w:val="fr-FR"/>
        </w:rPr>
        <w:t xml:space="preserve"> à celui-ci</w:t>
      </w:r>
      <w:r w:rsidR="00E13079" w:rsidRPr="0070292F">
        <w:rPr>
          <w:rFonts w:eastAsia="Calibri"/>
          <w:lang w:val="fr-FR"/>
        </w:rPr>
        <w:t>),</w:t>
      </w:r>
      <w:r w:rsidRPr="0070292F">
        <w:rPr>
          <w:rFonts w:eastAsia="Calibri"/>
          <w:lang w:val="fr-FR"/>
        </w:rPr>
        <w:t xml:space="preserve"> une </w:t>
      </w:r>
      <w:r w:rsidR="00E13079" w:rsidRPr="0070292F">
        <w:rPr>
          <w:rFonts w:eastAsia="Calibri"/>
          <w:lang w:val="fr-FR"/>
        </w:rPr>
        <w:t>assignation à résidence pour la même durée</w:t>
      </w:r>
      <w:r w:rsidR="0070292F" w:rsidRPr="0070292F">
        <w:rPr>
          <w:rFonts w:eastAsia="Calibri"/>
          <w:lang w:val="fr-FR"/>
        </w:rPr>
        <w:t>. »</w:t>
      </w:r>
    </w:p>
    <w:p w:rsidR="009A3573" w:rsidRPr="0070292F" w:rsidRDefault="009A3573" w:rsidP="0070292F">
      <w:pPr>
        <w:pStyle w:val="ECHRPara"/>
        <w:rPr>
          <w:lang w:val="fr-FR"/>
        </w:rPr>
      </w:pPr>
      <w:r w:rsidRPr="0070292F">
        <w:rPr>
          <w:lang w:val="fr-FR"/>
        </w:rPr>
        <w:lastRenderedPageBreak/>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17</w:t>
      </w:r>
      <w:r w:rsidRPr="0070292F">
        <w:rPr>
          <w:lang w:val="fr-FR"/>
        </w:rPr>
        <w:fldChar w:fldCharType="end"/>
      </w:r>
      <w:r w:rsidRPr="0070292F">
        <w:rPr>
          <w:lang w:val="fr-FR"/>
        </w:rPr>
        <w:t xml:space="preserve">.  La mesure de prévention </w:t>
      </w:r>
      <w:r w:rsidR="00747B8E" w:rsidRPr="0070292F">
        <w:rPr>
          <w:lang w:val="fr-FR"/>
        </w:rPr>
        <w:t>imposait à</w:t>
      </w:r>
      <w:r w:rsidRPr="0070292F">
        <w:rPr>
          <w:lang w:val="fr-FR"/>
        </w:rPr>
        <w:t xml:space="preserve"> l</w:t>
      </w:r>
      <w:r w:rsidR="0070292F" w:rsidRPr="0070292F">
        <w:rPr>
          <w:lang w:val="fr-FR"/>
        </w:rPr>
        <w:t>’</w:t>
      </w:r>
      <w:r w:rsidRPr="0070292F">
        <w:rPr>
          <w:lang w:val="fr-FR"/>
        </w:rPr>
        <w:t>intéressé les obligations suivantes :</w:t>
      </w:r>
    </w:p>
    <w:p w:rsidR="009A3573" w:rsidRPr="0070292F" w:rsidRDefault="00747B8E" w:rsidP="0070292F">
      <w:pPr>
        <w:pStyle w:val="ECHRPara"/>
        <w:rPr>
          <w:lang w:val="fr-FR"/>
        </w:rPr>
      </w:pPr>
      <w:r w:rsidRPr="0070292F">
        <w:rPr>
          <w:lang w:val="fr-FR"/>
        </w:rPr>
        <w:t>–</w:t>
      </w:r>
      <w:r w:rsidR="00B247F1" w:rsidRPr="0070292F">
        <w:rPr>
          <w:lang w:val="fr-FR"/>
        </w:rPr>
        <w:t>  </w:t>
      </w:r>
      <w:r w:rsidR="009A3573" w:rsidRPr="0070292F">
        <w:rPr>
          <w:lang w:val="fr-FR"/>
        </w:rPr>
        <w:t>se présenter une fois par semaine à l</w:t>
      </w:r>
      <w:r w:rsidR="0070292F" w:rsidRPr="0070292F">
        <w:rPr>
          <w:lang w:val="fr-FR"/>
        </w:rPr>
        <w:t>’</w:t>
      </w:r>
      <w:r w:rsidR="009A3573" w:rsidRPr="0070292F">
        <w:rPr>
          <w:lang w:val="fr-FR"/>
        </w:rPr>
        <w:t>autorité de police chargée de la surveillance ;</w:t>
      </w:r>
    </w:p>
    <w:p w:rsidR="009A3573" w:rsidRPr="0070292F" w:rsidRDefault="00747B8E" w:rsidP="0070292F">
      <w:pPr>
        <w:pStyle w:val="ECHRPara"/>
        <w:rPr>
          <w:lang w:val="fr-FR"/>
        </w:rPr>
      </w:pPr>
      <w:r w:rsidRPr="0070292F">
        <w:rPr>
          <w:lang w:val="fr-FR"/>
        </w:rPr>
        <w:t>–</w:t>
      </w:r>
      <w:r w:rsidR="00B247F1" w:rsidRPr="0070292F">
        <w:rPr>
          <w:lang w:val="fr-FR"/>
        </w:rPr>
        <w:t>  </w:t>
      </w:r>
      <w:r w:rsidR="007658D0" w:rsidRPr="0070292F">
        <w:rPr>
          <w:lang w:val="fr-FR"/>
        </w:rPr>
        <w:t>re</w:t>
      </w:r>
      <w:r w:rsidR="009A3573" w:rsidRPr="0070292F">
        <w:rPr>
          <w:lang w:val="fr-FR"/>
        </w:rPr>
        <w:t>chercher du travail dans le délai d</w:t>
      </w:r>
      <w:r w:rsidR="0070292F" w:rsidRPr="0070292F">
        <w:rPr>
          <w:lang w:val="fr-FR"/>
        </w:rPr>
        <w:t>’</w:t>
      </w:r>
      <w:r w:rsidR="009A3573" w:rsidRPr="0070292F">
        <w:rPr>
          <w:lang w:val="fr-FR"/>
        </w:rPr>
        <w:t>un mois ;</w:t>
      </w:r>
    </w:p>
    <w:p w:rsidR="009A3573" w:rsidRPr="0070292F" w:rsidRDefault="00747B8E" w:rsidP="0070292F">
      <w:pPr>
        <w:pStyle w:val="ECHRPara"/>
        <w:rPr>
          <w:lang w:val="fr-FR"/>
        </w:rPr>
      </w:pPr>
      <w:r w:rsidRPr="0070292F">
        <w:rPr>
          <w:lang w:val="fr-FR"/>
        </w:rPr>
        <w:t>–  </w:t>
      </w:r>
      <w:r w:rsidR="009A3573" w:rsidRPr="0070292F">
        <w:rPr>
          <w:lang w:val="fr-FR"/>
        </w:rPr>
        <w:t>habiter à Casamassima et ne pas changer de lieu de résidence ;</w:t>
      </w:r>
    </w:p>
    <w:p w:rsidR="009A3573" w:rsidRPr="0070292F" w:rsidRDefault="00747B8E" w:rsidP="0070292F">
      <w:pPr>
        <w:pStyle w:val="ECHRPara"/>
        <w:rPr>
          <w:lang w:val="fr-FR"/>
        </w:rPr>
      </w:pPr>
      <w:r w:rsidRPr="0070292F">
        <w:rPr>
          <w:lang w:val="fr-FR"/>
        </w:rPr>
        <w:t>–  </w:t>
      </w:r>
      <w:r w:rsidR="009A3573" w:rsidRPr="0070292F">
        <w:rPr>
          <w:lang w:val="fr-FR"/>
        </w:rPr>
        <w:t>vivre honnêtement et dans le respect des lois, ne pas prêter à soupçon</w:t>
      </w:r>
      <w:r w:rsidR="00B247F1" w:rsidRPr="0070292F">
        <w:rPr>
          <w:lang w:val="fr-FR"/>
        </w:rPr>
        <w:t> ;</w:t>
      </w:r>
    </w:p>
    <w:p w:rsidR="009A3573" w:rsidRPr="0070292F" w:rsidRDefault="00747B8E" w:rsidP="0070292F">
      <w:pPr>
        <w:pStyle w:val="ECHRPara"/>
        <w:rPr>
          <w:lang w:val="fr-FR"/>
        </w:rPr>
      </w:pPr>
      <w:r w:rsidRPr="0070292F">
        <w:rPr>
          <w:lang w:val="fr-FR"/>
        </w:rPr>
        <w:t>–  </w:t>
      </w:r>
      <w:r w:rsidR="009A3573" w:rsidRPr="0070292F">
        <w:rPr>
          <w:lang w:val="fr-FR"/>
        </w:rPr>
        <w:t xml:space="preserve">ne pas fréquenter des personnes ayant </w:t>
      </w:r>
      <w:r w:rsidR="009D13EC" w:rsidRPr="0070292F">
        <w:rPr>
          <w:lang w:val="fr-FR"/>
        </w:rPr>
        <w:t>fait l</w:t>
      </w:r>
      <w:r w:rsidR="0070292F" w:rsidRPr="0070292F">
        <w:rPr>
          <w:lang w:val="fr-FR"/>
        </w:rPr>
        <w:t>’</w:t>
      </w:r>
      <w:r w:rsidR="009D13EC" w:rsidRPr="0070292F">
        <w:rPr>
          <w:lang w:val="fr-FR"/>
        </w:rPr>
        <w:t>objet de</w:t>
      </w:r>
      <w:r w:rsidR="009A3573" w:rsidRPr="0070292F">
        <w:rPr>
          <w:lang w:val="fr-FR"/>
        </w:rPr>
        <w:t xml:space="preserve"> condamnations et soumises à des mesures de prévention ou de sûreté</w:t>
      </w:r>
      <w:r w:rsidR="00B247F1" w:rsidRPr="0070292F">
        <w:rPr>
          <w:lang w:val="fr-FR"/>
        </w:rPr>
        <w:t> </w:t>
      </w:r>
      <w:r w:rsidR="009A3573" w:rsidRPr="0070292F">
        <w:rPr>
          <w:lang w:val="fr-FR"/>
        </w:rPr>
        <w:t>;</w:t>
      </w:r>
    </w:p>
    <w:p w:rsidR="009A3573" w:rsidRPr="0070292F" w:rsidRDefault="00747B8E" w:rsidP="0070292F">
      <w:pPr>
        <w:pStyle w:val="ECHRPara"/>
        <w:rPr>
          <w:lang w:val="fr-FR"/>
        </w:rPr>
      </w:pPr>
      <w:r w:rsidRPr="0070292F">
        <w:rPr>
          <w:lang w:val="fr-FR"/>
        </w:rPr>
        <w:t>–  </w:t>
      </w:r>
      <w:r w:rsidR="009A3573" w:rsidRPr="0070292F">
        <w:rPr>
          <w:lang w:val="fr-FR"/>
        </w:rPr>
        <w:t xml:space="preserve">ne pas rentrer le soir après </w:t>
      </w:r>
      <w:r w:rsidR="00404743" w:rsidRPr="0070292F">
        <w:rPr>
          <w:lang w:val="fr-FR"/>
        </w:rPr>
        <w:t>vingt-deux</w:t>
      </w:r>
      <w:r w:rsidR="009A3573" w:rsidRPr="0070292F">
        <w:rPr>
          <w:lang w:val="fr-FR"/>
        </w:rPr>
        <w:t xml:space="preserve"> heures et ne pas sortir le matin avant </w:t>
      </w:r>
      <w:r w:rsidR="00D72032" w:rsidRPr="0070292F">
        <w:rPr>
          <w:lang w:val="fr-FR"/>
        </w:rPr>
        <w:t xml:space="preserve">six </w:t>
      </w:r>
      <w:r w:rsidR="009A3573" w:rsidRPr="0070292F">
        <w:rPr>
          <w:lang w:val="fr-FR"/>
        </w:rPr>
        <w:t>heures, sauf en cas de nécessité et non sans avoir averti les autorités en temps utile</w:t>
      </w:r>
      <w:r w:rsidR="00B247F1" w:rsidRPr="0070292F">
        <w:rPr>
          <w:lang w:val="fr-FR"/>
        </w:rPr>
        <w:t> </w:t>
      </w:r>
      <w:r w:rsidR="009A3573" w:rsidRPr="0070292F">
        <w:rPr>
          <w:lang w:val="fr-FR"/>
        </w:rPr>
        <w:t>;</w:t>
      </w:r>
    </w:p>
    <w:p w:rsidR="009A3573" w:rsidRPr="0070292F" w:rsidRDefault="00747B8E" w:rsidP="0070292F">
      <w:pPr>
        <w:pStyle w:val="ECHRPara"/>
        <w:rPr>
          <w:lang w:val="fr-FR"/>
        </w:rPr>
      </w:pPr>
      <w:r w:rsidRPr="0070292F">
        <w:rPr>
          <w:lang w:val="fr-FR"/>
        </w:rPr>
        <w:t>–  </w:t>
      </w:r>
      <w:r w:rsidR="009A3573" w:rsidRPr="0070292F">
        <w:rPr>
          <w:lang w:val="fr-FR"/>
        </w:rPr>
        <w:t>ne détenir ni porter aucune arme ;</w:t>
      </w:r>
    </w:p>
    <w:p w:rsidR="009A3573" w:rsidRPr="0070292F" w:rsidRDefault="00747B8E" w:rsidP="0070292F">
      <w:pPr>
        <w:pStyle w:val="ECHRPara"/>
        <w:rPr>
          <w:lang w:val="fr-FR"/>
        </w:rPr>
      </w:pPr>
      <w:r w:rsidRPr="0070292F">
        <w:rPr>
          <w:lang w:val="fr-FR"/>
        </w:rPr>
        <w:t>–  </w:t>
      </w:r>
      <w:r w:rsidR="009A3573" w:rsidRPr="0070292F">
        <w:rPr>
          <w:lang w:val="fr-FR"/>
        </w:rPr>
        <w:t>ne pas fréquenter les cafés, cabarets, salles de jeux et lieux de prostitution et ne pas part</w:t>
      </w:r>
      <w:r w:rsidR="00E13079" w:rsidRPr="0070292F">
        <w:rPr>
          <w:lang w:val="fr-FR"/>
        </w:rPr>
        <w:t>iciper à des réunions publiques ;</w:t>
      </w:r>
    </w:p>
    <w:p w:rsidR="009A3573" w:rsidRPr="0070292F" w:rsidRDefault="00747B8E" w:rsidP="0070292F">
      <w:pPr>
        <w:pStyle w:val="ECHRPara"/>
        <w:rPr>
          <w:lang w:val="fr-FR"/>
        </w:rPr>
      </w:pPr>
      <w:r w:rsidRPr="0070292F">
        <w:rPr>
          <w:lang w:val="fr-FR"/>
        </w:rPr>
        <w:t>–  </w:t>
      </w:r>
      <w:r w:rsidR="009A3573" w:rsidRPr="0070292F">
        <w:rPr>
          <w:lang w:val="fr-FR"/>
        </w:rPr>
        <w:t xml:space="preserve">ne pas utiliser </w:t>
      </w:r>
      <w:r w:rsidR="001F600F" w:rsidRPr="0070292F">
        <w:rPr>
          <w:lang w:val="fr-FR"/>
        </w:rPr>
        <w:t xml:space="preserve">de </w:t>
      </w:r>
      <w:r w:rsidR="009A3573" w:rsidRPr="0070292F">
        <w:rPr>
          <w:lang w:val="fr-FR"/>
        </w:rPr>
        <w:t xml:space="preserve">téléphones portables et </w:t>
      </w:r>
      <w:r w:rsidR="001F600F" w:rsidRPr="0070292F">
        <w:rPr>
          <w:lang w:val="fr-FR"/>
        </w:rPr>
        <w:t>d</w:t>
      </w:r>
      <w:r w:rsidR="0070292F" w:rsidRPr="0070292F">
        <w:rPr>
          <w:lang w:val="fr-FR"/>
        </w:rPr>
        <w:t>’</w:t>
      </w:r>
      <w:r w:rsidR="001F600F" w:rsidRPr="0070292F">
        <w:rPr>
          <w:lang w:val="fr-FR"/>
        </w:rPr>
        <w:t xml:space="preserve">appareils </w:t>
      </w:r>
      <w:r w:rsidR="009A3573" w:rsidRPr="0070292F">
        <w:rPr>
          <w:lang w:val="fr-FR"/>
        </w:rPr>
        <w:t>radioélectriques pour communiquer</w:t>
      </w:r>
      <w:r w:rsidR="00E13079" w:rsidRPr="0070292F">
        <w:rPr>
          <w:lang w:val="fr-FR"/>
        </w:rPr>
        <w:t> ;</w:t>
      </w:r>
    </w:p>
    <w:p w:rsidR="00E13079" w:rsidRPr="0070292F" w:rsidRDefault="00747B8E" w:rsidP="0070292F">
      <w:pPr>
        <w:pStyle w:val="ECHRPara"/>
        <w:rPr>
          <w:rFonts w:ascii="Times New Roman" w:eastAsia="Calibri" w:hAnsi="Times New Roman" w:cs="Times New Roman"/>
          <w:color w:val="000000"/>
          <w:szCs w:val="24"/>
          <w:lang w:val="fr-FR"/>
        </w:rPr>
      </w:pPr>
      <w:r w:rsidRPr="0070292F">
        <w:rPr>
          <w:rFonts w:ascii="Times New Roman" w:eastAsia="Calibri" w:hAnsi="Times New Roman" w:cs="Times New Roman"/>
          <w:color w:val="000000"/>
          <w:szCs w:val="24"/>
          <w:lang w:val="fr-FR"/>
        </w:rPr>
        <w:t>– </w:t>
      </w:r>
      <w:r w:rsidRPr="0070292F">
        <w:rPr>
          <w:lang w:val="fr-FR"/>
        </w:rPr>
        <w:t> </w:t>
      </w:r>
      <w:r w:rsidR="00E13079" w:rsidRPr="0070292F">
        <w:rPr>
          <w:rFonts w:ascii="Times New Roman" w:eastAsia="Calibri" w:hAnsi="Times New Roman" w:cs="Times New Roman"/>
          <w:color w:val="000000"/>
          <w:szCs w:val="24"/>
          <w:lang w:val="fr-FR"/>
        </w:rPr>
        <w:t xml:space="preserve">porter sur </w:t>
      </w:r>
      <w:r w:rsidR="001F600F" w:rsidRPr="0070292F">
        <w:rPr>
          <w:rFonts w:ascii="Times New Roman" w:eastAsia="Calibri" w:hAnsi="Times New Roman" w:cs="Times New Roman"/>
          <w:color w:val="000000"/>
          <w:szCs w:val="24"/>
          <w:lang w:val="fr-FR"/>
        </w:rPr>
        <w:t xml:space="preserve">soi </w:t>
      </w:r>
      <w:r w:rsidR="00E13079" w:rsidRPr="0070292F">
        <w:rPr>
          <w:rFonts w:ascii="Times New Roman" w:eastAsia="Calibri" w:hAnsi="Times New Roman" w:cs="Times New Roman"/>
          <w:color w:val="000000"/>
          <w:szCs w:val="24"/>
          <w:lang w:val="fr-FR"/>
        </w:rPr>
        <w:t xml:space="preserve">le </w:t>
      </w:r>
      <w:r w:rsidR="007C015C" w:rsidRPr="0070292F">
        <w:rPr>
          <w:rFonts w:ascii="Times New Roman" w:eastAsia="Calibri" w:hAnsi="Times New Roman" w:cs="Times New Roman"/>
          <w:color w:val="000000"/>
          <w:szCs w:val="24"/>
          <w:lang w:val="fr-FR"/>
        </w:rPr>
        <w:t>« </w:t>
      </w:r>
      <w:r w:rsidR="00E13079" w:rsidRPr="0070292F">
        <w:rPr>
          <w:rFonts w:ascii="Times New Roman" w:eastAsia="Calibri" w:hAnsi="Times New Roman" w:cs="Times New Roman"/>
          <w:color w:val="000000"/>
          <w:szCs w:val="24"/>
          <w:lang w:val="fr-FR"/>
        </w:rPr>
        <w:t>document prescriptif</w:t>
      </w:r>
      <w:r w:rsidR="007C015C" w:rsidRPr="0070292F">
        <w:rPr>
          <w:rFonts w:ascii="Times New Roman" w:eastAsia="Calibri" w:hAnsi="Times New Roman" w:cs="Times New Roman"/>
          <w:color w:val="000000"/>
          <w:szCs w:val="24"/>
          <w:lang w:val="fr-FR"/>
        </w:rPr>
        <w:t> »</w:t>
      </w:r>
      <w:r w:rsidR="00E13079" w:rsidRPr="0070292F">
        <w:rPr>
          <w:rFonts w:ascii="Times New Roman" w:eastAsia="Calibri" w:hAnsi="Times New Roman" w:cs="Times New Roman"/>
          <w:color w:val="000000"/>
          <w:szCs w:val="24"/>
          <w:lang w:val="fr-FR"/>
        </w:rPr>
        <w:t xml:space="preserve"> (</w:t>
      </w:r>
      <w:r w:rsidR="00E13079" w:rsidRPr="0070292F">
        <w:rPr>
          <w:rFonts w:ascii="Times New Roman" w:eastAsia="Calibri" w:hAnsi="Times New Roman" w:cs="Times New Roman"/>
          <w:i/>
          <w:color w:val="000000"/>
          <w:szCs w:val="24"/>
          <w:lang w:val="fr-FR"/>
        </w:rPr>
        <w:t>carta prescrittiva</w:t>
      </w:r>
      <w:r w:rsidR="00E13079" w:rsidRPr="0070292F">
        <w:rPr>
          <w:rFonts w:ascii="Times New Roman" w:eastAsia="Calibri" w:hAnsi="Times New Roman" w:cs="Times New Roman"/>
          <w:color w:val="000000"/>
          <w:szCs w:val="24"/>
          <w:lang w:val="fr-FR"/>
        </w:rPr>
        <w:t xml:space="preserve">) et le présenter </w:t>
      </w:r>
      <w:r w:rsidR="007658D0" w:rsidRPr="0070292F">
        <w:rPr>
          <w:rFonts w:ascii="Times New Roman" w:eastAsia="Calibri" w:hAnsi="Times New Roman" w:cs="Times New Roman"/>
          <w:color w:val="000000"/>
          <w:szCs w:val="24"/>
          <w:lang w:val="fr-FR"/>
        </w:rPr>
        <w:t>sur</w:t>
      </w:r>
      <w:r w:rsidR="00E13079" w:rsidRPr="0070292F">
        <w:rPr>
          <w:rFonts w:ascii="Times New Roman" w:eastAsia="Calibri" w:hAnsi="Times New Roman" w:cs="Times New Roman"/>
          <w:color w:val="000000"/>
          <w:szCs w:val="24"/>
          <w:lang w:val="fr-FR"/>
        </w:rPr>
        <w:t xml:space="preserve"> demande de l</w:t>
      </w:r>
      <w:r w:rsidR="0070292F" w:rsidRPr="0070292F">
        <w:rPr>
          <w:rFonts w:ascii="Times New Roman" w:eastAsia="Calibri" w:hAnsi="Times New Roman" w:cs="Times New Roman"/>
          <w:color w:val="000000"/>
          <w:szCs w:val="24"/>
          <w:lang w:val="fr-FR"/>
        </w:rPr>
        <w:t>’</w:t>
      </w:r>
      <w:r w:rsidR="00E13079" w:rsidRPr="0070292F">
        <w:rPr>
          <w:rFonts w:ascii="Times New Roman" w:eastAsia="Calibri" w:hAnsi="Times New Roman" w:cs="Times New Roman"/>
          <w:color w:val="000000"/>
          <w:szCs w:val="24"/>
          <w:lang w:val="fr-FR"/>
        </w:rPr>
        <w:t>autorité de police.</w:t>
      </w:r>
    </w:p>
    <w:p w:rsidR="009A3573" w:rsidRPr="0070292F" w:rsidRDefault="009A3573"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18</w:t>
      </w:r>
      <w:r w:rsidRPr="0070292F">
        <w:rPr>
          <w:lang w:val="fr-FR"/>
        </w:rPr>
        <w:fldChar w:fldCharType="end"/>
      </w:r>
      <w:r w:rsidR="0070292F" w:rsidRPr="0070292F">
        <w:rPr>
          <w:lang w:val="fr-FR"/>
        </w:rPr>
        <w:t xml:space="preserve">.  Le 14 juillet </w:t>
      </w:r>
      <w:r w:rsidRPr="0070292F">
        <w:rPr>
          <w:lang w:val="fr-FR"/>
        </w:rPr>
        <w:t xml:space="preserve">2008, le requérant </w:t>
      </w:r>
      <w:r w:rsidR="001F600F" w:rsidRPr="0070292F">
        <w:rPr>
          <w:lang w:val="fr-FR"/>
        </w:rPr>
        <w:t xml:space="preserve">forma </w:t>
      </w:r>
      <w:r w:rsidRPr="0070292F">
        <w:rPr>
          <w:lang w:val="fr-FR"/>
        </w:rPr>
        <w:t>un recours devant la cour d</w:t>
      </w:r>
      <w:r w:rsidR="0070292F" w:rsidRPr="0070292F">
        <w:rPr>
          <w:lang w:val="fr-FR"/>
        </w:rPr>
        <w:t>’</w:t>
      </w:r>
      <w:r w:rsidRPr="0070292F">
        <w:rPr>
          <w:lang w:val="fr-FR"/>
        </w:rPr>
        <w:t>appel de Bari.</w:t>
      </w:r>
    </w:p>
    <w:p w:rsidR="009A3573" w:rsidRPr="0070292F" w:rsidRDefault="009A3573"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19</w:t>
      </w:r>
      <w:r w:rsidRPr="0070292F">
        <w:rPr>
          <w:lang w:val="fr-FR"/>
        </w:rPr>
        <w:fldChar w:fldCharType="end"/>
      </w:r>
      <w:r w:rsidR="0070292F" w:rsidRPr="0070292F">
        <w:rPr>
          <w:lang w:val="fr-FR"/>
        </w:rPr>
        <w:t xml:space="preserve">.  Le 31 juillet </w:t>
      </w:r>
      <w:r w:rsidRPr="0070292F">
        <w:rPr>
          <w:lang w:val="fr-FR"/>
        </w:rPr>
        <w:t>2008, la préfecture de Bari ordonna le retrait du permis de conduire du requérant.</w:t>
      </w:r>
    </w:p>
    <w:p w:rsidR="009A3573" w:rsidRPr="0070292F" w:rsidRDefault="009A3573"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20</w:t>
      </w:r>
      <w:r w:rsidRPr="0070292F">
        <w:rPr>
          <w:lang w:val="fr-FR"/>
        </w:rPr>
        <w:fldChar w:fldCharType="end"/>
      </w:r>
      <w:r w:rsidRPr="0070292F">
        <w:rPr>
          <w:lang w:val="fr-FR"/>
        </w:rPr>
        <w:t>. </w:t>
      </w:r>
      <w:r w:rsidR="0070292F" w:rsidRPr="0070292F">
        <w:rPr>
          <w:lang w:val="fr-FR"/>
        </w:rPr>
        <w:t xml:space="preserve"> Par une décision du 28 janvier </w:t>
      </w:r>
      <w:r w:rsidRPr="0070292F">
        <w:rPr>
          <w:lang w:val="fr-FR"/>
        </w:rPr>
        <w:t>2009, notifiée à l</w:t>
      </w:r>
      <w:r w:rsidR="0070292F" w:rsidRPr="0070292F">
        <w:rPr>
          <w:lang w:val="fr-FR"/>
        </w:rPr>
        <w:t xml:space="preserve">’intéressé le 4 février </w:t>
      </w:r>
      <w:r w:rsidRPr="0070292F">
        <w:rPr>
          <w:lang w:val="fr-FR"/>
        </w:rPr>
        <w:t>2009, la cour d</w:t>
      </w:r>
      <w:r w:rsidR="0070292F" w:rsidRPr="0070292F">
        <w:rPr>
          <w:lang w:val="fr-FR"/>
        </w:rPr>
        <w:t>’</w:t>
      </w:r>
      <w:r w:rsidRPr="0070292F">
        <w:rPr>
          <w:lang w:val="fr-FR"/>
        </w:rPr>
        <w:t xml:space="preserve">appel fit droit au recours du requérant et annula </w:t>
      </w:r>
      <w:r w:rsidRPr="0070292F">
        <w:rPr>
          <w:i/>
          <w:lang w:val="fr-FR"/>
        </w:rPr>
        <w:t>ex tunc</w:t>
      </w:r>
      <w:r w:rsidRPr="0070292F">
        <w:rPr>
          <w:lang w:val="fr-FR"/>
        </w:rPr>
        <w:t xml:space="preserve"> la mesure de prévention.</w:t>
      </w:r>
    </w:p>
    <w:p w:rsidR="009A3573" w:rsidRPr="0070292F" w:rsidRDefault="009A3573"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21</w:t>
      </w:r>
      <w:r w:rsidRPr="0070292F">
        <w:rPr>
          <w:lang w:val="fr-FR"/>
        </w:rPr>
        <w:fldChar w:fldCharType="end"/>
      </w:r>
      <w:r w:rsidRPr="0070292F">
        <w:rPr>
          <w:lang w:val="fr-FR"/>
        </w:rPr>
        <w:t>.  Tout d</w:t>
      </w:r>
      <w:r w:rsidR="0070292F" w:rsidRPr="0070292F">
        <w:rPr>
          <w:lang w:val="fr-FR"/>
        </w:rPr>
        <w:t>’</w:t>
      </w:r>
      <w:r w:rsidRPr="0070292F">
        <w:rPr>
          <w:lang w:val="fr-FR"/>
        </w:rPr>
        <w:t xml:space="preserve">abord, la cour </w:t>
      </w:r>
      <w:r w:rsidR="001F600F" w:rsidRPr="0070292F">
        <w:rPr>
          <w:lang w:val="fr-FR"/>
        </w:rPr>
        <w:t>d</w:t>
      </w:r>
      <w:r w:rsidR="0070292F" w:rsidRPr="0070292F">
        <w:rPr>
          <w:lang w:val="fr-FR"/>
        </w:rPr>
        <w:t>’</w:t>
      </w:r>
      <w:r w:rsidR="001F600F" w:rsidRPr="0070292F">
        <w:rPr>
          <w:lang w:val="fr-FR"/>
        </w:rPr>
        <w:t xml:space="preserve">appel </w:t>
      </w:r>
      <w:r w:rsidRPr="0070292F">
        <w:rPr>
          <w:lang w:val="fr-FR"/>
        </w:rPr>
        <w:t xml:space="preserve">rappela que pour </w:t>
      </w:r>
      <w:r w:rsidR="007658D0" w:rsidRPr="0070292F">
        <w:rPr>
          <w:lang w:val="fr-FR"/>
        </w:rPr>
        <w:t xml:space="preserve">pouvoir </w:t>
      </w:r>
      <w:r w:rsidRPr="0070292F">
        <w:rPr>
          <w:lang w:val="fr-FR"/>
        </w:rPr>
        <w:t xml:space="preserve">appliquer la mesure de prévention il </w:t>
      </w:r>
      <w:r w:rsidR="007658D0" w:rsidRPr="0070292F">
        <w:rPr>
          <w:lang w:val="fr-FR"/>
        </w:rPr>
        <w:t>fallait établir</w:t>
      </w:r>
      <w:r w:rsidRPr="0070292F">
        <w:rPr>
          <w:lang w:val="fr-FR"/>
        </w:rPr>
        <w:t xml:space="preserve"> la « dangerosité actuelle »</w:t>
      </w:r>
      <w:r w:rsidR="001F600F" w:rsidRPr="0070292F">
        <w:rPr>
          <w:lang w:val="fr-FR"/>
        </w:rPr>
        <w:t xml:space="preserve"> </w:t>
      </w:r>
      <w:r w:rsidRPr="0070292F">
        <w:rPr>
          <w:lang w:val="fr-FR"/>
        </w:rPr>
        <w:t>du sujet, laquelle n</w:t>
      </w:r>
      <w:r w:rsidR="0070292F" w:rsidRPr="0070292F">
        <w:rPr>
          <w:lang w:val="fr-FR"/>
        </w:rPr>
        <w:t>’</w:t>
      </w:r>
      <w:r w:rsidR="001F600F" w:rsidRPr="0070292F">
        <w:rPr>
          <w:lang w:val="fr-FR"/>
        </w:rPr>
        <w:t xml:space="preserve">était </w:t>
      </w:r>
      <w:r w:rsidRPr="0070292F">
        <w:rPr>
          <w:lang w:val="fr-FR"/>
        </w:rPr>
        <w:t>pas nécessairement liée à la commission d</w:t>
      </w:r>
      <w:r w:rsidR="0070292F" w:rsidRPr="0070292F">
        <w:rPr>
          <w:lang w:val="fr-FR"/>
        </w:rPr>
        <w:t>’</w:t>
      </w:r>
      <w:r w:rsidRPr="0070292F">
        <w:rPr>
          <w:lang w:val="fr-FR"/>
        </w:rPr>
        <w:t>une infraction</w:t>
      </w:r>
      <w:r w:rsidR="001F600F" w:rsidRPr="0070292F">
        <w:rPr>
          <w:lang w:val="fr-FR"/>
        </w:rPr>
        <w:t xml:space="preserve"> précise</w:t>
      </w:r>
      <w:r w:rsidRPr="0070292F">
        <w:rPr>
          <w:lang w:val="fr-FR"/>
        </w:rPr>
        <w:t xml:space="preserve"> mais à l</w:t>
      </w:r>
      <w:r w:rsidR="0070292F" w:rsidRPr="0070292F">
        <w:rPr>
          <w:lang w:val="fr-FR"/>
        </w:rPr>
        <w:t>’</w:t>
      </w:r>
      <w:r w:rsidRPr="0070292F">
        <w:rPr>
          <w:lang w:val="fr-FR"/>
        </w:rPr>
        <w:t>existence d</w:t>
      </w:r>
      <w:r w:rsidR="0070292F" w:rsidRPr="0070292F">
        <w:rPr>
          <w:lang w:val="fr-FR"/>
        </w:rPr>
        <w:t>’</w:t>
      </w:r>
      <w:r w:rsidRPr="0070292F">
        <w:rPr>
          <w:lang w:val="fr-FR"/>
        </w:rPr>
        <w:t>une situation complexe d</w:t>
      </w:r>
      <w:r w:rsidR="0070292F" w:rsidRPr="0070292F">
        <w:rPr>
          <w:lang w:val="fr-FR"/>
        </w:rPr>
        <w:t>’</w:t>
      </w:r>
      <w:r w:rsidRPr="0070292F">
        <w:rPr>
          <w:lang w:val="fr-FR"/>
        </w:rPr>
        <w:t xml:space="preserve">une certaine durée, </w:t>
      </w:r>
      <w:r w:rsidR="001F600F" w:rsidRPr="0070292F">
        <w:rPr>
          <w:lang w:val="fr-FR"/>
        </w:rPr>
        <w:t>révélant</w:t>
      </w:r>
      <w:r w:rsidRPr="0070292F">
        <w:rPr>
          <w:lang w:val="fr-FR"/>
        </w:rPr>
        <w:t xml:space="preserve"> un mode de vie particulier de l</w:t>
      </w:r>
      <w:r w:rsidR="0070292F" w:rsidRPr="0070292F">
        <w:rPr>
          <w:lang w:val="fr-FR"/>
        </w:rPr>
        <w:t>’</w:t>
      </w:r>
      <w:r w:rsidRPr="0070292F">
        <w:rPr>
          <w:lang w:val="fr-FR"/>
        </w:rPr>
        <w:t>intéressé, alarmant pour la sécurité publique.</w:t>
      </w:r>
    </w:p>
    <w:p w:rsidR="009A3573" w:rsidRPr="0070292F" w:rsidRDefault="009A3573"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22</w:t>
      </w:r>
      <w:r w:rsidRPr="0070292F">
        <w:rPr>
          <w:lang w:val="fr-FR"/>
        </w:rPr>
        <w:fldChar w:fldCharType="end"/>
      </w:r>
      <w:r w:rsidRPr="0070292F">
        <w:rPr>
          <w:lang w:val="fr-FR"/>
        </w:rPr>
        <w:t>.  </w:t>
      </w:r>
      <w:r w:rsidR="001F600F" w:rsidRPr="0070292F">
        <w:rPr>
          <w:lang w:val="fr-FR"/>
        </w:rPr>
        <w:t>Pour la cour d</w:t>
      </w:r>
      <w:r w:rsidR="0070292F" w:rsidRPr="0070292F">
        <w:rPr>
          <w:lang w:val="fr-FR"/>
        </w:rPr>
        <w:t>’</w:t>
      </w:r>
      <w:r w:rsidR="001F600F" w:rsidRPr="0070292F">
        <w:rPr>
          <w:lang w:val="fr-FR"/>
        </w:rPr>
        <w:t>appel, l</w:t>
      </w:r>
      <w:r w:rsidRPr="0070292F">
        <w:rPr>
          <w:lang w:val="fr-FR"/>
        </w:rPr>
        <w:t>e caractère «</w:t>
      </w:r>
      <w:r w:rsidR="001F600F" w:rsidRPr="0070292F">
        <w:rPr>
          <w:lang w:val="fr-FR"/>
        </w:rPr>
        <w:t> </w:t>
      </w:r>
      <w:r w:rsidRPr="0070292F">
        <w:rPr>
          <w:lang w:val="fr-FR"/>
        </w:rPr>
        <w:t>actuel</w:t>
      </w:r>
      <w:r w:rsidR="001F600F" w:rsidRPr="0070292F">
        <w:rPr>
          <w:lang w:val="fr-FR"/>
        </w:rPr>
        <w:t> </w:t>
      </w:r>
      <w:r w:rsidRPr="0070292F">
        <w:rPr>
          <w:lang w:val="fr-FR"/>
        </w:rPr>
        <w:t>» de la dangerosité sociale du condamné impliqu</w:t>
      </w:r>
      <w:r w:rsidR="001F600F" w:rsidRPr="0070292F">
        <w:rPr>
          <w:lang w:val="fr-FR"/>
        </w:rPr>
        <w:t>ait</w:t>
      </w:r>
      <w:r w:rsidRPr="0070292F">
        <w:rPr>
          <w:lang w:val="fr-FR"/>
        </w:rPr>
        <w:t xml:space="preserve"> que la décision en cause se </w:t>
      </w:r>
      <w:r w:rsidR="007658D0" w:rsidRPr="0070292F">
        <w:rPr>
          <w:lang w:val="fr-FR"/>
        </w:rPr>
        <w:t>rapportât</w:t>
      </w:r>
      <w:r w:rsidRPr="0070292F">
        <w:rPr>
          <w:lang w:val="fr-FR"/>
        </w:rPr>
        <w:t xml:space="preserve"> au moment de la délibération et conserv</w:t>
      </w:r>
      <w:r w:rsidR="001F600F" w:rsidRPr="0070292F">
        <w:rPr>
          <w:lang w:val="fr-FR"/>
        </w:rPr>
        <w:t>ât</w:t>
      </w:r>
      <w:r w:rsidRPr="0070292F">
        <w:rPr>
          <w:lang w:val="fr-FR"/>
        </w:rPr>
        <w:t xml:space="preserve"> </w:t>
      </w:r>
      <w:r w:rsidR="007658D0" w:rsidRPr="0070292F">
        <w:rPr>
          <w:lang w:val="fr-FR"/>
        </w:rPr>
        <w:t xml:space="preserve">ses </w:t>
      </w:r>
      <w:r w:rsidRPr="0070292F">
        <w:rPr>
          <w:lang w:val="fr-FR"/>
        </w:rPr>
        <w:t>effet</w:t>
      </w:r>
      <w:r w:rsidR="007658D0" w:rsidRPr="0070292F">
        <w:rPr>
          <w:lang w:val="fr-FR"/>
        </w:rPr>
        <w:t>s</w:t>
      </w:r>
      <w:r w:rsidRPr="0070292F">
        <w:rPr>
          <w:lang w:val="fr-FR"/>
        </w:rPr>
        <w:t xml:space="preserve"> dans la phase de l</w:t>
      </w:r>
      <w:r w:rsidR="0070292F" w:rsidRPr="0070292F">
        <w:rPr>
          <w:lang w:val="fr-FR"/>
        </w:rPr>
        <w:t>’</w:t>
      </w:r>
      <w:r w:rsidRPr="0070292F">
        <w:rPr>
          <w:lang w:val="fr-FR"/>
        </w:rPr>
        <w:t xml:space="preserve">exécution, les faits antérieurs ne pouvant être </w:t>
      </w:r>
      <w:r w:rsidR="001F600F" w:rsidRPr="0070292F">
        <w:rPr>
          <w:lang w:val="fr-FR"/>
        </w:rPr>
        <w:t xml:space="preserve">pris en compte </w:t>
      </w:r>
      <w:r w:rsidRPr="0070292F">
        <w:rPr>
          <w:lang w:val="fr-FR"/>
        </w:rPr>
        <w:t>qu</w:t>
      </w:r>
      <w:r w:rsidR="0070292F" w:rsidRPr="0070292F">
        <w:rPr>
          <w:lang w:val="fr-FR"/>
        </w:rPr>
        <w:t>’</w:t>
      </w:r>
      <w:r w:rsidRPr="0070292F">
        <w:rPr>
          <w:lang w:val="fr-FR"/>
        </w:rPr>
        <w:t>en raison de leur incidence sur l</w:t>
      </w:r>
      <w:r w:rsidR="0070292F" w:rsidRPr="0070292F">
        <w:rPr>
          <w:lang w:val="fr-FR"/>
        </w:rPr>
        <w:t>’</w:t>
      </w:r>
      <w:r w:rsidRPr="0070292F">
        <w:rPr>
          <w:lang w:val="fr-FR"/>
        </w:rPr>
        <w:t>appréciation du caractère actuel.</w:t>
      </w:r>
    </w:p>
    <w:p w:rsidR="009A3573" w:rsidRPr="0070292F" w:rsidRDefault="009A3573"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23</w:t>
      </w:r>
      <w:r w:rsidRPr="0070292F">
        <w:rPr>
          <w:lang w:val="fr-FR"/>
        </w:rPr>
        <w:fldChar w:fldCharType="end"/>
      </w:r>
      <w:r w:rsidRPr="0070292F">
        <w:rPr>
          <w:lang w:val="fr-FR"/>
        </w:rPr>
        <w:t xml:space="preserve">.  Selon la </w:t>
      </w:r>
      <w:r w:rsidR="007658D0" w:rsidRPr="0070292F">
        <w:rPr>
          <w:lang w:val="fr-FR"/>
        </w:rPr>
        <w:t>juridiction</w:t>
      </w:r>
      <w:r w:rsidR="001F600F" w:rsidRPr="0070292F">
        <w:rPr>
          <w:lang w:val="fr-FR"/>
        </w:rPr>
        <w:t>,</w:t>
      </w:r>
      <w:r w:rsidR="008038C6" w:rsidRPr="0070292F">
        <w:rPr>
          <w:lang w:val="fr-FR"/>
        </w:rPr>
        <w:t xml:space="preserve"> </w:t>
      </w:r>
      <w:r w:rsidRPr="0070292F">
        <w:rPr>
          <w:lang w:val="fr-FR"/>
        </w:rPr>
        <w:t>au moment de l</w:t>
      </w:r>
      <w:r w:rsidR="0070292F" w:rsidRPr="0070292F">
        <w:rPr>
          <w:lang w:val="fr-FR"/>
        </w:rPr>
        <w:t>’</w:t>
      </w:r>
      <w:r w:rsidRPr="0070292F">
        <w:rPr>
          <w:lang w:val="fr-FR"/>
        </w:rPr>
        <w:t>application de la mesure la dangerosité du requérant ne pouvait être fondée sur aucune activité délictuelle.</w:t>
      </w:r>
    </w:p>
    <w:p w:rsidR="009A3573" w:rsidRPr="0070292F" w:rsidRDefault="009A3573"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24</w:t>
      </w:r>
      <w:r w:rsidRPr="0070292F">
        <w:rPr>
          <w:lang w:val="fr-FR"/>
        </w:rPr>
        <w:fldChar w:fldCharType="end"/>
      </w:r>
      <w:r w:rsidR="008038C6" w:rsidRPr="0070292F">
        <w:rPr>
          <w:lang w:val="fr-FR"/>
        </w:rPr>
        <w:t>.  La c</w:t>
      </w:r>
      <w:r w:rsidRPr="0070292F">
        <w:rPr>
          <w:lang w:val="fr-FR"/>
        </w:rPr>
        <w:t>our</w:t>
      </w:r>
      <w:r w:rsidR="008038C6" w:rsidRPr="0070292F">
        <w:rPr>
          <w:lang w:val="fr-FR"/>
        </w:rPr>
        <w:t xml:space="preserve"> d</w:t>
      </w:r>
      <w:r w:rsidR="0070292F" w:rsidRPr="0070292F">
        <w:rPr>
          <w:lang w:val="fr-FR"/>
        </w:rPr>
        <w:t>’</w:t>
      </w:r>
      <w:r w:rsidR="008038C6" w:rsidRPr="0070292F">
        <w:rPr>
          <w:lang w:val="fr-FR"/>
        </w:rPr>
        <w:t>appel</w:t>
      </w:r>
      <w:r w:rsidRPr="0070292F">
        <w:rPr>
          <w:lang w:val="fr-FR"/>
        </w:rPr>
        <w:t xml:space="preserve"> observa </w:t>
      </w:r>
      <w:r w:rsidR="008038C6" w:rsidRPr="0070292F">
        <w:rPr>
          <w:lang w:val="fr-FR"/>
        </w:rPr>
        <w:t xml:space="preserve">ensuite </w:t>
      </w:r>
      <w:r w:rsidRPr="0070292F">
        <w:rPr>
          <w:lang w:val="fr-FR"/>
        </w:rPr>
        <w:t>que plusieurs condamnations défini</w:t>
      </w:r>
      <w:r w:rsidR="0002688E" w:rsidRPr="0070292F">
        <w:rPr>
          <w:lang w:val="fr-FR"/>
        </w:rPr>
        <w:t>tives pour contrebande de tabac</w:t>
      </w:r>
      <w:r w:rsidRPr="0070292F">
        <w:rPr>
          <w:lang w:val="fr-FR"/>
        </w:rPr>
        <w:t xml:space="preserve"> avaient été prononcées contre le requérant entre septembre 1995 et août 1999</w:t>
      </w:r>
      <w:r w:rsidR="001F600F" w:rsidRPr="0070292F">
        <w:rPr>
          <w:lang w:val="fr-FR"/>
        </w:rPr>
        <w:t xml:space="preserve">. Elle ajouta que </w:t>
      </w:r>
      <w:r w:rsidRPr="0070292F">
        <w:rPr>
          <w:lang w:val="fr-FR"/>
        </w:rPr>
        <w:t xml:space="preserve">par la suite </w:t>
      </w:r>
      <w:r w:rsidR="001F600F" w:rsidRPr="0070292F">
        <w:rPr>
          <w:lang w:val="fr-FR"/>
        </w:rPr>
        <w:t>l</w:t>
      </w:r>
      <w:r w:rsidR="0070292F" w:rsidRPr="0070292F">
        <w:rPr>
          <w:lang w:val="fr-FR"/>
        </w:rPr>
        <w:t>’</w:t>
      </w:r>
      <w:r w:rsidR="001F600F" w:rsidRPr="0070292F">
        <w:rPr>
          <w:lang w:val="fr-FR"/>
        </w:rPr>
        <w:t xml:space="preserve">intéressé </w:t>
      </w:r>
      <w:r w:rsidRPr="0070292F">
        <w:rPr>
          <w:lang w:val="fr-FR"/>
        </w:rPr>
        <w:t>avait changé de secteur d</w:t>
      </w:r>
      <w:r w:rsidR="0070292F" w:rsidRPr="0070292F">
        <w:rPr>
          <w:lang w:val="fr-FR"/>
        </w:rPr>
        <w:t>’</w:t>
      </w:r>
      <w:r w:rsidRPr="0070292F">
        <w:rPr>
          <w:lang w:val="fr-FR"/>
        </w:rPr>
        <w:t>activité et</w:t>
      </w:r>
      <w:r w:rsidR="001F600F" w:rsidRPr="0070292F">
        <w:rPr>
          <w:lang w:val="fr-FR"/>
        </w:rPr>
        <w:t xml:space="preserve"> que </w:t>
      </w:r>
      <w:r w:rsidRPr="0070292F">
        <w:rPr>
          <w:lang w:val="fr-FR"/>
        </w:rPr>
        <w:t>jusqu</w:t>
      </w:r>
      <w:r w:rsidR="0070292F" w:rsidRPr="0070292F">
        <w:rPr>
          <w:lang w:val="fr-FR"/>
        </w:rPr>
        <w:t>’</w:t>
      </w:r>
      <w:r w:rsidRPr="0070292F">
        <w:rPr>
          <w:lang w:val="fr-FR"/>
        </w:rPr>
        <w:t xml:space="preserve">au 18 juillet 2002 </w:t>
      </w:r>
      <w:r w:rsidRPr="0070292F">
        <w:rPr>
          <w:lang w:val="fr-FR"/>
        </w:rPr>
        <w:lastRenderedPageBreak/>
        <w:t>il s</w:t>
      </w:r>
      <w:r w:rsidR="0070292F" w:rsidRPr="0070292F">
        <w:rPr>
          <w:lang w:val="fr-FR"/>
        </w:rPr>
        <w:t>’</w:t>
      </w:r>
      <w:r w:rsidRPr="0070292F">
        <w:rPr>
          <w:lang w:val="fr-FR"/>
        </w:rPr>
        <w:t>était livré au trafic de stupéfiants avec détention et port d</w:t>
      </w:r>
      <w:r w:rsidR="0070292F" w:rsidRPr="0070292F">
        <w:rPr>
          <w:lang w:val="fr-FR"/>
        </w:rPr>
        <w:t>’</w:t>
      </w:r>
      <w:r w:rsidRPr="0070292F">
        <w:rPr>
          <w:lang w:val="fr-FR"/>
        </w:rPr>
        <w:t>armes clandestines, faits pour lesquels il avait été condamné</w:t>
      </w:r>
      <w:r w:rsidR="0070292F" w:rsidRPr="0070292F">
        <w:rPr>
          <w:lang w:val="fr-FR"/>
        </w:rPr>
        <w:t xml:space="preserve"> – </w:t>
      </w:r>
      <w:r w:rsidRPr="0070292F">
        <w:rPr>
          <w:lang w:val="fr-FR"/>
        </w:rPr>
        <w:t>par un jugement en date du 15 mars 2003, devenu définitif le 10 mars 2004</w:t>
      </w:r>
      <w:r w:rsidR="0070292F" w:rsidRPr="0070292F">
        <w:rPr>
          <w:lang w:val="fr-FR"/>
        </w:rPr>
        <w:t xml:space="preserve"> </w:t>
      </w:r>
      <w:r w:rsidR="001F600F" w:rsidRPr="0070292F">
        <w:rPr>
          <w:lang w:val="fr-FR"/>
        </w:rPr>
        <w:t>–</w:t>
      </w:r>
      <w:r w:rsidRPr="0070292F">
        <w:rPr>
          <w:lang w:val="fr-FR"/>
        </w:rPr>
        <w:t xml:space="preserve"> à une peine de </w:t>
      </w:r>
      <w:r w:rsidR="001F600F" w:rsidRPr="0070292F">
        <w:rPr>
          <w:lang w:val="fr-FR"/>
        </w:rPr>
        <w:t xml:space="preserve">quatre </w:t>
      </w:r>
      <w:r w:rsidRPr="0070292F">
        <w:rPr>
          <w:lang w:val="fr-FR"/>
        </w:rPr>
        <w:t xml:space="preserve">ans </w:t>
      </w:r>
      <w:r w:rsidR="001F600F" w:rsidRPr="0070292F">
        <w:rPr>
          <w:lang w:val="fr-FR"/>
        </w:rPr>
        <w:t>d</w:t>
      </w:r>
      <w:r w:rsidR="0070292F" w:rsidRPr="0070292F">
        <w:rPr>
          <w:lang w:val="fr-FR"/>
        </w:rPr>
        <w:t>’</w:t>
      </w:r>
      <w:r w:rsidR="001F600F" w:rsidRPr="0070292F">
        <w:rPr>
          <w:lang w:val="fr-FR"/>
        </w:rPr>
        <w:t>emprisonnement</w:t>
      </w:r>
      <w:r w:rsidRPr="0070292F">
        <w:rPr>
          <w:lang w:val="fr-FR"/>
        </w:rPr>
        <w:t>, exécutée du 18</w:t>
      </w:r>
      <w:r w:rsidR="001C7648" w:rsidRPr="0070292F">
        <w:rPr>
          <w:lang w:val="fr-FR"/>
        </w:rPr>
        <w:t> </w:t>
      </w:r>
      <w:r w:rsidRPr="0070292F">
        <w:rPr>
          <w:lang w:val="fr-FR"/>
        </w:rPr>
        <w:t>juillet 2002 au 4 décembre 2005.</w:t>
      </w:r>
    </w:p>
    <w:p w:rsidR="009A3573" w:rsidRPr="0070292F" w:rsidRDefault="009A3573"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25</w:t>
      </w:r>
      <w:r w:rsidRPr="0070292F">
        <w:rPr>
          <w:lang w:val="fr-FR"/>
        </w:rPr>
        <w:fldChar w:fldCharType="end"/>
      </w:r>
      <w:r w:rsidRPr="0070292F">
        <w:rPr>
          <w:lang w:val="fr-FR"/>
        </w:rPr>
        <w:t>.  </w:t>
      </w:r>
      <w:r w:rsidR="001F600F" w:rsidRPr="0070292F">
        <w:rPr>
          <w:lang w:val="fr-FR"/>
        </w:rPr>
        <w:t>Pour la cour d</w:t>
      </w:r>
      <w:r w:rsidR="0070292F" w:rsidRPr="0070292F">
        <w:rPr>
          <w:lang w:val="fr-FR"/>
        </w:rPr>
        <w:t>’</w:t>
      </w:r>
      <w:r w:rsidR="001F600F" w:rsidRPr="0070292F">
        <w:rPr>
          <w:lang w:val="fr-FR"/>
        </w:rPr>
        <w:t>appel, l</w:t>
      </w:r>
      <w:r w:rsidRPr="0070292F">
        <w:rPr>
          <w:lang w:val="fr-FR"/>
        </w:rPr>
        <w:t>a dernière activité illicite en matière de stupéfiants était donc antérieure de plus de cinq ans à l</w:t>
      </w:r>
      <w:r w:rsidR="0070292F" w:rsidRPr="0070292F">
        <w:rPr>
          <w:lang w:val="fr-FR"/>
        </w:rPr>
        <w:t>’</w:t>
      </w:r>
      <w:r w:rsidRPr="0070292F">
        <w:rPr>
          <w:lang w:val="fr-FR"/>
        </w:rPr>
        <w:t xml:space="preserve">adoption de la mesure de </w:t>
      </w:r>
      <w:r w:rsidR="0002688E" w:rsidRPr="0070292F">
        <w:rPr>
          <w:lang w:val="fr-FR"/>
        </w:rPr>
        <w:t>prévention</w:t>
      </w:r>
      <w:r w:rsidRPr="0070292F">
        <w:rPr>
          <w:lang w:val="fr-FR"/>
        </w:rPr>
        <w:t xml:space="preserve">. </w:t>
      </w:r>
      <w:r w:rsidR="001F600F" w:rsidRPr="0070292F">
        <w:rPr>
          <w:lang w:val="fr-FR"/>
        </w:rPr>
        <w:t>Contre le requérant</w:t>
      </w:r>
      <w:r w:rsidRPr="0070292F">
        <w:rPr>
          <w:lang w:val="fr-FR"/>
        </w:rPr>
        <w:t xml:space="preserve">, la </w:t>
      </w:r>
      <w:r w:rsidR="007658D0" w:rsidRPr="0070292F">
        <w:rPr>
          <w:lang w:val="fr-FR"/>
        </w:rPr>
        <w:t>juridiction</w:t>
      </w:r>
      <w:r w:rsidR="008038C6" w:rsidRPr="0070292F">
        <w:rPr>
          <w:lang w:val="fr-FR"/>
        </w:rPr>
        <w:t xml:space="preserve"> </w:t>
      </w:r>
      <w:r w:rsidRPr="0070292F">
        <w:rPr>
          <w:lang w:val="fr-FR"/>
        </w:rPr>
        <w:t xml:space="preserve">releva </w:t>
      </w:r>
      <w:r w:rsidR="00C11454" w:rsidRPr="0070292F">
        <w:rPr>
          <w:lang w:val="fr-FR"/>
        </w:rPr>
        <w:t xml:space="preserve">uniquement </w:t>
      </w:r>
      <w:r w:rsidRPr="0070292F">
        <w:rPr>
          <w:lang w:val="fr-FR"/>
        </w:rPr>
        <w:t>un délit d</w:t>
      </w:r>
      <w:r w:rsidR="0070292F" w:rsidRPr="0070292F">
        <w:rPr>
          <w:lang w:val="fr-FR"/>
        </w:rPr>
        <w:t>’</w:t>
      </w:r>
      <w:r w:rsidRPr="0070292F">
        <w:rPr>
          <w:lang w:val="fr-FR"/>
        </w:rPr>
        <w:t>évasion</w:t>
      </w:r>
      <w:r w:rsidR="00C11454" w:rsidRPr="0070292F">
        <w:rPr>
          <w:lang w:val="fr-FR"/>
        </w:rPr>
        <w:t>, commis le 14 décembre 2004</w:t>
      </w:r>
      <w:r w:rsidRPr="0070292F">
        <w:rPr>
          <w:lang w:val="fr-FR"/>
        </w:rPr>
        <w:t xml:space="preserve"> (</w:t>
      </w:r>
      <w:r w:rsidR="00C11454" w:rsidRPr="0070292F">
        <w:rPr>
          <w:lang w:val="fr-FR"/>
        </w:rPr>
        <w:t xml:space="preserve">pendant </w:t>
      </w:r>
      <w:r w:rsidR="007658D0" w:rsidRPr="0070292F">
        <w:rPr>
          <w:lang w:val="fr-FR"/>
        </w:rPr>
        <w:t>la période d</w:t>
      </w:r>
      <w:r w:rsidR="0070292F" w:rsidRPr="0070292F">
        <w:rPr>
          <w:lang w:val="fr-FR"/>
        </w:rPr>
        <w:t>’</w:t>
      </w:r>
      <w:r w:rsidR="00C11454" w:rsidRPr="0070292F">
        <w:rPr>
          <w:lang w:val="fr-FR"/>
        </w:rPr>
        <w:t>assignation</w:t>
      </w:r>
      <w:r w:rsidR="008038C6" w:rsidRPr="0070292F">
        <w:rPr>
          <w:lang w:val="fr-FR"/>
        </w:rPr>
        <w:t xml:space="preserve"> à </w:t>
      </w:r>
      <w:r w:rsidR="007E48C4" w:rsidRPr="0070292F">
        <w:rPr>
          <w:lang w:val="fr-FR"/>
        </w:rPr>
        <w:t>résidence</w:t>
      </w:r>
      <w:r w:rsidR="008038C6" w:rsidRPr="0070292F">
        <w:rPr>
          <w:lang w:val="fr-FR"/>
        </w:rPr>
        <w:t>)</w:t>
      </w:r>
      <w:r w:rsidRPr="0070292F">
        <w:rPr>
          <w:lang w:val="fr-FR"/>
        </w:rPr>
        <w:t>.</w:t>
      </w:r>
    </w:p>
    <w:p w:rsidR="009A3573" w:rsidRPr="0070292F" w:rsidRDefault="009A3573"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26</w:t>
      </w:r>
      <w:r w:rsidRPr="0070292F">
        <w:rPr>
          <w:lang w:val="fr-FR"/>
        </w:rPr>
        <w:fldChar w:fldCharType="end"/>
      </w:r>
      <w:r w:rsidRPr="0070292F">
        <w:rPr>
          <w:lang w:val="fr-FR"/>
        </w:rPr>
        <w:t>.  </w:t>
      </w:r>
      <w:r w:rsidR="008038C6" w:rsidRPr="0070292F">
        <w:rPr>
          <w:lang w:val="fr-FR"/>
        </w:rPr>
        <w:t>Elle</w:t>
      </w:r>
      <w:r w:rsidRPr="0070292F">
        <w:rPr>
          <w:lang w:val="fr-FR"/>
        </w:rPr>
        <w:t xml:space="preserve"> remarqua également que les </w:t>
      </w:r>
      <w:r w:rsidR="008622D1" w:rsidRPr="0070292F">
        <w:rPr>
          <w:lang w:val="fr-FR"/>
        </w:rPr>
        <w:t>infractions des 25 et 29 avril 2007 aux</w:t>
      </w:r>
      <w:r w:rsidRPr="0070292F">
        <w:rPr>
          <w:lang w:val="fr-FR"/>
        </w:rPr>
        <w:t xml:space="preserve"> obligations </w:t>
      </w:r>
      <w:r w:rsidR="008622D1" w:rsidRPr="0070292F">
        <w:rPr>
          <w:lang w:val="fr-FR"/>
        </w:rPr>
        <w:t>associées à</w:t>
      </w:r>
      <w:r w:rsidR="008038C6" w:rsidRPr="0070292F">
        <w:rPr>
          <w:lang w:val="fr-FR"/>
        </w:rPr>
        <w:t xml:space="preserve"> la mesure de surveillance spéciale</w:t>
      </w:r>
      <w:r w:rsidRPr="0070292F">
        <w:rPr>
          <w:lang w:val="fr-FR"/>
        </w:rPr>
        <w:t xml:space="preserve"> concernaient une personne différente qui </w:t>
      </w:r>
      <w:r w:rsidR="00D65453" w:rsidRPr="0070292F">
        <w:rPr>
          <w:lang w:val="fr-FR"/>
        </w:rPr>
        <w:t xml:space="preserve">portait </w:t>
      </w:r>
      <w:r w:rsidRPr="0070292F">
        <w:rPr>
          <w:lang w:val="fr-FR"/>
        </w:rPr>
        <w:t>le</w:t>
      </w:r>
      <w:r w:rsidR="008622D1" w:rsidRPr="0070292F">
        <w:rPr>
          <w:lang w:val="fr-FR"/>
        </w:rPr>
        <w:t>s</w:t>
      </w:r>
      <w:r w:rsidRPr="0070292F">
        <w:rPr>
          <w:lang w:val="fr-FR"/>
        </w:rPr>
        <w:t xml:space="preserve"> même</w:t>
      </w:r>
      <w:r w:rsidR="008622D1" w:rsidRPr="0070292F">
        <w:rPr>
          <w:lang w:val="fr-FR"/>
        </w:rPr>
        <w:t>s</w:t>
      </w:r>
      <w:r w:rsidRPr="0070292F">
        <w:rPr>
          <w:lang w:val="fr-FR"/>
        </w:rPr>
        <w:t xml:space="preserve"> nom et prénom que le requérant mais était né</w:t>
      </w:r>
      <w:r w:rsidR="008038C6" w:rsidRPr="0070292F">
        <w:rPr>
          <w:lang w:val="fr-FR"/>
        </w:rPr>
        <w:t>e</w:t>
      </w:r>
      <w:r w:rsidRPr="0070292F">
        <w:rPr>
          <w:lang w:val="fr-FR"/>
        </w:rPr>
        <w:t xml:space="preserve"> en 1973.</w:t>
      </w:r>
    </w:p>
    <w:p w:rsidR="009A3573" w:rsidRPr="0070292F" w:rsidRDefault="009A3573"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27</w:t>
      </w:r>
      <w:r w:rsidRPr="0070292F">
        <w:rPr>
          <w:lang w:val="fr-FR"/>
        </w:rPr>
        <w:fldChar w:fldCharType="end"/>
      </w:r>
      <w:r w:rsidRPr="0070292F">
        <w:rPr>
          <w:lang w:val="fr-FR"/>
        </w:rPr>
        <w:t>.  Selon la cour d</w:t>
      </w:r>
      <w:r w:rsidR="0070292F" w:rsidRPr="0070292F">
        <w:rPr>
          <w:lang w:val="fr-FR"/>
        </w:rPr>
        <w:t>’</w:t>
      </w:r>
      <w:r w:rsidRPr="0070292F">
        <w:rPr>
          <w:lang w:val="fr-FR"/>
        </w:rPr>
        <w:t>appel, le tribunal avait omis d</w:t>
      </w:r>
      <w:r w:rsidR="0070292F" w:rsidRPr="0070292F">
        <w:rPr>
          <w:lang w:val="fr-FR"/>
        </w:rPr>
        <w:t>’</w:t>
      </w:r>
      <w:r w:rsidRPr="0070292F">
        <w:rPr>
          <w:lang w:val="fr-FR"/>
        </w:rPr>
        <w:t>évaluer l</w:t>
      </w:r>
      <w:r w:rsidR="0070292F" w:rsidRPr="0070292F">
        <w:rPr>
          <w:lang w:val="fr-FR"/>
        </w:rPr>
        <w:t>’</w:t>
      </w:r>
      <w:r w:rsidRPr="0070292F">
        <w:rPr>
          <w:lang w:val="fr-FR"/>
        </w:rPr>
        <w:t>incidence de la fonction rééducati</w:t>
      </w:r>
      <w:r w:rsidR="008622D1" w:rsidRPr="0070292F">
        <w:rPr>
          <w:lang w:val="fr-FR"/>
        </w:rPr>
        <w:t>ve</w:t>
      </w:r>
      <w:r w:rsidRPr="0070292F">
        <w:rPr>
          <w:lang w:val="fr-FR"/>
        </w:rPr>
        <w:t xml:space="preserve"> de la peine sur la personnalité du requérant.</w:t>
      </w:r>
    </w:p>
    <w:p w:rsidR="009A3573" w:rsidRPr="0070292F" w:rsidRDefault="009A3573" w:rsidP="0070292F">
      <w:pPr>
        <w:pStyle w:val="ECHRPara"/>
        <w:rPr>
          <w:lang w:val="fr-FR"/>
        </w:rPr>
      </w:pPr>
      <w:r w:rsidRPr="0070292F">
        <w:rPr>
          <w:lang w:val="fr-FR"/>
        </w:rPr>
        <w:t xml:space="preserve">Elle </w:t>
      </w:r>
      <w:r w:rsidR="008622D1" w:rsidRPr="0070292F">
        <w:rPr>
          <w:lang w:val="fr-FR"/>
        </w:rPr>
        <w:t xml:space="preserve">déclara </w:t>
      </w:r>
      <w:r w:rsidRPr="0070292F">
        <w:rPr>
          <w:lang w:val="fr-FR"/>
        </w:rPr>
        <w:t>notamment ce qui suit :</w:t>
      </w:r>
    </w:p>
    <w:p w:rsidR="009A3573" w:rsidRPr="0070292F" w:rsidRDefault="009A3573" w:rsidP="0070292F">
      <w:pPr>
        <w:pStyle w:val="ECHRParaQuote"/>
        <w:rPr>
          <w:lang w:val="fr-FR"/>
        </w:rPr>
      </w:pPr>
      <w:r w:rsidRPr="0070292F">
        <w:rPr>
          <w:lang w:val="fr-FR"/>
        </w:rPr>
        <w:t>« S</w:t>
      </w:r>
      <w:r w:rsidR="0070292F" w:rsidRPr="0070292F">
        <w:rPr>
          <w:lang w:val="fr-FR"/>
        </w:rPr>
        <w:t>’</w:t>
      </w:r>
      <w:r w:rsidRPr="0070292F">
        <w:rPr>
          <w:lang w:val="fr-FR"/>
        </w:rPr>
        <w:t>il est vrai que l</w:t>
      </w:r>
      <w:r w:rsidR="0070292F" w:rsidRPr="0070292F">
        <w:rPr>
          <w:lang w:val="fr-FR"/>
        </w:rPr>
        <w:t>’</w:t>
      </w:r>
      <w:r w:rsidRPr="0070292F">
        <w:rPr>
          <w:lang w:val="fr-FR"/>
        </w:rPr>
        <w:t xml:space="preserve">application de la surveillance spéciale est compatible avec </w:t>
      </w:r>
      <w:r w:rsidR="008622D1" w:rsidRPr="0070292F">
        <w:rPr>
          <w:lang w:val="fr-FR"/>
        </w:rPr>
        <w:t xml:space="preserve">la situation </w:t>
      </w:r>
      <w:r w:rsidRPr="0070292F">
        <w:rPr>
          <w:lang w:val="fr-FR"/>
        </w:rPr>
        <w:t>de détention, qui se rapporte seulement au moment de l</w:t>
      </w:r>
      <w:r w:rsidR="0070292F" w:rsidRPr="0070292F">
        <w:rPr>
          <w:lang w:val="fr-FR"/>
        </w:rPr>
        <w:t>’</w:t>
      </w:r>
      <w:r w:rsidRPr="0070292F">
        <w:rPr>
          <w:lang w:val="fr-FR"/>
        </w:rPr>
        <w:t>exécution de la peine, l</w:t>
      </w:r>
      <w:r w:rsidR="0070292F" w:rsidRPr="0070292F">
        <w:rPr>
          <w:lang w:val="fr-FR"/>
        </w:rPr>
        <w:t>’</w:t>
      </w:r>
      <w:r w:rsidRPr="0070292F">
        <w:rPr>
          <w:lang w:val="fr-FR"/>
        </w:rPr>
        <w:t>appréciation de la dangerosité ne peut être que plus prégnante encore dans le cas d</w:t>
      </w:r>
      <w:r w:rsidR="0070292F" w:rsidRPr="0070292F">
        <w:rPr>
          <w:lang w:val="fr-FR"/>
        </w:rPr>
        <w:t>’</w:t>
      </w:r>
      <w:r w:rsidRPr="0070292F">
        <w:rPr>
          <w:lang w:val="fr-FR"/>
        </w:rPr>
        <w:t>un sujet qui a entièrement purgé sa peine et qui n</w:t>
      </w:r>
      <w:r w:rsidR="0070292F" w:rsidRPr="0070292F">
        <w:rPr>
          <w:lang w:val="fr-FR"/>
        </w:rPr>
        <w:t>’</w:t>
      </w:r>
      <w:r w:rsidRPr="0070292F">
        <w:rPr>
          <w:lang w:val="fr-FR"/>
        </w:rPr>
        <w:t>a plus commis de délits postérieurement à sa libér</w:t>
      </w:r>
      <w:r w:rsidR="008038C6" w:rsidRPr="0070292F">
        <w:rPr>
          <w:lang w:val="fr-FR"/>
        </w:rPr>
        <w:t xml:space="preserve">ation, </w:t>
      </w:r>
      <w:r w:rsidR="00D65453" w:rsidRPr="0070292F">
        <w:rPr>
          <w:lang w:val="fr-FR"/>
        </w:rPr>
        <w:t xml:space="preserve">ce qui </w:t>
      </w:r>
      <w:r w:rsidR="008038C6" w:rsidRPr="0070292F">
        <w:rPr>
          <w:lang w:val="fr-FR"/>
        </w:rPr>
        <w:t xml:space="preserve">est le cas </w:t>
      </w:r>
      <w:r w:rsidR="00D65453" w:rsidRPr="0070292F">
        <w:rPr>
          <w:lang w:val="fr-FR"/>
        </w:rPr>
        <w:t xml:space="preserve">de </w:t>
      </w:r>
      <w:r w:rsidR="008622D1" w:rsidRPr="0070292F">
        <w:rPr>
          <w:lang w:val="fr-FR"/>
        </w:rPr>
        <w:t>M. </w:t>
      </w:r>
      <w:r w:rsidR="008038C6" w:rsidRPr="0070292F">
        <w:rPr>
          <w:lang w:val="fr-FR"/>
        </w:rPr>
        <w:t>d</w:t>
      </w:r>
      <w:r w:rsidRPr="0070292F">
        <w:rPr>
          <w:lang w:val="fr-FR"/>
        </w:rPr>
        <w:t>e Tommaso.</w:t>
      </w:r>
    </w:p>
    <w:p w:rsidR="009A3573" w:rsidRPr="0070292F" w:rsidRDefault="009A3573" w:rsidP="0070292F">
      <w:pPr>
        <w:pStyle w:val="ECHRParaQuote"/>
        <w:rPr>
          <w:lang w:val="fr-FR"/>
        </w:rPr>
      </w:pPr>
      <w:r w:rsidRPr="0070292F">
        <w:rPr>
          <w:lang w:val="fr-FR"/>
        </w:rPr>
        <w:t>Le signalement du 26 janvier 2008</w:t>
      </w:r>
      <w:r w:rsidR="008622D1" w:rsidRPr="0070292F">
        <w:rPr>
          <w:lang w:val="fr-FR"/>
        </w:rPr>
        <w:t xml:space="preserve"> par lequel les gendarmes ont relevé que M. </w:t>
      </w:r>
      <w:r w:rsidR="008038C6" w:rsidRPr="0070292F">
        <w:rPr>
          <w:lang w:val="fr-FR"/>
        </w:rPr>
        <w:t>d</w:t>
      </w:r>
      <w:r w:rsidRPr="0070292F">
        <w:rPr>
          <w:lang w:val="fr-FR"/>
        </w:rPr>
        <w:t xml:space="preserve">e Tommaso </w:t>
      </w:r>
      <w:r w:rsidR="008622D1" w:rsidRPr="0070292F">
        <w:rPr>
          <w:lang w:val="fr-FR"/>
        </w:rPr>
        <w:t xml:space="preserve">fréquentait des </w:t>
      </w:r>
      <w:r w:rsidRPr="0070292F">
        <w:rPr>
          <w:lang w:val="fr-FR"/>
        </w:rPr>
        <w:t xml:space="preserve">personnes condamnées (avec lesquelles il avait été surpris en </w:t>
      </w:r>
      <w:r w:rsidR="006822FF" w:rsidRPr="0070292F">
        <w:rPr>
          <w:lang w:val="fr-FR"/>
        </w:rPr>
        <w:t xml:space="preserve">train de </w:t>
      </w:r>
      <w:r w:rsidRPr="0070292F">
        <w:rPr>
          <w:lang w:val="fr-FR"/>
        </w:rPr>
        <w:t>convers</w:t>
      </w:r>
      <w:r w:rsidR="006822FF" w:rsidRPr="0070292F">
        <w:rPr>
          <w:lang w:val="fr-FR"/>
        </w:rPr>
        <w:t>er</w:t>
      </w:r>
      <w:r w:rsidRPr="0070292F">
        <w:rPr>
          <w:lang w:val="fr-FR"/>
        </w:rPr>
        <w:t>) n</w:t>
      </w:r>
      <w:r w:rsidR="0070292F" w:rsidRPr="0070292F">
        <w:rPr>
          <w:lang w:val="fr-FR"/>
        </w:rPr>
        <w:t>’</w:t>
      </w:r>
      <w:r w:rsidRPr="0070292F">
        <w:rPr>
          <w:lang w:val="fr-FR"/>
        </w:rPr>
        <w:t>apparaît pas suffisant pour établir la dangerosité de l</w:t>
      </w:r>
      <w:r w:rsidR="0070292F" w:rsidRPr="0070292F">
        <w:rPr>
          <w:lang w:val="fr-FR"/>
        </w:rPr>
        <w:t>’</w:t>
      </w:r>
      <w:r w:rsidRPr="0070292F">
        <w:rPr>
          <w:lang w:val="fr-FR"/>
        </w:rPr>
        <w:t>intéress</w:t>
      </w:r>
      <w:r w:rsidR="008038C6" w:rsidRPr="0070292F">
        <w:rPr>
          <w:lang w:val="fr-FR"/>
        </w:rPr>
        <w:t>é</w:t>
      </w:r>
      <w:r w:rsidR="00D65453" w:rsidRPr="0070292F">
        <w:rPr>
          <w:lang w:val="fr-FR"/>
        </w:rPr>
        <w:t>,</w:t>
      </w:r>
      <w:r w:rsidR="006822FF" w:rsidRPr="0070292F">
        <w:rPr>
          <w:lang w:val="fr-FR"/>
        </w:rPr>
        <w:t xml:space="preserve"> compte</w:t>
      </w:r>
      <w:r w:rsidR="008038C6" w:rsidRPr="0070292F">
        <w:rPr>
          <w:lang w:val="fr-FR"/>
        </w:rPr>
        <w:t xml:space="preserve"> </w:t>
      </w:r>
      <w:r w:rsidR="00D65453" w:rsidRPr="0070292F">
        <w:rPr>
          <w:lang w:val="fr-FR"/>
        </w:rPr>
        <w:t xml:space="preserve">tenu </w:t>
      </w:r>
      <w:r w:rsidR="008038C6" w:rsidRPr="0070292F">
        <w:rPr>
          <w:lang w:val="fr-FR"/>
        </w:rPr>
        <w:t xml:space="preserve">de ce que </w:t>
      </w:r>
      <w:r w:rsidR="006822FF" w:rsidRPr="0070292F">
        <w:rPr>
          <w:lang w:val="fr-FR"/>
        </w:rPr>
        <w:t>M. </w:t>
      </w:r>
      <w:r w:rsidR="008038C6" w:rsidRPr="0070292F">
        <w:rPr>
          <w:lang w:val="fr-FR"/>
        </w:rPr>
        <w:t>d</w:t>
      </w:r>
      <w:r w:rsidRPr="0070292F">
        <w:rPr>
          <w:lang w:val="fr-FR"/>
        </w:rPr>
        <w:t>e Tommaso</w:t>
      </w:r>
      <w:r w:rsidR="006822FF" w:rsidRPr="0070292F">
        <w:rPr>
          <w:lang w:val="fr-FR"/>
        </w:rPr>
        <w:t xml:space="preserve">, </w:t>
      </w:r>
      <w:r w:rsidRPr="0070292F">
        <w:rPr>
          <w:lang w:val="fr-FR"/>
        </w:rPr>
        <w:t>postérieurement à la décision d</w:t>
      </w:r>
      <w:r w:rsidR="0070292F" w:rsidRPr="0070292F">
        <w:rPr>
          <w:lang w:val="fr-FR"/>
        </w:rPr>
        <w:t>’</w:t>
      </w:r>
      <w:r w:rsidRPr="0070292F">
        <w:rPr>
          <w:lang w:val="fr-FR"/>
        </w:rPr>
        <w:t xml:space="preserve">application de la mesure de </w:t>
      </w:r>
      <w:r w:rsidR="0061547B" w:rsidRPr="0070292F">
        <w:rPr>
          <w:lang w:val="fr-FR"/>
        </w:rPr>
        <w:t>prévention</w:t>
      </w:r>
      <w:r w:rsidR="006822FF" w:rsidRPr="0070292F">
        <w:rPr>
          <w:lang w:val="fr-FR"/>
        </w:rPr>
        <w:t>,</w:t>
      </w:r>
      <w:r w:rsidRPr="0070292F">
        <w:rPr>
          <w:lang w:val="fr-FR"/>
        </w:rPr>
        <w:t xml:space="preserve"> n</w:t>
      </w:r>
      <w:r w:rsidR="0070292F" w:rsidRPr="0070292F">
        <w:rPr>
          <w:lang w:val="fr-FR"/>
        </w:rPr>
        <w:t>’</w:t>
      </w:r>
      <w:r w:rsidRPr="0070292F">
        <w:rPr>
          <w:lang w:val="fr-FR"/>
        </w:rPr>
        <w:t xml:space="preserve">a pas été </w:t>
      </w:r>
      <w:r w:rsidR="006822FF" w:rsidRPr="0070292F">
        <w:rPr>
          <w:lang w:val="fr-FR"/>
        </w:rPr>
        <w:t xml:space="preserve">mis en cause </w:t>
      </w:r>
      <w:r w:rsidRPr="0070292F">
        <w:rPr>
          <w:lang w:val="fr-FR"/>
        </w:rPr>
        <w:t>dans d</w:t>
      </w:r>
      <w:r w:rsidR="0070292F" w:rsidRPr="0070292F">
        <w:rPr>
          <w:lang w:val="fr-FR"/>
        </w:rPr>
        <w:t>’</w:t>
      </w:r>
      <w:r w:rsidR="00FD360D" w:rsidRPr="0070292F">
        <w:rPr>
          <w:lang w:val="fr-FR"/>
        </w:rPr>
        <w:t>autres procédures judiciaires.</w:t>
      </w:r>
    </w:p>
    <w:p w:rsidR="009A3573" w:rsidRPr="0070292F" w:rsidRDefault="009A3573" w:rsidP="0070292F">
      <w:pPr>
        <w:pStyle w:val="ECHRParaQuote"/>
        <w:rPr>
          <w:lang w:val="fr-FR"/>
        </w:rPr>
      </w:pPr>
      <w:r w:rsidRPr="0070292F">
        <w:rPr>
          <w:lang w:val="fr-FR"/>
        </w:rPr>
        <w:t>La cour d</w:t>
      </w:r>
      <w:r w:rsidR="0070292F" w:rsidRPr="0070292F">
        <w:rPr>
          <w:lang w:val="fr-FR"/>
        </w:rPr>
        <w:t>’</w:t>
      </w:r>
      <w:r w:rsidRPr="0070292F">
        <w:rPr>
          <w:lang w:val="fr-FR"/>
        </w:rPr>
        <w:t>appel relève enfin qu</w:t>
      </w:r>
      <w:r w:rsidR="0070292F" w:rsidRPr="0070292F">
        <w:rPr>
          <w:lang w:val="fr-FR"/>
        </w:rPr>
        <w:t>’</w:t>
      </w:r>
      <w:r w:rsidRPr="0070292F">
        <w:rPr>
          <w:lang w:val="fr-FR"/>
        </w:rPr>
        <w:t>il résulte des pièces produites par la défense devant le tribunal et à l</w:t>
      </w:r>
      <w:r w:rsidR="0070292F" w:rsidRPr="0070292F">
        <w:rPr>
          <w:lang w:val="fr-FR"/>
        </w:rPr>
        <w:t>’</w:t>
      </w:r>
      <w:r w:rsidRPr="0070292F">
        <w:rPr>
          <w:lang w:val="fr-FR"/>
        </w:rPr>
        <w:t xml:space="preserve">audience devant cette chambre que, malgré le caractère </w:t>
      </w:r>
      <w:r w:rsidR="00D65453" w:rsidRPr="0070292F">
        <w:rPr>
          <w:lang w:val="fr-FR"/>
        </w:rPr>
        <w:t xml:space="preserve">typiquement </w:t>
      </w:r>
      <w:r w:rsidRPr="0070292F">
        <w:rPr>
          <w:lang w:val="fr-FR"/>
        </w:rPr>
        <w:t>occasionnel de l</w:t>
      </w:r>
      <w:r w:rsidR="0070292F" w:rsidRPr="0070292F">
        <w:rPr>
          <w:lang w:val="fr-FR"/>
        </w:rPr>
        <w:t>’</w:t>
      </w:r>
      <w:r w:rsidRPr="0070292F">
        <w:rPr>
          <w:lang w:val="fr-FR"/>
        </w:rPr>
        <w:t>activité d</w:t>
      </w:r>
      <w:r w:rsidR="0070292F" w:rsidRPr="0070292F">
        <w:rPr>
          <w:lang w:val="fr-FR"/>
        </w:rPr>
        <w:t>’</w:t>
      </w:r>
      <w:r w:rsidRPr="0070292F">
        <w:rPr>
          <w:lang w:val="fr-FR"/>
        </w:rPr>
        <w:t xml:space="preserve">ouvrier agricole, le condamné a </w:t>
      </w:r>
      <w:r w:rsidR="006822FF" w:rsidRPr="0070292F">
        <w:rPr>
          <w:lang w:val="fr-FR"/>
        </w:rPr>
        <w:t xml:space="preserve">toujours </w:t>
      </w:r>
      <w:r w:rsidRPr="0070292F">
        <w:rPr>
          <w:lang w:val="fr-FR"/>
        </w:rPr>
        <w:t xml:space="preserve">eu, </w:t>
      </w:r>
      <w:r w:rsidR="006822FF" w:rsidRPr="0070292F">
        <w:rPr>
          <w:lang w:val="fr-FR"/>
        </w:rPr>
        <w:t xml:space="preserve">du </w:t>
      </w:r>
      <w:r w:rsidRPr="0070292F">
        <w:rPr>
          <w:lang w:val="fr-FR"/>
        </w:rPr>
        <w:t>moins depuis sa libération en 2005 et jusqu</w:t>
      </w:r>
      <w:r w:rsidR="0070292F" w:rsidRPr="0070292F">
        <w:rPr>
          <w:lang w:val="fr-FR"/>
        </w:rPr>
        <w:t>’</w:t>
      </w:r>
      <w:r w:rsidRPr="0070292F">
        <w:rPr>
          <w:lang w:val="fr-FR"/>
        </w:rPr>
        <w:t xml:space="preserve">à </w:t>
      </w:r>
      <w:r w:rsidR="006822FF" w:rsidRPr="0070292F">
        <w:rPr>
          <w:lang w:val="fr-FR"/>
        </w:rPr>
        <w:t>ce jour</w:t>
      </w:r>
      <w:r w:rsidRPr="0070292F">
        <w:rPr>
          <w:lang w:val="fr-FR"/>
        </w:rPr>
        <w:t>, une activité professionnelle licite lui assurant une source de revenu</w:t>
      </w:r>
      <w:r w:rsidR="006822FF" w:rsidRPr="0070292F">
        <w:rPr>
          <w:lang w:val="fr-FR"/>
        </w:rPr>
        <w:t>s</w:t>
      </w:r>
      <w:r w:rsidRPr="0070292F">
        <w:rPr>
          <w:lang w:val="fr-FR"/>
        </w:rPr>
        <w:t xml:space="preserve"> digne.</w:t>
      </w:r>
    </w:p>
    <w:p w:rsidR="009A3573" w:rsidRPr="0070292F" w:rsidRDefault="009A3573" w:rsidP="0070292F">
      <w:pPr>
        <w:pStyle w:val="ECHRParaQuote"/>
        <w:rPr>
          <w:lang w:val="fr-FR"/>
        </w:rPr>
      </w:pPr>
      <w:r w:rsidRPr="0070292F">
        <w:rPr>
          <w:lang w:val="fr-FR"/>
        </w:rPr>
        <w:t>En conclusion, il n</w:t>
      </w:r>
      <w:r w:rsidR="0070292F" w:rsidRPr="0070292F">
        <w:rPr>
          <w:lang w:val="fr-FR"/>
        </w:rPr>
        <w:t>’</w:t>
      </w:r>
      <w:r w:rsidRPr="0070292F">
        <w:rPr>
          <w:lang w:val="fr-FR"/>
        </w:rPr>
        <w:t xml:space="preserve">existait pas en mars 2008 de faits précis </w:t>
      </w:r>
      <w:r w:rsidR="006822FF" w:rsidRPr="0070292F">
        <w:rPr>
          <w:lang w:val="fr-FR"/>
        </w:rPr>
        <w:t>permettant d</w:t>
      </w:r>
      <w:r w:rsidR="0070292F" w:rsidRPr="0070292F">
        <w:rPr>
          <w:lang w:val="fr-FR"/>
        </w:rPr>
        <w:t>’</w:t>
      </w:r>
      <w:r w:rsidRPr="0070292F">
        <w:rPr>
          <w:lang w:val="fr-FR"/>
        </w:rPr>
        <w:t xml:space="preserve">établir une dangerosité persistante du condamné, qui, après la longue peine </w:t>
      </w:r>
      <w:r w:rsidR="006822FF" w:rsidRPr="0070292F">
        <w:rPr>
          <w:lang w:val="fr-FR"/>
        </w:rPr>
        <w:t>d</w:t>
      </w:r>
      <w:r w:rsidR="0070292F" w:rsidRPr="0070292F">
        <w:rPr>
          <w:lang w:val="fr-FR"/>
        </w:rPr>
        <w:t>’</w:t>
      </w:r>
      <w:r w:rsidR="006822FF" w:rsidRPr="0070292F">
        <w:rPr>
          <w:lang w:val="fr-FR"/>
        </w:rPr>
        <w:t xml:space="preserve">emprisonnement </w:t>
      </w:r>
      <w:r w:rsidRPr="0070292F">
        <w:rPr>
          <w:lang w:val="fr-FR"/>
        </w:rPr>
        <w:t>purgée par lui, n</w:t>
      </w:r>
      <w:r w:rsidR="0070292F" w:rsidRPr="0070292F">
        <w:rPr>
          <w:lang w:val="fr-FR"/>
        </w:rPr>
        <w:t>’</w:t>
      </w:r>
      <w:r w:rsidRPr="0070292F">
        <w:rPr>
          <w:lang w:val="fr-FR"/>
        </w:rPr>
        <w:t xml:space="preserve">a pas eu </w:t>
      </w:r>
      <w:r w:rsidR="006822FF" w:rsidRPr="0070292F">
        <w:rPr>
          <w:lang w:val="fr-FR"/>
        </w:rPr>
        <w:t xml:space="preserve">de </w:t>
      </w:r>
      <w:r w:rsidRPr="0070292F">
        <w:rPr>
          <w:lang w:val="fr-FR"/>
        </w:rPr>
        <w:t>conduite justifiant l</w:t>
      </w:r>
      <w:r w:rsidR="0070292F" w:rsidRPr="0070292F">
        <w:rPr>
          <w:lang w:val="fr-FR"/>
        </w:rPr>
        <w:t>’</w:t>
      </w:r>
      <w:r w:rsidRPr="0070292F">
        <w:rPr>
          <w:lang w:val="fr-FR"/>
        </w:rPr>
        <w:t xml:space="preserve">appréciation portée dans le jugement attaqué, lequel sera donc </w:t>
      </w:r>
      <w:r w:rsidR="00D65453" w:rsidRPr="0070292F">
        <w:rPr>
          <w:lang w:val="fr-FR"/>
        </w:rPr>
        <w:t>infirmé</w:t>
      </w:r>
      <w:r w:rsidR="0070292F" w:rsidRPr="0070292F">
        <w:rPr>
          <w:lang w:val="fr-FR"/>
        </w:rPr>
        <w:t>.</w:t>
      </w:r>
      <w:r w:rsidR="00D65453" w:rsidRPr="0070292F">
        <w:rPr>
          <w:lang w:val="fr-FR"/>
        </w:rPr>
        <w:t> </w:t>
      </w:r>
      <w:r w:rsidR="0070292F" w:rsidRPr="0070292F">
        <w:rPr>
          <w:lang w:val="fr-FR"/>
        </w:rPr>
        <w:t>»</w:t>
      </w:r>
    </w:p>
    <w:p w:rsidR="002969E4" w:rsidRPr="0070292F" w:rsidRDefault="008038C6" w:rsidP="0070292F">
      <w:pPr>
        <w:pStyle w:val="ECHRHeading1"/>
        <w:rPr>
          <w:lang w:val="fr-FR"/>
        </w:rPr>
      </w:pPr>
      <w:bookmarkStart w:id="8" w:name="_Toc475451836"/>
      <w:r w:rsidRPr="0070292F">
        <w:rPr>
          <w:lang w:val="fr-FR"/>
        </w:rPr>
        <w:t>II.  </w:t>
      </w:r>
      <w:r w:rsidR="002969E4" w:rsidRPr="0070292F">
        <w:rPr>
          <w:lang w:val="fr-FR"/>
        </w:rPr>
        <w:t>LA DÉCLARATION UNILATÉRALE PARTIELLE DU GOUVERNEMENT</w:t>
      </w:r>
      <w:bookmarkEnd w:id="8"/>
    </w:p>
    <w:p w:rsidR="002969E4" w:rsidRPr="0070292F" w:rsidRDefault="002969E4"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28</w:t>
      </w:r>
      <w:r w:rsidRPr="0070292F">
        <w:rPr>
          <w:lang w:val="fr-FR"/>
        </w:rPr>
        <w:fldChar w:fldCharType="end"/>
      </w:r>
      <w:r w:rsidRPr="0070292F">
        <w:rPr>
          <w:lang w:val="fr-FR"/>
        </w:rPr>
        <w:t xml:space="preserve">.  Le 7 avril 2015, le Gouvernement a </w:t>
      </w:r>
      <w:r w:rsidR="00D65453" w:rsidRPr="0070292F">
        <w:rPr>
          <w:lang w:val="fr-FR"/>
        </w:rPr>
        <w:t xml:space="preserve">adressé à la Cour </w:t>
      </w:r>
      <w:r w:rsidRPr="0070292F">
        <w:rPr>
          <w:lang w:val="fr-FR"/>
        </w:rPr>
        <w:t xml:space="preserve">une lettre contenant une proposition en vue </w:t>
      </w:r>
      <w:r w:rsidR="00E9231D" w:rsidRPr="0070292F">
        <w:rPr>
          <w:lang w:val="fr-FR"/>
        </w:rPr>
        <w:t>d</w:t>
      </w:r>
      <w:r w:rsidR="0070292F" w:rsidRPr="0070292F">
        <w:rPr>
          <w:lang w:val="fr-FR"/>
        </w:rPr>
        <w:t>’</w:t>
      </w:r>
      <w:r w:rsidR="00E9231D" w:rsidRPr="0070292F">
        <w:rPr>
          <w:lang w:val="fr-FR"/>
        </w:rPr>
        <w:t xml:space="preserve">un règlement </w:t>
      </w:r>
      <w:r w:rsidRPr="0070292F">
        <w:rPr>
          <w:lang w:val="fr-FR"/>
        </w:rPr>
        <w:t xml:space="preserve">amiable </w:t>
      </w:r>
      <w:r w:rsidR="00E9231D" w:rsidRPr="0070292F">
        <w:rPr>
          <w:lang w:val="fr-FR"/>
        </w:rPr>
        <w:t xml:space="preserve">de </w:t>
      </w:r>
      <w:r w:rsidRPr="0070292F">
        <w:rPr>
          <w:lang w:val="fr-FR"/>
        </w:rPr>
        <w:t>la partie de la requête concernant le grief tiré du défaut de publicité des audiences d</w:t>
      </w:r>
      <w:r w:rsidR="00A93616" w:rsidRPr="0070292F">
        <w:rPr>
          <w:lang w:val="fr-FR"/>
        </w:rPr>
        <w:t>evant le tribunal et la cour d</w:t>
      </w:r>
      <w:r w:rsidR="0070292F" w:rsidRPr="0070292F">
        <w:rPr>
          <w:lang w:val="fr-FR"/>
        </w:rPr>
        <w:t>’</w:t>
      </w:r>
      <w:r w:rsidRPr="0070292F">
        <w:rPr>
          <w:lang w:val="fr-FR"/>
        </w:rPr>
        <w:t>appel de Bari (article 6 § 1 de la Convention)</w:t>
      </w:r>
      <w:r w:rsidR="00E9231D" w:rsidRPr="0070292F">
        <w:rPr>
          <w:lang w:val="fr-FR"/>
        </w:rPr>
        <w:t>,</w:t>
      </w:r>
      <w:r w:rsidRPr="0070292F">
        <w:rPr>
          <w:lang w:val="fr-FR"/>
        </w:rPr>
        <w:t xml:space="preserve"> ainsi </w:t>
      </w:r>
      <w:r w:rsidR="00E9231D" w:rsidRPr="0070292F">
        <w:rPr>
          <w:lang w:val="fr-FR"/>
        </w:rPr>
        <w:lastRenderedPageBreak/>
        <w:t>qu</w:t>
      </w:r>
      <w:r w:rsidR="0070292F" w:rsidRPr="0070292F">
        <w:rPr>
          <w:lang w:val="fr-FR"/>
        </w:rPr>
        <w:t>’</w:t>
      </w:r>
      <w:r w:rsidR="00E9231D" w:rsidRPr="0070292F">
        <w:rPr>
          <w:lang w:val="fr-FR"/>
        </w:rPr>
        <w:t>une</w:t>
      </w:r>
      <w:r w:rsidRPr="0070292F">
        <w:rPr>
          <w:lang w:val="fr-FR"/>
        </w:rPr>
        <w:t xml:space="preserve"> déclar</w:t>
      </w:r>
      <w:r w:rsidR="00A93616" w:rsidRPr="0070292F">
        <w:rPr>
          <w:lang w:val="fr-FR"/>
        </w:rPr>
        <w:t xml:space="preserve">ation unilatérale </w:t>
      </w:r>
      <w:r w:rsidR="00E9231D" w:rsidRPr="0070292F">
        <w:rPr>
          <w:lang w:val="fr-FR"/>
        </w:rPr>
        <w:t xml:space="preserve">relative à ce grief, fondée sur </w:t>
      </w:r>
      <w:r w:rsidR="00A93616" w:rsidRPr="0070292F">
        <w:rPr>
          <w:lang w:val="fr-FR"/>
        </w:rPr>
        <w:t>l</w:t>
      </w:r>
      <w:r w:rsidR="0070292F" w:rsidRPr="0070292F">
        <w:rPr>
          <w:lang w:val="fr-FR"/>
        </w:rPr>
        <w:t>’</w:t>
      </w:r>
      <w:r w:rsidRPr="0070292F">
        <w:rPr>
          <w:lang w:val="fr-FR"/>
        </w:rPr>
        <w:t xml:space="preserve">article 62A du </w:t>
      </w:r>
      <w:r w:rsidR="00E9231D" w:rsidRPr="0070292F">
        <w:rPr>
          <w:lang w:val="fr-FR"/>
        </w:rPr>
        <w:t>r</w:t>
      </w:r>
      <w:r w:rsidRPr="0070292F">
        <w:rPr>
          <w:lang w:val="fr-FR"/>
        </w:rPr>
        <w:t>èglement de la Cour.</w:t>
      </w:r>
    </w:p>
    <w:p w:rsidR="002969E4" w:rsidRPr="0070292F" w:rsidRDefault="002969E4" w:rsidP="0070292F">
      <w:pPr>
        <w:pStyle w:val="ECHRPara"/>
        <w:rPr>
          <w:rFonts w:cstheme="minorHAnsi"/>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29</w:t>
      </w:r>
      <w:r w:rsidRPr="0070292F">
        <w:rPr>
          <w:lang w:val="fr-FR"/>
        </w:rPr>
        <w:fldChar w:fldCharType="end"/>
      </w:r>
      <w:r w:rsidRPr="0070292F">
        <w:rPr>
          <w:lang w:val="fr-FR"/>
        </w:rPr>
        <w:t>.  </w:t>
      </w:r>
      <w:r w:rsidR="00AD1FF1" w:rsidRPr="0070292F">
        <w:rPr>
          <w:rFonts w:eastAsia="Calibri" w:cstheme="minorHAnsi"/>
          <w:color w:val="000000"/>
          <w:szCs w:val="24"/>
          <w:lang w:val="fr-FR"/>
        </w:rPr>
        <w:t xml:space="preserve">Dans cette dernière déclaration, le Gouvernement, se référant à la jurisprudence bien établie de la Cour (arrêts </w:t>
      </w:r>
      <w:r w:rsidR="00AD1FF1" w:rsidRPr="0070292F">
        <w:rPr>
          <w:rFonts w:eastAsia="Calibri" w:cstheme="minorHAnsi"/>
          <w:i/>
          <w:iCs/>
          <w:color w:val="000000"/>
          <w:szCs w:val="24"/>
          <w:lang w:val="fr-FR"/>
        </w:rPr>
        <w:t>Bocellari et Rizza c. Italie</w:t>
      </w:r>
      <w:r w:rsidR="00AD1FF1" w:rsidRPr="0070292F">
        <w:rPr>
          <w:rFonts w:eastAsia="Calibri" w:cstheme="minorHAnsi"/>
          <w:color w:val="000000"/>
          <w:szCs w:val="24"/>
          <w:lang w:val="fr-FR"/>
        </w:rPr>
        <w:t>, n</w:t>
      </w:r>
      <w:r w:rsidR="008C1E94" w:rsidRPr="0070292F">
        <w:rPr>
          <w:rFonts w:eastAsia="Calibri" w:cstheme="minorHAnsi"/>
          <w:color w:val="000000"/>
          <w:szCs w:val="24"/>
          <w:vertAlign w:val="superscript"/>
          <w:lang w:val="fr-FR"/>
        </w:rPr>
        <w:t>o</w:t>
      </w:r>
      <w:r w:rsidR="00AD1FF1" w:rsidRPr="0070292F">
        <w:rPr>
          <w:rFonts w:eastAsia="Calibri" w:cstheme="minorHAnsi"/>
          <w:color w:val="000000"/>
          <w:szCs w:val="24"/>
          <w:lang w:val="fr-FR"/>
        </w:rPr>
        <w:t xml:space="preserve"> 399/02, 13 novembre 2007, </w:t>
      </w:r>
      <w:r w:rsidR="00AD1FF1" w:rsidRPr="0070292F">
        <w:rPr>
          <w:rFonts w:eastAsia="Calibri" w:cstheme="minorHAnsi"/>
          <w:i/>
          <w:iCs/>
          <w:color w:val="000000"/>
          <w:szCs w:val="24"/>
          <w:lang w:val="fr-FR"/>
        </w:rPr>
        <w:t>Perre et autres c. Italie</w:t>
      </w:r>
      <w:r w:rsidR="00AD1FF1" w:rsidRPr="0070292F">
        <w:rPr>
          <w:rFonts w:eastAsia="Calibri" w:cstheme="minorHAnsi"/>
          <w:color w:val="000000"/>
          <w:szCs w:val="24"/>
          <w:lang w:val="fr-FR"/>
        </w:rPr>
        <w:t>, n</w:t>
      </w:r>
      <w:r w:rsidR="008C1E94" w:rsidRPr="0070292F">
        <w:rPr>
          <w:rFonts w:eastAsia="Calibri" w:cstheme="minorHAnsi"/>
          <w:color w:val="000000"/>
          <w:szCs w:val="24"/>
          <w:vertAlign w:val="superscript"/>
          <w:lang w:val="fr-FR"/>
        </w:rPr>
        <w:t>o</w:t>
      </w:r>
      <w:r w:rsidR="00AD1FF1" w:rsidRPr="0070292F">
        <w:rPr>
          <w:rFonts w:eastAsia="Calibri" w:cstheme="minorHAnsi"/>
          <w:color w:val="000000"/>
          <w:szCs w:val="24"/>
          <w:lang w:val="fr-FR"/>
        </w:rPr>
        <w:t xml:space="preserve"> 1905/05, 8 juillet 2008, et </w:t>
      </w:r>
      <w:r w:rsidR="00AD1FF1" w:rsidRPr="0070292F">
        <w:rPr>
          <w:rFonts w:eastAsia="Calibri" w:cstheme="minorHAnsi"/>
          <w:i/>
          <w:iCs/>
          <w:color w:val="000000"/>
          <w:szCs w:val="24"/>
          <w:lang w:val="fr-FR"/>
        </w:rPr>
        <w:t>Bongiorno et autres c. Italie</w:t>
      </w:r>
      <w:r w:rsidR="00AD1FF1" w:rsidRPr="0070292F">
        <w:rPr>
          <w:rFonts w:eastAsia="Calibri" w:cstheme="minorHAnsi"/>
          <w:color w:val="000000"/>
          <w:szCs w:val="24"/>
          <w:lang w:val="fr-FR"/>
        </w:rPr>
        <w:t>, n</w:t>
      </w:r>
      <w:r w:rsidR="00AD1FF1" w:rsidRPr="0070292F">
        <w:rPr>
          <w:rFonts w:eastAsia="Calibri" w:cstheme="minorHAnsi"/>
          <w:color w:val="000000"/>
          <w:szCs w:val="24"/>
          <w:vertAlign w:val="superscript"/>
          <w:lang w:val="fr-FR"/>
        </w:rPr>
        <w:t>o </w:t>
      </w:r>
      <w:r w:rsidR="0070292F" w:rsidRPr="0070292F">
        <w:rPr>
          <w:rFonts w:eastAsia="Calibri" w:cstheme="minorHAnsi"/>
          <w:color w:val="000000"/>
          <w:szCs w:val="24"/>
          <w:lang w:val="fr-FR"/>
        </w:rPr>
        <w:t xml:space="preserve">4514/07, 5 janvier 2010) </w:t>
      </w:r>
      <w:r w:rsidR="00AD1FF1" w:rsidRPr="0070292F">
        <w:rPr>
          <w:rFonts w:eastAsia="Calibri" w:cstheme="minorHAnsi"/>
          <w:color w:val="000000"/>
          <w:szCs w:val="24"/>
          <w:lang w:val="fr-FR"/>
        </w:rPr>
        <w:t>reconnait la violation de l</w:t>
      </w:r>
      <w:r w:rsidR="0070292F" w:rsidRPr="0070292F">
        <w:rPr>
          <w:rFonts w:eastAsia="Calibri" w:cstheme="minorHAnsi"/>
          <w:color w:val="000000"/>
          <w:szCs w:val="24"/>
          <w:lang w:val="fr-FR"/>
        </w:rPr>
        <w:t>’</w:t>
      </w:r>
      <w:r w:rsidR="00AD1FF1" w:rsidRPr="0070292F">
        <w:rPr>
          <w:rFonts w:eastAsia="Calibri" w:cstheme="minorHAnsi"/>
          <w:color w:val="000000"/>
          <w:szCs w:val="24"/>
          <w:lang w:val="fr-FR"/>
        </w:rPr>
        <w:t>article 6 § 1 de la Convention en raison du défaut de publicité des audiences, offre de payer un certain montant au titre des frais relatifs à cet aspect de la requête et en sollicite la radiation du rôle</w:t>
      </w:r>
      <w:r w:rsidRPr="0070292F">
        <w:rPr>
          <w:rFonts w:cstheme="minorHAnsi"/>
          <w:lang w:val="fr-FR"/>
        </w:rPr>
        <w:t>.</w:t>
      </w:r>
    </w:p>
    <w:p w:rsidR="00E77CB3" w:rsidRPr="0070292F" w:rsidRDefault="00C80C42" w:rsidP="0070292F">
      <w:pPr>
        <w:pStyle w:val="ECHRHeading1"/>
        <w:rPr>
          <w:lang w:val="fr-FR"/>
        </w:rPr>
      </w:pPr>
      <w:bookmarkStart w:id="9" w:name="_Toc475451837"/>
      <w:r w:rsidRPr="0070292F">
        <w:rPr>
          <w:lang w:val="fr-FR"/>
        </w:rPr>
        <w:t>I</w:t>
      </w:r>
      <w:r w:rsidR="00E77CB3" w:rsidRPr="0070292F">
        <w:rPr>
          <w:lang w:val="fr-FR"/>
        </w:rPr>
        <w:t>II.  LE DROIT ET LA PRATIQUE INTERNES PERTINENTS</w:t>
      </w:r>
      <w:bookmarkEnd w:id="9"/>
    </w:p>
    <w:p w:rsidR="009A3573" w:rsidRPr="0070292F" w:rsidRDefault="002E0B78" w:rsidP="0070292F">
      <w:pPr>
        <w:pStyle w:val="ECHRHeading2"/>
        <w:rPr>
          <w:lang w:val="fr-FR"/>
        </w:rPr>
      </w:pPr>
      <w:bookmarkStart w:id="10" w:name="_Toc414976532"/>
      <w:bookmarkStart w:id="11" w:name="_Toc414976941"/>
      <w:bookmarkStart w:id="12" w:name="_Toc417572560"/>
      <w:bookmarkStart w:id="13" w:name="_Toc475451838"/>
      <w:r w:rsidRPr="0070292F">
        <w:rPr>
          <w:lang w:val="fr-FR"/>
        </w:rPr>
        <w:t>A</w:t>
      </w:r>
      <w:r w:rsidR="009A3573" w:rsidRPr="0070292F">
        <w:rPr>
          <w:lang w:val="fr-FR"/>
        </w:rPr>
        <w:t>.  La loi n</w:t>
      </w:r>
      <w:r w:rsidR="009A3573" w:rsidRPr="0070292F">
        <w:rPr>
          <w:vertAlign w:val="superscript"/>
          <w:lang w:val="fr-FR"/>
        </w:rPr>
        <w:t>o</w:t>
      </w:r>
      <w:r w:rsidR="009A3573" w:rsidRPr="0070292F">
        <w:rPr>
          <w:lang w:val="fr-FR"/>
        </w:rPr>
        <w:t>1423 de 1956</w:t>
      </w:r>
      <w:bookmarkEnd w:id="10"/>
      <w:bookmarkEnd w:id="11"/>
      <w:bookmarkEnd w:id="12"/>
      <w:bookmarkEnd w:id="13"/>
    </w:p>
    <w:p w:rsidR="00175060" w:rsidRPr="0070292F" w:rsidRDefault="00175060"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30</w:t>
      </w:r>
      <w:r w:rsidRPr="0070292F">
        <w:rPr>
          <w:lang w:val="fr-FR"/>
        </w:rPr>
        <w:fldChar w:fldCharType="end"/>
      </w:r>
      <w:r w:rsidRPr="0070292F">
        <w:rPr>
          <w:lang w:val="fr-FR"/>
        </w:rPr>
        <w:t xml:space="preserve">.  Les mesures de prévention personnelles </w:t>
      </w:r>
      <w:r w:rsidRPr="0070292F">
        <w:rPr>
          <w:i/>
          <w:lang w:val="fr-FR"/>
        </w:rPr>
        <w:t>praeter delictum</w:t>
      </w:r>
      <w:r w:rsidRPr="0070292F">
        <w:rPr>
          <w:lang w:val="fr-FR"/>
        </w:rPr>
        <w:t xml:space="preserve"> en Italie </w:t>
      </w:r>
      <w:r w:rsidR="006741D6" w:rsidRPr="0070292F">
        <w:rPr>
          <w:lang w:val="fr-FR"/>
        </w:rPr>
        <w:t>remontent au</w:t>
      </w:r>
      <w:r w:rsidRPr="0070292F">
        <w:rPr>
          <w:lang w:val="fr-FR"/>
        </w:rPr>
        <w:t xml:space="preserve"> XIX</w:t>
      </w:r>
      <w:r w:rsidR="006741D6" w:rsidRPr="0070292F">
        <w:rPr>
          <w:vertAlign w:val="superscript"/>
          <w:lang w:val="fr-FR"/>
        </w:rPr>
        <w:t>e</w:t>
      </w:r>
      <w:r w:rsidRPr="0070292F">
        <w:rPr>
          <w:lang w:val="fr-FR"/>
        </w:rPr>
        <w:t xml:space="preserve"> siècle. Elles existaient déjà avant l</w:t>
      </w:r>
      <w:r w:rsidR="0070292F" w:rsidRPr="0070292F">
        <w:rPr>
          <w:lang w:val="fr-FR"/>
        </w:rPr>
        <w:t>’</w:t>
      </w:r>
      <w:r w:rsidRPr="0070292F">
        <w:rPr>
          <w:lang w:val="fr-FR"/>
        </w:rPr>
        <w:t>unification de l</w:t>
      </w:r>
      <w:r w:rsidR="0070292F" w:rsidRPr="0070292F">
        <w:rPr>
          <w:lang w:val="fr-FR"/>
        </w:rPr>
        <w:t>’</w:t>
      </w:r>
      <w:r w:rsidRPr="0070292F">
        <w:rPr>
          <w:lang w:val="fr-FR"/>
        </w:rPr>
        <w:t xml:space="preserve">Italie en 1861, puis </w:t>
      </w:r>
      <w:r w:rsidR="006741D6" w:rsidRPr="0070292F">
        <w:rPr>
          <w:lang w:val="fr-FR"/>
        </w:rPr>
        <w:t>furent</w:t>
      </w:r>
      <w:r w:rsidRPr="0070292F">
        <w:rPr>
          <w:lang w:val="fr-FR"/>
        </w:rPr>
        <w:t xml:space="preserve"> réintroduites dans la législation du Royaume d</w:t>
      </w:r>
      <w:r w:rsidR="0070292F" w:rsidRPr="0070292F">
        <w:rPr>
          <w:lang w:val="fr-FR"/>
        </w:rPr>
        <w:t>’</w:t>
      </w:r>
      <w:r w:rsidRPr="0070292F">
        <w:rPr>
          <w:lang w:val="fr-FR"/>
        </w:rPr>
        <w:t xml:space="preserve">Italie par la loi Pica nº 1409 de 1863, et </w:t>
      </w:r>
      <w:r w:rsidR="006741D6" w:rsidRPr="0070292F">
        <w:rPr>
          <w:lang w:val="fr-FR"/>
        </w:rPr>
        <w:t xml:space="preserve">plus tard </w:t>
      </w:r>
      <w:r w:rsidRPr="0070292F">
        <w:rPr>
          <w:lang w:val="fr-FR"/>
        </w:rPr>
        <w:t xml:space="preserve">par le « Texte </w:t>
      </w:r>
      <w:r w:rsidR="006741D6" w:rsidRPr="0070292F">
        <w:rPr>
          <w:lang w:val="fr-FR"/>
        </w:rPr>
        <w:t>u</w:t>
      </w:r>
      <w:r w:rsidRPr="0070292F">
        <w:rPr>
          <w:lang w:val="fr-FR"/>
        </w:rPr>
        <w:t xml:space="preserve">nique de </w:t>
      </w:r>
      <w:r w:rsidR="006741D6" w:rsidRPr="0070292F">
        <w:rPr>
          <w:lang w:val="fr-FR"/>
        </w:rPr>
        <w:t>s</w:t>
      </w:r>
      <w:r w:rsidRPr="0070292F">
        <w:rPr>
          <w:lang w:val="fr-FR"/>
        </w:rPr>
        <w:t xml:space="preserve">écurité </w:t>
      </w:r>
      <w:r w:rsidR="006741D6" w:rsidRPr="0070292F">
        <w:rPr>
          <w:lang w:val="fr-FR"/>
        </w:rPr>
        <w:t>p</w:t>
      </w:r>
      <w:r w:rsidRPr="0070292F">
        <w:rPr>
          <w:lang w:val="fr-FR"/>
        </w:rPr>
        <w:t>ublique » de 1865.</w:t>
      </w:r>
    </w:p>
    <w:p w:rsidR="003B250C" w:rsidRPr="0070292F" w:rsidRDefault="00B97F40"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31</w:t>
      </w:r>
      <w:r w:rsidRPr="0070292F">
        <w:rPr>
          <w:lang w:val="fr-FR"/>
        </w:rPr>
        <w:fldChar w:fldCharType="end"/>
      </w:r>
      <w:r w:rsidRPr="0070292F">
        <w:rPr>
          <w:lang w:val="fr-FR"/>
        </w:rPr>
        <w:t>.  </w:t>
      </w:r>
      <w:r w:rsidR="003B250C" w:rsidRPr="0070292F">
        <w:rPr>
          <w:lang w:val="fr-FR"/>
        </w:rPr>
        <w:t>En 1948, la Constitution italienne entr</w:t>
      </w:r>
      <w:r w:rsidR="006741D6" w:rsidRPr="0070292F">
        <w:rPr>
          <w:lang w:val="fr-FR"/>
        </w:rPr>
        <w:t>a</w:t>
      </w:r>
      <w:r w:rsidR="003B250C" w:rsidRPr="0070292F">
        <w:rPr>
          <w:lang w:val="fr-FR"/>
        </w:rPr>
        <w:t xml:space="preserve"> en vigueur, mettant en exergue la protection des libertés fondamentales, </w:t>
      </w:r>
      <w:r w:rsidR="006741D6" w:rsidRPr="0070292F">
        <w:rPr>
          <w:lang w:val="fr-FR"/>
        </w:rPr>
        <w:t>en particulier</w:t>
      </w:r>
      <w:r w:rsidR="003B250C" w:rsidRPr="0070292F">
        <w:rPr>
          <w:lang w:val="fr-FR"/>
        </w:rPr>
        <w:t xml:space="preserve"> de la liberté personnelle </w:t>
      </w:r>
      <w:r w:rsidR="006741D6" w:rsidRPr="0070292F">
        <w:rPr>
          <w:lang w:val="fr-FR"/>
        </w:rPr>
        <w:t>(a</w:t>
      </w:r>
      <w:r w:rsidR="003B250C" w:rsidRPr="0070292F">
        <w:rPr>
          <w:lang w:val="fr-FR"/>
        </w:rPr>
        <w:t>rticle 13</w:t>
      </w:r>
      <w:r w:rsidR="006741D6" w:rsidRPr="0070292F">
        <w:rPr>
          <w:lang w:val="fr-FR"/>
        </w:rPr>
        <w:t xml:space="preserve">) et de </w:t>
      </w:r>
      <w:r w:rsidR="003B250C" w:rsidRPr="0070292F">
        <w:rPr>
          <w:lang w:val="fr-FR"/>
        </w:rPr>
        <w:t xml:space="preserve">la liberté de circulation </w:t>
      </w:r>
      <w:r w:rsidR="006741D6" w:rsidRPr="0070292F">
        <w:rPr>
          <w:lang w:val="fr-FR"/>
        </w:rPr>
        <w:t>(a</w:t>
      </w:r>
      <w:r w:rsidR="003B250C" w:rsidRPr="0070292F">
        <w:rPr>
          <w:lang w:val="fr-FR"/>
        </w:rPr>
        <w:t>rticle 16</w:t>
      </w:r>
      <w:r w:rsidR="006741D6" w:rsidRPr="0070292F">
        <w:rPr>
          <w:lang w:val="fr-FR"/>
        </w:rPr>
        <w:t xml:space="preserve">), ainsi que </w:t>
      </w:r>
      <w:r w:rsidR="003B250C" w:rsidRPr="0070292F">
        <w:rPr>
          <w:lang w:val="fr-FR"/>
        </w:rPr>
        <w:t xml:space="preserve">le principe de légalité en matière de délits et de mesures de </w:t>
      </w:r>
      <w:r w:rsidR="006741D6" w:rsidRPr="0070292F">
        <w:rPr>
          <w:lang w:val="fr-FR"/>
        </w:rPr>
        <w:t xml:space="preserve">sûreté </w:t>
      </w:r>
      <w:r w:rsidR="003B250C" w:rsidRPr="0070292F">
        <w:rPr>
          <w:lang w:val="fr-FR"/>
        </w:rPr>
        <w:t>(</w:t>
      </w:r>
      <w:r w:rsidR="006741D6" w:rsidRPr="0070292F">
        <w:rPr>
          <w:lang w:val="fr-FR"/>
        </w:rPr>
        <w:t>a</w:t>
      </w:r>
      <w:r w:rsidR="003B250C" w:rsidRPr="0070292F">
        <w:rPr>
          <w:lang w:val="fr-FR"/>
        </w:rPr>
        <w:t>rticle 25, alinéas 2 et 3).</w:t>
      </w:r>
    </w:p>
    <w:p w:rsidR="003B250C" w:rsidRPr="0070292F" w:rsidRDefault="003B250C"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32</w:t>
      </w:r>
      <w:r w:rsidRPr="0070292F">
        <w:rPr>
          <w:lang w:val="fr-FR"/>
        </w:rPr>
        <w:fldChar w:fldCharType="end"/>
      </w:r>
      <w:r w:rsidRPr="0070292F">
        <w:rPr>
          <w:lang w:val="fr-FR"/>
        </w:rPr>
        <w:t>.  </w:t>
      </w:r>
      <w:r w:rsidR="006741D6" w:rsidRPr="0070292F">
        <w:rPr>
          <w:lang w:val="fr-FR"/>
        </w:rPr>
        <w:t>Pour autant</w:t>
      </w:r>
      <w:r w:rsidRPr="0070292F">
        <w:rPr>
          <w:lang w:val="fr-FR"/>
        </w:rPr>
        <w:t xml:space="preserve">, les mesures de prévention personnelles </w:t>
      </w:r>
      <w:r w:rsidR="006741D6" w:rsidRPr="0070292F">
        <w:rPr>
          <w:lang w:val="fr-FR"/>
        </w:rPr>
        <w:t xml:space="preserve">ne disparurent </w:t>
      </w:r>
      <w:r w:rsidRPr="0070292F">
        <w:rPr>
          <w:lang w:val="fr-FR"/>
        </w:rPr>
        <w:t>pas complètement</w:t>
      </w:r>
      <w:r w:rsidR="006741D6" w:rsidRPr="0070292F">
        <w:rPr>
          <w:lang w:val="fr-FR"/>
        </w:rPr>
        <w:t xml:space="preserve"> ; </w:t>
      </w:r>
      <w:r w:rsidR="0022790E" w:rsidRPr="0070292F">
        <w:rPr>
          <w:lang w:val="fr-FR"/>
        </w:rPr>
        <w:t xml:space="preserve">suite </w:t>
      </w:r>
      <w:r w:rsidR="0022790E" w:rsidRPr="0070292F">
        <w:rPr>
          <w:rFonts w:cstheme="minorHAnsi"/>
          <w:lang w:val="fr-FR"/>
        </w:rPr>
        <w:t>à</w:t>
      </w:r>
      <w:r w:rsidR="006741D6" w:rsidRPr="0070292F">
        <w:rPr>
          <w:lang w:val="fr-FR"/>
        </w:rPr>
        <w:t xml:space="preserve"> </w:t>
      </w:r>
      <w:r w:rsidRPr="0070292F">
        <w:rPr>
          <w:lang w:val="fr-FR"/>
        </w:rPr>
        <w:t>l</w:t>
      </w:r>
      <w:r w:rsidR="0070292F" w:rsidRPr="0070292F">
        <w:rPr>
          <w:lang w:val="fr-FR"/>
        </w:rPr>
        <w:t>’</w:t>
      </w:r>
      <w:r w:rsidRPr="0070292F">
        <w:rPr>
          <w:lang w:val="fr-FR"/>
        </w:rPr>
        <w:t xml:space="preserve">adoption de la nouvelle loi nº 1423 de 1956, elles </w:t>
      </w:r>
      <w:r w:rsidR="006741D6" w:rsidRPr="0070292F">
        <w:rPr>
          <w:lang w:val="fr-FR"/>
        </w:rPr>
        <w:t>furent</w:t>
      </w:r>
      <w:r w:rsidRPr="0070292F">
        <w:rPr>
          <w:lang w:val="fr-FR"/>
        </w:rPr>
        <w:t xml:space="preserve"> adaptées aux critères fon</w:t>
      </w:r>
      <w:r w:rsidR="005661AF" w:rsidRPr="0070292F">
        <w:rPr>
          <w:lang w:val="fr-FR"/>
        </w:rPr>
        <w:t>damentaux indiqués par la Cour c</w:t>
      </w:r>
      <w:r w:rsidRPr="0070292F">
        <w:rPr>
          <w:lang w:val="fr-FR"/>
        </w:rPr>
        <w:t xml:space="preserve">onstitutionnelle dans </w:t>
      </w:r>
      <w:r w:rsidR="003A7BA6" w:rsidRPr="0070292F">
        <w:rPr>
          <w:lang w:val="fr-FR"/>
        </w:rPr>
        <w:t>s</w:t>
      </w:r>
      <w:r w:rsidRPr="0070292F">
        <w:rPr>
          <w:lang w:val="fr-FR"/>
        </w:rPr>
        <w:t xml:space="preserve">es arrêts, exigeant </w:t>
      </w:r>
      <w:r w:rsidR="004F7F77" w:rsidRPr="0070292F">
        <w:rPr>
          <w:lang w:val="fr-FR"/>
        </w:rPr>
        <w:t>l</w:t>
      </w:r>
      <w:r w:rsidR="0070292F" w:rsidRPr="0070292F">
        <w:rPr>
          <w:lang w:val="fr-FR"/>
        </w:rPr>
        <w:t>’</w:t>
      </w:r>
      <w:r w:rsidR="004F7F77" w:rsidRPr="0070292F">
        <w:rPr>
          <w:lang w:val="fr-FR"/>
        </w:rPr>
        <w:t>intervention des tribunaux</w:t>
      </w:r>
      <w:r w:rsidRPr="0070292F">
        <w:rPr>
          <w:lang w:val="fr-FR"/>
        </w:rPr>
        <w:t xml:space="preserve"> et le respect du principe de légalité lors de leur application.</w:t>
      </w:r>
    </w:p>
    <w:p w:rsidR="009A3573" w:rsidRPr="0070292F" w:rsidRDefault="009A3573"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33</w:t>
      </w:r>
      <w:r w:rsidRPr="0070292F">
        <w:rPr>
          <w:lang w:val="fr-FR"/>
        </w:rPr>
        <w:fldChar w:fldCharType="end"/>
      </w:r>
      <w:r w:rsidRPr="0070292F">
        <w:rPr>
          <w:lang w:val="fr-FR"/>
        </w:rPr>
        <w:t>.  La loi n</w:t>
      </w:r>
      <w:r w:rsidRPr="0070292F">
        <w:rPr>
          <w:vertAlign w:val="superscript"/>
          <w:lang w:val="fr-FR"/>
        </w:rPr>
        <w:t>o</w:t>
      </w:r>
      <w:r w:rsidRPr="0070292F">
        <w:rPr>
          <w:lang w:val="fr-FR"/>
        </w:rPr>
        <w:t xml:space="preserve"> 1423 du 27 décembre 1956</w:t>
      </w:r>
      <w:r w:rsidR="00D72032" w:rsidRPr="0070292F">
        <w:rPr>
          <w:rStyle w:val="Rimandocommento"/>
          <w:sz w:val="24"/>
          <w:szCs w:val="24"/>
          <w:lang w:val="fr-FR"/>
        </w:rPr>
        <w:t xml:space="preserve">, </w:t>
      </w:r>
      <w:r w:rsidR="00D72032" w:rsidRPr="0070292F">
        <w:rPr>
          <w:lang w:val="fr-FR"/>
        </w:rPr>
        <w:t xml:space="preserve">en </w:t>
      </w:r>
      <w:r w:rsidR="00B97F40" w:rsidRPr="0070292F">
        <w:rPr>
          <w:lang w:val="fr-FR"/>
        </w:rPr>
        <w:t>vigueur</w:t>
      </w:r>
      <w:r w:rsidR="00D72032" w:rsidRPr="0070292F">
        <w:rPr>
          <w:lang w:val="fr-FR"/>
        </w:rPr>
        <w:t xml:space="preserve"> à l</w:t>
      </w:r>
      <w:r w:rsidR="0070292F" w:rsidRPr="0070292F">
        <w:rPr>
          <w:lang w:val="fr-FR"/>
        </w:rPr>
        <w:t>’</w:t>
      </w:r>
      <w:r w:rsidR="00D72032" w:rsidRPr="0070292F">
        <w:rPr>
          <w:lang w:val="fr-FR"/>
        </w:rPr>
        <w:t>époque des faits,</w:t>
      </w:r>
      <w:r w:rsidR="00D72032" w:rsidRPr="0070292F">
        <w:rPr>
          <w:rStyle w:val="Rimandocommento"/>
          <w:lang w:val="fr-FR"/>
        </w:rPr>
        <w:t xml:space="preserve"> </w:t>
      </w:r>
      <w:r w:rsidR="00570F00" w:rsidRPr="0070292F">
        <w:rPr>
          <w:rStyle w:val="Rimandocommento"/>
          <w:sz w:val="24"/>
          <w:szCs w:val="24"/>
          <w:lang w:val="fr-FR"/>
        </w:rPr>
        <w:t>p</w:t>
      </w:r>
      <w:r w:rsidRPr="0070292F">
        <w:rPr>
          <w:lang w:val="fr-FR"/>
        </w:rPr>
        <w:t>révoit l</w:t>
      </w:r>
      <w:r w:rsidR="0070292F" w:rsidRPr="0070292F">
        <w:rPr>
          <w:lang w:val="fr-FR"/>
        </w:rPr>
        <w:t>’</w:t>
      </w:r>
      <w:r w:rsidRPr="0070292F">
        <w:rPr>
          <w:lang w:val="fr-FR"/>
        </w:rPr>
        <w:t xml:space="preserve">application de mesures de prévention </w:t>
      </w:r>
      <w:r w:rsidR="00E90D73" w:rsidRPr="0070292F">
        <w:rPr>
          <w:lang w:val="fr-FR"/>
        </w:rPr>
        <w:t>aux</w:t>
      </w:r>
      <w:r w:rsidRPr="0070292F">
        <w:rPr>
          <w:lang w:val="fr-FR"/>
        </w:rPr>
        <w:t xml:space="preserve"> « personnes dangereuses pour la sécurité et pour la moralité publique ».</w:t>
      </w:r>
    </w:p>
    <w:p w:rsidR="00BA1BFA" w:rsidRPr="0070292F" w:rsidRDefault="009A3573"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34</w:t>
      </w:r>
      <w:r w:rsidRPr="0070292F">
        <w:rPr>
          <w:lang w:val="fr-FR"/>
        </w:rPr>
        <w:fldChar w:fldCharType="end"/>
      </w:r>
      <w:r w:rsidRPr="0070292F">
        <w:rPr>
          <w:lang w:val="fr-FR"/>
        </w:rPr>
        <w:t>.  </w:t>
      </w:r>
      <w:r w:rsidR="00BA1BFA" w:rsidRPr="0070292F">
        <w:rPr>
          <w:lang w:val="fr-FR"/>
        </w:rPr>
        <w:t>L</w:t>
      </w:r>
      <w:r w:rsidR="0070292F" w:rsidRPr="0070292F">
        <w:rPr>
          <w:lang w:val="fr-FR"/>
        </w:rPr>
        <w:t>’</w:t>
      </w:r>
      <w:r w:rsidR="00BA1BFA" w:rsidRPr="0070292F">
        <w:rPr>
          <w:lang w:val="fr-FR"/>
        </w:rPr>
        <w:t xml:space="preserve">article 1 </w:t>
      </w:r>
      <w:r w:rsidR="00E90D73" w:rsidRPr="0070292F">
        <w:rPr>
          <w:lang w:val="fr-FR"/>
        </w:rPr>
        <w:t xml:space="preserve">dispose </w:t>
      </w:r>
      <w:r w:rsidR="00BA1BFA" w:rsidRPr="0070292F">
        <w:rPr>
          <w:lang w:val="fr-FR"/>
        </w:rPr>
        <w:t>que les mesures de prévention</w:t>
      </w:r>
      <w:r w:rsidRPr="0070292F">
        <w:rPr>
          <w:lang w:val="fr-FR"/>
        </w:rPr>
        <w:t xml:space="preserve"> s</w:t>
      </w:r>
      <w:r w:rsidR="0070292F" w:rsidRPr="0070292F">
        <w:rPr>
          <w:lang w:val="fr-FR"/>
        </w:rPr>
        <w:t>’</w:t>
      </w:r>
      <w:r w:rsidRPr="0070292F">
        <w:rPr>
          <w:lang w:val="fr-FR"/>
        </w:rPr>
        <w:t>applique</w:t>
      </w:r>
      <w:r w:rsidR="00BA1BFA" w:rsidRPr="0070292F">
        <w:rPr>
          <w:lang w:val="fr-FR"/>
        </w:rPr>
        <w:t>nt :</w:t>
      </w:r>
    </w:p>
    <w:p w:rsidR="00E474A3" w:rsidRPr="0070292F" w:rsidRDefault="0070292F" w:rsidP="0070292F">
      <w:pPr>
        <w:pStyle w:val="ECHRParaQuote"/>
        <w:rPr>
          <w:lang w:val="fr-FR"/>
        </w:rPr>
      </w:pPr>
      <w:r w:rsidRPr="0070292F">
        <w:rPr>
          <w:lang w:val="fr-FR"/>
        </w:rPr>
        <w:t>« </w:t>
      </w:r>
      <w:r w:rsidR="00E474A3" w:rsidRPr="0070292F">
        <w:rPr>
          <w:lang w:val="fr-FR"/>
        </w:rPr>
        <w:t>1) aux personnes dont on peut estimer, sur la base d</w:t>
      </w:r>
      <w:r w:rsidRPr="0070292F">
        <w:rPr>
          <w:lang w:val="fr-FR"/>
        </w:rPr>
        <w:t>’</w:t>
      </w:r>
      <w:r w:rsidR="00E474A3" w:rsidRPr="0070292F">
        <w:rPr>
          <w:lang w:val="fr-FR"/>
        </w:rPr>
        <w:t>éléments factuels, qu</w:t>
      </w:r>
      <w:r w:rsidRPr="0070292F">
        <w:rPr>
          <w:lang w:val="fr-FR"/>
        </w:rPr>
        <w:t>’</w:t>
      </w:r>
      <w:r w:rsidR="00E474A3" w:rsidRPr="0070292F">
        <w:rPr>
          <w:lang w:val="fr-FR"/>
        </w:rPr>
        <w:t xml:space="preserve">elles </w:t>
      </w:r>
      <w:r w:rsidR="00E90D73" w:rsidRPr="0070292F">
        <w:rPr>
          <w:lang w:val="fr-FR"/>
        </w:rPr>
        <w:t xml:space="preserve">se livrent </w:t>
      </w:r>
      <w:r w:rsidR="00D62842" w:rsidRPr="0070292F">
        <w:rPr>
          <w:lang w:val="fr-FR"/>
        </w:rPr>
        <w:t xml:space="preserve">habituellement </w:t>
      </w:r>
      <w:r w:rsidR="00E474A3" w:rsidRPr="0070292F">
        <w:rPr>
          <w:lang w:val="fr-FR"/>
        </w:rPr>
        <w:t xml:space="preserve">à des activités </w:t>
      </w:r>
      <w:r w:rsidR="00D62842" w:rsidRPr="0070292F">
        <w:rPr>
          <w:lang w:val="fr-FR"/>
        </w:rPr>
        <w:t>délictueuses </w:t>
      </w:r>
      <w:r w:rsidR="00E474A3" w:rsidRPr="0070292F">
        <w:rPr>
          <w:lang w:val="fr-FR"/>
        </w:rPr>
        <w:t>;</w:t>
      </w:r>
    </w:p>
    <w:p w:rsidR="0070292F" w:rsidRPr="0070292F" w:rsidRDefault="00E474A3" w:rsidP="0070292F">
      <w:pPr>
        <w:pStyle w:val="ECHRParaQuote"/>
        <w:rPr>
          <w:lang w:val="fr-FR"/>
        </w:rPr>
      </w:pPr>
      <w:r w:rsidRPr="0070292F">
        <w:rPr>
          <w:lang w:val="fr-FR"/>
        </w:rPr>
        <w:t xml:space="preserve">2) aux personnes dont on peut estimer, </w:t>
      </w:r>
      <w:r w:rsidR="00782BAE" w:rsidRPr="0070292F">
        <w:rPr>
          <w:lang w:val="fr-FR"/>
        </w:rPr>
        <w:t xml:space="preserve">compte tenu de </w:t>
      </w:r>
      <w:r w:rsidRPr="0070292F">
        <w:rPr>
          <w:lang w:val="fr-FR"/>
        </w:rPr>
        <w:t xml:space="preserve">leur conduite et </w:t>
      </w:r>
      <w:r w:rsidR="00782BAE" w:rsidRPr="0070292F">
        <w:rPr>
          <w:lang w:val="fr-FR"/>
        </w:rPr>
        <w:t xml:space="preserve">de </w:t>
      </w:r>
      <w:r w:rsidRPr="0070292F">
        <w:rPr>
          <w:lang w:val="fr-FR"/>
        </w:rPr>
        <w:t xml:space="preserve">leur train de vie, </w:t>
      </w:r>
      <w:r w:rsidR="00782BAE" w:rsidRPr="0070292F">
        <w:rPr>
          <w:lang w:val="fr-FR"/>
        </w:rPr>
        <w:t xml:space="preserve">et </w:t>
      </w:r>
      <w:r w:rsidRPr="0070292F">
        <w:rPr>
          <w:lang w:val="fr-FR"/>
        </w:rPr>
        <w:t>sur la base d</w:t>
      </w:r>
      <w:r w:rsidR="0070292F" w:rsidRPr="0070292F">
        <w:rPr>
          <w:lang w:val="fr-FR"/>
        </w:rPr>
        <w:t>’</w:t>
      </w:r>
      <w:r w:rsidRPr="0070292F">
        <w:rPr>
          <w:lang w:val="fr-FR"/>
        </w:rPr>
        <w:t>éléments factuels, qu</w:t>
      </w:r>
      <w:r w:rsidR="0070292F" w:rsidRPr="0070292F">
        <w:rPr>
          <w:lang w:val="fr-FR"/>
        </w:rPr>
        <w:t>’</w:t>
      </w:r>
      <w:r w:rsidRPr="0070292F">
        <w:rPr>
          <w:lang w:val="fr-FR"/>
        </w:rPr>
        <w:t>elles vivent</w:t>
      </w:r>
      <w:r w:rsidR="00D62842" w:rsidRPr="0070292F">
        <w:rPr>
          <w:lang w:val="fr-FR"/>
        </w:rPr>
        <w:t xml:space="preserve"> habituellement</w:t>
      </w:r>
      <w:r w:rsidRPr="0070292F">
        <w:rPr>
          <w:lang w:val="fr-FR"/>
        </w:rPr>
        <w:t xml:space="preserve">, </w:t>
      </w:r>
      <w:r w:rsidR="00E90D73" w:rsidRPr="0070292F">
        <w:rPr>
          <w:lang w:val="fr-FR"/>
        </w:rPr>
        <w:t xml:space="preserve">fût-ce </w:t>
      </w:r>
      <w:r w:rsidRPr="0070292F">
        <w:rPr>
          <w:lang w:val="fr-FR"/>
        </w:rPr>
        <w:t>en partie, de gains d</w:t>
      </w:r>
      <w:r w:rsidR="0070292F" w:rsidRPr="0070292F">
        <w:rPr>
          <w:lang w:val="fr-FR"/>
        </w:rPr>
        <w:t>’</w:t>
      </w:r>
      <w:r w:rsidRPr="0070292F">
        <w:rPr>
          <w:lang w:val="fr-FR"/>
        </w:rPr>
        <w:t>origine délictueuse ;</w:t>
      </w:r>
    </w:p>
    <w:p w:rsidR="00784AB1" w:rsidRPr="0070292F" w:rsidRDefault="00E474A3" w:rsidP="0070292F">
      <w:pPr>
        <w:pStyle w:val="ECHRParaQuote"/>
        <w:rPr>
          <w:lang w:val="fr-FR"/>
        </w:rPr>
      </w:pPr>
      <w:r w:rsidRPr="0070292F">
        <w:rPr>
          <w:lang w:val="fr-FR"/>
        </w:rPr>
        <w:t>3) aux personnes dont on peut estimer, sur la base d</w:t>
      </w:r>
      <w:r w:rsidR="0070292F" w:rsidRPr="0070292F">
        <w:rPr>
          <w:lang w:val="fr-FR"/>
        </w:rPr>
        <w:t>’</w:t>
      </w:r>
      <w:r w:rsidRPr="0070292F">
        <w:rPr>
          <w:lang w:val="fr-FR"/>
        </w:rPr>
        <w:t>éléments factuels, qu</w:t>
      </w:r>
      <w:r w:rsidR="0070292F" w:rsidRPr="0070292F">
        <w:rPr>
          <w:lang w:val="fr-FR"/>
        </w:rPr>
        <w:t>’</w:t>
      </w:r>
      <w:r w:rsidRPr="0070292F">
        <w:rPr>
          <w:lang w:val="fr-FR"/>
        </w:rPr>
        <w:t>elles commettent des infractions pénales qui offensent ou mettent en danger l</w:t>
      </w:r>
      <w:r w:rsidR="0070292F" w:rsidRPr="0070292F">
        <w:rPr>
          <w:lang w:val="fr-FR"/>
        </w:rPr>
        <w:t>’</w:t>
      </w:r>
      <w:r w:rsidRPr="0070292F">
        <w:rPr>
          <w:lang w:val="fr-FR"/>
        </w:rPr>
        <w:t>intégrité physique ou morale des mineurs, la santé, la sécurité ou la tranquillité publique.</w:t>
      </w:r>
      <w:r w:rsidR="0070292F" w:rsidRPr="0070292F">
        <w:rPr>
          <w:lang w:val="fr-FR"/>
        </w:rPr>
        <w:t> »</w:t>
      </w:r>
    </w:p>
    <w:p w:rsidR="009A3573" w:rsidRPr="0070292F" w:rsidRDefault="009A3573"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35</w:t>
      </w:r>
      <w:r w:rsidRPr="0070292F">
        <w:rPr>
          <w:lang w:val="fr-FR"/>
        </w:rPr>
        <w:fldChar w:fldCharType="end"/>
      </w:r>
      <w:r w:rsidRPr="0070292F">
        <w:rPr>
          <w:lang w:val="fr-FR"/>
        </w:rPr>
        <w:t>.  L</w:t>
      </w:r>
      <w:r w:rsidR="0070292F" w:rsidRPr="0070292F">
        <w:rPr>
          <w:lang w:val="fr-FR"/>
        </w:rPr>
        <w:t>’</w:t>
      </w:r>
      <w:r w:rsidRPr="0070292F">
        <w:rPr>
          <w:lang w:val="fr-FR"/>
        </w:rPr>
        <w:t xml:space="preserve">article 3 </w:t>
      </w:r>
      <w:r w:rsidR="00E90D73" w:rsidRPr="0070292F">
        <w:rPr>
          <w:lang w:val="fr-FR"/>
        </w:rPr>
        <w:t>énonce</w:t>
      </w:r>
      <w:r w:rsidR="006D56F5" w:rsidRPr="0070292F">
        <w:rPr>
          <w:lang w:val="fr-FR"/>
        </w:rPr>
        <w:t xml:space="preserve"> </w:t>
      </w:r>
      <w:r w:rsidR="00D62842" w:rsidRPr="0070292F">
        <w:rPr>
          <w:lang w:val="fr-FR"/>
        </w:rPr>
        <w:t xml:space="preserve">que </w:t>
      </w:r>
      <w:r w:rsidR="00175060" w:rsidRPr="0070292F">
        <w:rPr>
          <w:lang w:val="fr-FR"/>
        </w:rPr>
        <w:t xml:space="preserve">la mesure de surveillance spéciale </w:t>
      </w:r>
      <w:r w:rsidR="00D62842" w:rsidRPr="0070292F">
        <w:rPr>
          <w:lang w:val="fr-FR"/>
        </w:rPr>
        <w:t>de</w:t>
      </w:r>
      <w:r w:rsidR="00175060" w:rsidRPr="0070292F">
        <w:rPr>
          <w:lang w:val="fr-FR"/>
        </w:rPr>
        <w:t xml:space="preserve"> police, assortie au besoin soit de l</w:t>
      </w:r>
      <w:r w:rsidR="0070292F" w:rsidRPr="0070292F">
        <w:rPr>
          <w:lang w:val="fr-FR"/>
        </w:rPr>
        <w:t>’</w:t>
      </w:r>
      <w:r w:rsidR="00175060" w:rsidRPr="0070292F">
        <w:rPr>
          <w:lang w:val="fr-FR"/>
        </w:rPr>
        <w:t xml:space="preserve">interdiction de séjourner dans telle commune ou </w:t>
      </w:r>
      <w:r w:rsidR="00175060" w:rsidRPr="0070292F">
        <w:rPr>
          <w:lang w:val="fr-FR"/>
        </w:rPr>
        <w:lastRenderedPageBreak/>
        <w:t>province</w:t>
      </w:r>
      <w:r w:rsidR="00E474A3" w:rsidRPr="0070292F">
        <w:rPr>
          <w:lang w:val="fr-FR"/>
        </w:rPr>
        <w:t>,</w:t>
      </w:r>
      <w:r w:rsidR="00175060" w:rsidRPr="0070292F">
        <w:rPr>
          <w:lang w:val="fr-FR"/>
        </w:rPr>
        <w:t xml:space="preserve"> soit de l</w:t>
      </w:r>
      <w:r w:rsidR="0070292F" w:rsidRPr="0070292F">
        <w:rPr>
          <w:lang w:val="fr-FR"/>
        </w:rPr>
        <w:t>’</w:t>
      </w:r>
      <w:r w:rsidR="00175060" w:rsidRPr="0070292F">
        <w:rPr>
          <w:lang w:val="fr-FR"/>
        </w:rPr>
        <w:t>obligation de résider dans une commune déterminée (</w:t>
      </w:r>
      <w:r w:rsidR="00175060" w:rsidRPr="0070292F">
        <w:rPr>
          <w:i/>
          <w:iCs/>
          <w:lang w:val="fr-FR"/>
        </w:rPr>
        <w:t>obbligo del soggiorno in un determinato comune</w:t>
      </w:r>
      <w:r w:rsidR="00175060" w:rsidRPr="0070292F">
        <w:rPr>
          <w:lang w:val="fr-FR"/>
        </w:rPr>
        <w:t>)</w:t>
      </w:r>
      <w:r w:rsidR="00D62842" w:rsidRPr="0070292F">
        <w:rPr>
          <w:lang w:val="fr-FR"/>
        </w:rPr>
        <w:t>,</w:t>
      </w:r>
      <w:r w:rsidR="00175060" w:rsidRPr="0070292F">
        <w:rPr>
          <w:lang w:val="fr-FR"/>
        </w:rPr>
        <w:t xml:space="preserve"> peut être appliquée aux personnes </w:t>
      </w:r>
      <w:r w:rsidR="00D62842" w:rsidRPr="0070292F">
        <w:rPr>
          <w:lang w:val="fr-FR"/>
        </w:rPr>
        <w:t>visées à</w:t>
      </w:r>
      <w:r w:rsidR="00175060" w:rsidRPr="0070292F">
        <w:rPr>
          <w:lang w:val="fr-FR"/>
        </w:rPr>
        <w:t xml:space="preserve"> l</w:t>
      </w:r>
      <w:r w:rsidR="0070292F" w:rsidRPr="0070292F">
        <w:rPr>
          <w:lang w:val="fr-FR"/>
        </w:rPr>
        <w:t>’</w:t>
      </w:r>
      <w:r w:rsidR="00175060" w:rsidRPr="0070292F">
        <w:rPr>
          <w:lang w:val="fr-FR"/>
        </w:rPr>
        <w:t>article 1 qui n</w:t>
      </w:r>
      <w:r w:rsidR="0070292F" w:rsidRPr="0070292F">
        <w:rPr>
          <w:lang w:val="fr-FR"/>
        </w:rPr>
        <w:t>’</w:t>
      </w:r>
      <w:r w:rsidR="00175060" w:rsidRPr="0070292F">
        <w:rPr>
          <w:lang w:val="fr-FR"/>
        </w:rPr>
        <w:t>ont pas respecté l</w:t>
      </w:r>
      <w:r w:rsidR="0070292F" w:rsidRPr="0070292F">
        <w:rPr>
          <w:lang w:val="fr-FR"/>
        </w:rPr>
        <w:t>’</w:t>
      </w:r>
      <w:r w:rsidR="00175060" w:rsidRPr="0070292F">
        <w:rPr>
          <w:lang w:val="fr-FR"/>
        </w:rPr>
        <w:t>avertissement officiel de la police prévu à l</w:t>
      </w:r>
      <w:r w:rsidR="0070292F" w:rsidRPr="0070292F">
        <w:rPr>
          <w:lang w:val="fr-FR"/>
        </w:rPr>
        <w:t>’</w:t>
      </w:r>
      <w:r w:rsidR="00175060" w:rsidRPr="0070292F">
        <w:rPr>
          <w:lang w:val="fr-FR"/>
        </w:rPr>
        <w:t xml:space="preserve">article 4 et qui </w:t>
      </w:r>
      <w:r w:rsidR="00D62842" w:rsidRPr="0070292F">
        <w:rPr>
          <w:lang w:val="fr-FR"/>
        </w:rPr>
        <w:t>présentent un danger</w:t>
      </w:r>
      <w:r w:rsidR="00175060" w:rsidRPr="0070292F">
        <w:rPr>
          <w:lang w:val="fr-FR"/>
        </w:rPr>
        <w:t xml:space="preserve"> pour la sécuri</w:t>
      </w:r>
      <w:r w:rsidR="00E474A3" w:rsidRPr="0070292F">
        <w:rPr>
          <w:lang w:val="fr-FR"/>
        </w:rPr>
        <w:t>té publique.</w:t>
      </w:r>
    </w:p>
    <w:p w:rsidR="009A3573" w:rsidRPr="0070292F" w:rsidRDefault="009A3573"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36</w:t>
      </w:r>
      <w:r w:rsidRPr="0070292F">
        <w:rPr>
          <w:lang w:val="fr-FR"/>
        </w:rPr>
        <w:fldChar w:fldCharType="end"/>
      </w:r>
      <w:r w:rsidRPr="0070292F">
        <w:rPr>
          <w:lang w:val="fr-FR"/>
        </w:rPr>
        <w:t>.  L</w:t>
      </w:r>
      <w:r w:rsidR="0070292F" w:rsidRPr="0070292F">
        <w:rPr>
          <w:lang w:val="fr-FR"/>
        </w:rPr>
        <w:t>’</w:t>
      </w:r>
      <w:r w:rsidRPr="0070292F">
        <w:rPr>
          <w:lang w:val="fr-FR"/>
        </w:rPr>
        <w:t xml:space="preserve">application de la mesure de surveillance </w:t>
      </w:r>
      <w:r w:rsidR="00E90D73" w:rsidRPr="0070292F">
        <w:rPr>
          <w:lang w:val="fr-FR"/>
        </w:rPr>
        <w:t>de</w:t>
      </w:r>
      <w:r w:rsidR="008038C6" w:rsidRPr="0070292F">
        <w:rPr>
          <w:lang w:val="fr-FR"/>
        </w:rPr>
        <w:t xml:space="preserve"> </w:t>
      </w:r>
      <w:r w:rsidRPr="0070292F">
        <w:rPr>
          <w:lang w:val="fr-FR"/>
        </w:rPr>
        <w:t xml:space="preserve">police est précédée </w:t>
      </w:r>
      <w:r w:rsidR="00E90D73" w:rsidRPr="0070292F">
        <w:rPr>
          <w:lang w:val="fr-FR"/>
        </w:rPr>
        <w:t>d</w:t>
      </w:r>
      <w:r w:rsidR="0070292F" w:rsidRPr="0070292F">
        <w:rPr>
          <w:lang w:val="fr-FR"/>
        </w:rPr>
        <w:t>’</w:t>
      </w:r>
      <w:r w:rsidRPr="0070292F">
        <w:rPr>
          <w:lang w:val="fr-FR"/>
        </w:rPr>
        <w:t>un avertissement officiel par lequel la police invite l</w:t>
      </w:r>
      <w:r w:rsidR="0070292F" w:rsidRPr="0070292F">
        <w:rPr>
          <w:lang w:val="fr-FR"/>
        </w:rPr>
        <w:t>’</w:t>
      </w:r>
      <w:r w:rsidRPr="0070292F">
        <w:rPr>
          <w:lang w:val="fr-FR"/>
        </w:rPr>
        <w:t xml:space="preserve">intéressé à </w:t>
      </w:r>
      <w:r w:rsidR="00E90D73" w:rsidRPr="0070292F">
        <w:rPr>
          <w:lang w:val="fr-FR"/>
        </w:rPr>
        <w:t xml:space="preserve">garder </w:t>
      </w:r>
      <w:r w:rsidRPr="0070292F">
        <w:rPr>
          <w:lang w:val="fr-FR"/>
        </w:rPr>
        <w:t>une conduite conforme à la loi. Si</w:t>
      </w:r>
      <w:r w:rsidR="00E90D73" w:rsidRPr="0070292F">
        <w:rPr>
          <w:lang w:val="fr-FR"/>
        </w:rPr>
        <w:t>,</w:t>
      </w:r>
      <w:r w:rsidRPr="0070292F">
        <w:rPr>
          <w:lang w:val="fr-FR"/>
        </w:rPr>
        <w:t xml:space="preserve"> malgré l</w:t>
      </w:r>
      <w:r w:rsidR="0070292F" w:rsidRPr="0070292F">
        <w:rPr>
          <w:lang w:val="fr-FR"/>
        </w:rPr>
        <w:t>’</w:t>
      </w:r>
      <w:r w:rsidRPr="0070292F">
        <w:rPr>
          <w:lang w:val="fr-FR"/>
        </w:rPr>
        <w:t>avertissement</w:t>
      </w:r>
      <w:r w:rsidR="00E90D73" w:rsidRPr="0070292F">
        <w:rPr>
          <w:lang w:val="fr-FR"/>
        </w:rPr>
        <w:t>,</w:t>
      </w:r>
      <w:r w:rsidRPr="0070292F">
        <w:rPr>
          <w:lang w:val="fr-FR"/>
        </w:rPr>
        <w:t xml:space="preserve"> l</w:t>
      </w:r>
      <w:r w:rsidR="0070292F" w:rsidRPr="0070292F">
        <w:rPr>
          <w:lang w:val="fr-FR"/>
        </w:rPr>
        <w:t>’</w:t>
      </w:r>
      <w:r w:rsidRPr="0070292F">
        <w:rPr>
          <w:lang w:val="fr-FR"/>
        </w:rPr>
        <w:t>intéressé n</w:t>
      </w:r>
      <w:r w:rsidR="0070292F" w:rsidRPr="0070292F">
        <w:rPr>
          <w:lang w:val="fr-FR"/>
        </w:rPr>
        <w:t>’</w:t>
      </w:r>
      <w:r w:rsidRPr="0070292F">
        <w:rPr>
          <w:lang w:val="fr-FR"/>
        </w:rPr>
        <w:t xml:space="preserve">a pas modifié sa conduite et </w:t>
      </w:r>
      <w:r w:rsidR="00E90D73" w:rsidRPr="0070292F">
        <w:rPr>
          <w:lang w:val="fr-FR"/>
        </w:rPr>
        <w:t>présente un danger</w:t>
      </w:r>
      <w:r w:rsidRPr="0070292F">
        <w:rPr>
          <w:lang w:val="fr-FR"/>
        </w:rPr>
        <w:t xml:space="preserve"> pour </w:t>
      </w:r>
      <w:r w:rsidR="00D72032" w:rsidRPr="0070292F">
        <w:rPr>
          <w:lang w:val="fr-FR"/>
        </w:rPr>
        <w:t>la sécurité</w:t>
      </w:r>
      <w:r w:rsidRPr="0070292F">
        <w:rPr>
          <w:lang w:val="fr-FR"/>
        </w:rPr>
        <w:t xml:space="preserve"> publique, la police peut proposer à l</w:t>
      </w:r>
      <w:r w:rsidR="0070292F" w:rsidRPr="0070292F">
        <w:rPr>
          <w:lang w:val="fr-FR"/>
        </w:rPr>
        <w:t>’</w:t>
      </w:r>
      <w:r w:rsidRPr="0070292F">
        <w:rPr>
          <w:lang w:val="fr-FR"/>
        </w:rPr>
        <w:t>autorité judiciaire d</w:t>
      </w:r>
      <w:r w:rsidR="0070292F" w:rsidRPr="0070292F">
        <w:rPr>
          <w:lang w:val="fr-FR"/>
        </w:rPr>
        <w:t>’</w:t>
      </w:r>
      <w:r w:rsidRPr="0070292F">
        <w:rPr>
          <w:lang w:val="fr-FR"/>
        </w:rPr>
        <w:t>appliquer la mesure en question</w:t>
      </w:r>
      <w:r w:rsidR="008038C6" w:rsidRPr="0070292F">
        <w:rPr>
          <w:lang w:val="fr-FR"/>
        </w:rPr>
        <w:t>.</w:t>
      </w:r>
    </w:p>
    <w:p w:rsidR="0070292F" w:rsidRPr="0070292F" w:rsidRDefault="009A3573"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37</w:t>
      </w:r>
      <w:r w:rsidRPr="0070292F">
        <w:rPr>
          <w:lang w:val="fr-FR"/>
        </w:rPr>
        <w:fldChar w:fldCharType="end"/>
      </w:r>
      <w:r w:rsidRPr="0070292F">
        <w:rPr>
          <w:lang w:val="fr-FR"/>
        </w:rPr>
        <w:t>.  </w:t>
      </w:r>
      <w:r w:rsidR="00E90D73" w:rsidRPr="0070292F">
        <w:rPr>
          <w:lang w:val="fr-FR"/>
        </w:rPr>
        <w:t>Selon</w:t>
      </w:r>
      <w:r w:rsidRPr="0070292F">
        <w:rPr>
          <w:lang w:val="fr-FR"/>
        </w:rPr>
        <w:t xml:space="preserve"> l</w:t>
      </w:r>
      <w:r w:rsidR="0070292F" w:rsidRPr="0070292F">
        <w:rPr>
          <w:lang w:val="fr-FR"/>
        </w:rPr>
        <w:t>’</w:t>
      </w:r>
      <w:r w:rsidRPr="0070292F">
        <w:rPr>
          <w:lang w:val="fr-FR"/>
        </w:rPr>
        <w:t xml:space="preserve">article 4 de la loi, </w:t>
      </w:r>
      <w:r w:rsidR="00E474A3" w:rsidRPr="0070292F">
        <w:rPr>
          <w:lang w:val="fr-FR"/>
        </w:rPr>
        <w:t>l</w:t>
      </w:r>
      <w:r w:rsidR="00175060" w:rsidRPr="0070292F">
        <w:rPr>
          <w:lang w:val="fr-FR"/>
        </w:rPr>
        <w:t xml:space="preserve">e tribunal statue dans les trente jours, en chambre du conseil et par une décision motivée, après avoir entendu le </w:t>
      </w:r>
      <w:r w:rsidR="00E90D73" w:rsidRPr="0070292F">
        <w:rPr>
          <w:lang w:val="fr-FR"/>
        </w:rPr>
        <w:t>parquet</w:t>
      </w:r>
      <w:r w:rsidR="00175060" w:rsidRPr="0070292F">
        <w:rPr>
          <w:lang w:val="fr-FR"/>
        </w:rPr>
        <w:t xml:space="preserve"> et l</w:t>
      </w:r>
      <w:r w:rsidR="0070292F" w:rsidRPr="0070292F">
        <w:rPr>
          <w:lang w:val="fr-FR"/>
        </w:rPr>
        <w:t>’</w:t>
      </w:r>
      <w:r w:rsidR="00175060" w:rsidRPr="0070292F">
        <w:rPr>
          <w:lang w:val="fr-FR"/>
        </w:rPr>
        <w:t>intéressé</w:t>
      </w:r>
      <w:r w:rsidR="00E90D73" w:rsidRPr="0070292F">
        <w:rPr>
          <w:lang w:val="fr-FR"/>
        </w:rPr>
        <w:t xml:space="preserve">, ce dernier pouvant </w:t>
      </w:r>
      <w:r w:rsidR="00175060" w:rsidRPr="0070292F">
        <w:rPr>
          <w:lang w:val="fr-FR"/>
        </w:rPr>
        <w:t xml:space="preserve">présenter </w:t>
      </w:r>
      <w:r w:rsidR="00E90D73" w:rsidRPr="0070292F">
        <w:rPr>
          <w:lang w:val="fr-FR"/>
        </w:rPr>
        <w:t xml:space="preserve">un </w:t>
      </w:r>
      <w:r w:rsidR="00175060" w:rsidRPr="0070292F">
        <w:rPr>
          <w:lang w:val="fr-FR"/>
        </w:rPr>
        <w:t>mémoire et s</w:t>
      </w:r>
      <w:r w:rsidR="00E474A3" w:rsidRPr="0070292F">
        <w:rPr>
          <w:lang w:val="fr-FR"/>
        </w:rPr>
        <w:t xml:space="preserve">e faire assister par un conseil. </w:t>
      </w:r>
      <w:r w:rsidRPr="0070292F">
        <w:rPr>
          <w:lang w:val="fr-FR"/>
        </w:rPr>
        <w:t>Ces mesures de prévention relèvent de la compétence exclusive du tribunal du chef-lieu de province.</w:t>
      </w:r>
    </w:p>
    <w:p w:rsidR="009A3573" w:rsidRPr="0070292F" w:rsidRDefault="009A3573"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38</w:t>
      </w:r>
      <w:r w:rsidRPr="0070292F">
        <w:rPr>
          <w:lang w:val="fr-FR"/>
        </w:rPr>
        <w:fldChar w:fldCharType="end"/>
      </w:r>
      <w:r w:rsidRPr="0070292F">
        <w:rPr>
          <w:lang w:val="fr-FR"/>
        </w:rPr>
        <w:t>.  Le parquet et l</w:t>
      </w:r>
      <w:r w:rsidR="0070292F" w:rsidRPr="0070292F">
        <w:rPr>
          <w:lang w:val="fr-FR"/>
        </w:rPr>
        <w:t>’</w:t>
      </w:r>
      <w:r w:rsidRPr="0070292F">
        <w:rPr>
          <w:lang w:val="fr-FR"/>
        </w:rPr>
        <w:t>intéressé peuvent inte</w:t>
      </w:r>
      <w:r w:rsidR="006603B9" w:rsidRPr="0070292F">
        <w:rPr>
          <w:lang w:val="fr-FR"/>
        </w:rPr>
        <w:t>rjeter appel dans les dix jours</w:t>
      </w:r>
      <w:r w:rsidR="00E90D73" w:rsidRPr="0070292F">
        <w:rPr>
          <w:lang w:val="fr-FR"/>
        </w:rPr>
        <w:t> </w:t>
      </w:r>
      <w:r w:rsidR="006603B9" w:rsidRPr="0070292F">
        <w:rPr>
          <w:lang w:val="fr-FR"/>
        </w:rPr>
        <w:t>;</w:t>
      </w:r>
      <w:r w:rsidR="001C7648" w:rsidRPr="0070292F">
        <w:rPr>
          <w:lang w:val="fr-FR"/>
        </w:rPr>
        <w:t xml:space="preserve"> </w:t>
      </w:r>
      <w:r w:rsidR="006603B9" w:rsidRPr="0070292F">
        <w:rPr>
          <w:lang w:val="fr-FR"/>
        </w:rPr>
        <w:t>l</w:t>
      </w:r>
      <w:r w:rsidR="0070292F" w:rsidRPr="0070292F">
        <w:rPr>
          <w:lang w:val="fr-FR"/>
        </w:rPr>
        <w:t>’</w:t>
      </w:r>
      <w:r w:rsidR="006603B9" w:rsidRPr="0070292F">
        <w:rPr>
          <w:lang w:val="fr-FR"/>
        </w:rPr>
        <w:t>appel n</w:t>
      </w:r>
      <w:r w:rsidR="0070292F" w:rsidRPr="0070292F">
        <w:rPr>
          <w:lang w:val="fr-FR"/>
        </w:rPr>
        <w:t>’</w:t>
      </w:r>
      <w:r w:rsidR="006603B9" w:rsidRPr="0070292F">
        <w:rPr>
          <w:lang w:val="fr-FR"/>
        </w:rPr>
        <w:t>a pas d</w:t>
      </w:r>
      <w:r w:rsidR="0070292F" w:rsidRPr="0070292F">
        <w:rPr>
          <w:lang w:val="fr-FR"/>
        </w:rPr>
        <w:t>’</w:t>
      </w:r>
      <w:r w:rsidR="006603B9" w:rsidRPr="0070292F">
        <w:rPr>
          <w:lang w:val="fr-FR"/>
        </w:rPr>
        <w:t>effet suspensif. S</w:t>
      </w:r>
      <w:r w:rsidRPr="0070292F">
        <w:rPr>
          <w:lang w:val="fr-FR"/>
        </w:rPr>
        <w:t>iégeant en chambre du conseil, la cour d</w:t>
      </w:r>
      <w:r w:rsidR="0070292F" w:rsidRPr="0070292F">
        <w:rPr>
          <w:lang w:val="fr-FR"/>
        </w:rPr>
        <w:t>’</w:t>
      </w:r>
      <w:r w:rsidRPr="0070292F">
        <w:rPr>
          <w:lang w:val="fr-FR"/>
        </w:rPr>
        <w:t>appel tranche dans les trente jours par une décision motivée (article 4, cinquième et sixième alinéas).</w:t>
      </w:r>
      <w:r w:rsidR="00E474A3" w:rsidRPr="0070292F">
        <w:rPr>
          <w:lang w:val="fr-FR"/>
        </w:rPr>
        <w:t xml:space="preserve"> </w:t>
      </w:r>
      <w:r w:rsidRPr="0070292F">
        <w:rPr>
          <w:lang w:val="fr-FR"/>
        </w:rPr>
        <w:t xml:space="preserve">Celle-ci </w:t>
      </w:r>
      <w:r w:rsidR="00E90D73" w:rsidRPr="0070292F">
        <w:rPr>
          <w:lang w:val="fr-FR"/>
        </w:rPr>
        <w:t xml:space="preserve">peut </w:t>
      </w:r>
      <w:r w:rsidRPr="0070292F">
        <w:rPr>
          <w:lang w:val="fr-FR"/>
        </w:rPr>
        <w:t>à son tour</w:t>
      </w:r>
      <w:r w:rsidR="00E90D73" w:rsidRPr="0070292F">
        <w:rPr>
          <w:lang w:val="fr-FR"/>
        </w:rPr>
        <w:t xml:space="preserve"> et</w:t>
      </w:r>
      <w:r w:rsidRPr="0070292F">
        <w:rPr>
          <w:lang w:val="fr-FR"/>
        </w:rPr>
        <w:t xml:space="preserve"> dans les mêmes conditions</w:t>
      </w:r>
      <w:r w:rsidR="00E90D73" w:rsidRPr="0070292F">
        <w:rPr>
          <w:lang w:val="fr-FR"/>
        </w:rPr>
        <w:t xml:space="preserve"> faire l</w:t>
      </w:r>
      <w:r w:rsidR="0070292F" w:rsidRPr="0070292F">
        <w:rPr>
          <w:lang w:val="fr-FR"/>
        </w:rPr>
        <w:t>’</w:t>
      </w:r>
      <w:r w:rsidR="00E90D73" w:rsidRPr="0070292F">
        <w:rPr>
          <w:lang w:val="fr-FR"/>
        </w:rPr>
        <w:t xml:space="preserve">objet </w:t>
      </w:r>
      <w:r w:rsidRPr="0070292F">
        <w:rPr>
          <w:lang w:val="fr-FR"/>
        </w:rPr>
        <w:t>d</w:t>
      </w:r>
      <w:r w:rsidR="0070292F" w:rsidRPr="0070292F">
        <w:rPr>
          <w:lang w:val="fr-FR"/>
        </w:rPr>
        <w:t>’</w:t>
      </w:r>
      <w:r w:rsidRPr="0070292F">
        <w:rPr>
          <w:lang w:val="fr-FR"/>
        </w:rPr>
        <w:t>un pourvoi</w:t>
      </w:r>
      <w:r w:rsidR="00E90D73" w:rsidRPr="0070292F">
        <w:rPr>
          <w:lang w:val="fr-FR"/>
        </w:rPr>
        <w:t>,</w:t>
      </w:r>
      <w:r w:rsidRPr="0070292F">
        <w:rPr>
          <w:lang w:val="fr-FR"/>
        </w:rPr>
        <w:t xml:space="preserve"> sur lequel la Cour de cassation se prononce en chambre du conseil dans les trente jours (article 4, septième alinéa).</w:t>
      </w:r>
    </w:p>
    <w:p w:rsidR="0070292F" w:rsidRPr="0070292F" w:rsidRDefault="009A3573"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39</w:t>
      </w:r>
      <w:r w:rsidRPr="0070292F">
        <w:rPr>
          <w:lang w:val="fr-FR"/>
        </w:rPr>
        <w:fldChar w:fldCharType="end"/>
      </w:r>
      <w:r w:rsidRPr="0070292F">
        <w:rPr>
          <w:lang w:val="fr-FR"/>
        </w:rPr>
        <w:t>.  Lorsqu</w:t>
      </w:r>
      <w:r w:rsidR="0070292F" w:rsidRPr="0070292F">
        <w:rPr>
          <w:lang w:val="fr-FR"/>
        </w:rPr>
        <w:t>’</w:t>
      </w:r>
      <w:r w:rsidRPr="0070292F">
        <w:rPr>
          <w:lang w:val="fr-FR"/>
        </w:rPr>
        <w:t>il adopte l</w:t>
      </w:r>
      <w:r w:rsidR="0070292F" w:rsidRPr="0070292F">
        <w:rPr>
          <w:lang w:val="fr-FR"/>
        </w:rPr>
        <w:t>’</w:t>
      </w:r>
      <w:r w:rsidRPr="0070292F">
        <w:rPr>
          <w:lang w:val="fr-FR"/>
        </w:rPr>
        <w:t xml:space="preserve">une des mesures </w:t>
      </w:r>
      <w:r w:rsidR="00E90D73" w:rsidRPr="0070292F">
        <w:rPr>
          <w:lang w:val="fr-FR"/>
        </w:rPr>
        <w:t xml:space="preserve">visées </w:t>
      </w:r>
      <w:r w:rsidRPr="0070292F">
        <w:rPr>
          <w:lang w:val="fr-FR"/>
        </w:rPr>
        <w:t>à l</w:t>
      </w:r>
      <w:r w:rsidR="0070292F" w:rsidRPr="0070292F">
        <w:rPr>
          <w:lang w:val="fr-FR"/>
        </w:rPr>
        <w:t>’</w:t>
      </w:r>
      <w:r w:rsidRPr="0070292F">
        <w:rPr>
          <w:lang w:val="fr-FR"/>
        </w:rPr>
        <w:t xml:space="preserve">article 3, le tribunal en précise la durée </w:t>
      </w:r>
      <w:r w:rsidR="0070292F" w:rsidRPr="0070292F">
        <w:rPr>
          <w:lang w:val="fr-FR"/>
        </w:rPr>
        <w:t xml:space="preserve">– </w:t>
      </w:r>
      <w:r w:rsidR="00E90D73" w:rsidRPr="0070292F">
        <w:rPr>
          <w:lang w:val="fr-FR"/>
        </w:rPr>
        <w:t xml:space="preserve">comprise entre </w:t>
      </w:r>
      <w:r w:rsidRPr="0070292F">
        <w:rPr>
          <w:lang w:val="fr-FR"/>
        </w:rPr>
        <w:t xml:space="preserve">un an </w:t>
      </w:r>
      <w:r w:rsidR="00E90D73" w:rsidRPr="0070292F">
        <w:rPr>
          <w:lang w:val="fr-FR"/>
        </w:rPr>
        <w:t>et</w:t>
      </w:r>
      <w:r w:rsidRPr="0070292F">
        <w:rPr>
          <w:lang w:val="fr-FR"/>
        </w:rPr>
        <w:t xml:space="preserve"> cinq </w:t>
      </w:r>
      <w:r w:rsidR="00E90D73" w:rsidRPr="0070292F">
        <w:rPr>
          <w:lang w:val="fr-FR"/>
        </w:rPr>
        <w:t>ans selon l</w:t>
      </w:r>
      <w:r w:rsidR="0070292F" w:rsidRPr="0070292F">
        <w:rPr>
          <w:lang w:val="fr-FR"/>
        </w:rPr>
        <w:t>’</w:t>
      </w:r>
      <w:r w:rsidRPr="0070292F">
        <w:rPr>
          <w:lang w:val="fr-FR"/>
        </w:rPr>
        <w:t>article 4, quatrième alinéa</w:t>
      </w:r>
      <w:r w:rsidR="0070292F" w:rsidRPr="0070292F">
        <w:rPr>
          <w:lang w:val="fr-FR"/>
        </w:rPr>
        <w:t xml:space="preserve"> </w:t>
      </w:r>
      <w:r w:rsidR="00E90D73" w:rsidRPr="0070292F">
        <w:rPr>
          <w:lang w:val="fr-FR"/>
        </w:rPr>
        <w:t>–</w:t>
      </w:r>
      <w:r w:rsidRPr="0070292F">
        <w:rPr>
          <w:lang w:val="fr-FR"/>
        </w:rPr>
        <w:t xml:space="preserve"> et fixe les règles </w:t>
      </w:r>
      <w:r w:rsidR="00E90D73" w:rsidRPr="0070292F">
        <w:rPr>
          <w:lang w:val="fr-FR"/>
        </w:rPr>
        <w:t>que</w:t>
      </w:r>
      <w:r w:rsidRPr="0070292F">
        <w:rPr>
          <w:lang w:val="fr-FR"/>
        </w:rPr>
        <w:t xml:space="preserve"> la personne </w:t>
      </w:r>
      <w:r w:rsidR="00E90D73" w:rsidRPr="0070292F">
        <w:rPr>
          <w:lang w:val="fr-FR"/>
        </w:rPr>
        <w:t>concernée devra observer</w:t>
      </w:r>
      <w:r w:rsidRPr="0070292F">
        <w:rPr>
          <w:lang w:val="fr-FR"/>
        </w:rPr>
        <w:t xml:space="preserve"> (article 5, premier alinéa).</w:t>
      </w:r>
    </w:p>
    <w:p w:rsidR="00F942F2" w:rsidRPr="0070292F" w:rsidRDefault="003A5214"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40</w:t>
      </w:r>
      <w:r w:rsidRPr="0070292F">
        <w:rPr>
          <w:lang w:val="fr-FR"/>
        </w:rPr>
        <w:fldChar w:fldCharType="end"/>
      </w:r>
      <w:r w:rsidRPr="0070292F">
        <w:rPr>
          <w:lang w:val="fr-FR"/>
        </w:rPr>
        <w:t>.  </w:t>
      </w:r>
      <w:r w:rsidR="00175060" w:rsidRPr="0070292F">
        <w:rPr>
          <w:lang w:val="fr-FR"/>
        </w:rPr>
        <w:t>L</w:t>
      </w:r>
      <w:r w:rsidR="0070292F" w:rsidRPr="0070292F">
        <w:rPr>
          <w:lang w:val="fr-FR"/>
        </w:rPr>
        <w:t>’</w:t>
      </w:r>
      <w:r w:rsidR="00175060" w:rsidRPr="0070292F">
        <w:rPr>
          <w:lang w:val="fr-FR"/>
        </w:rPr>
        <w:t xml:space="preserve">article 5 </w:t>
      </w:r>
      <w:r w:rsidR="00E90D73" w:rsidRPr="0070292F">
        <w:rPr>
          <w:lang w:val="fr-FR"/>
        </w:rPr>
        <w:t>dispose</w:t>
      </w:r>
      <w:r w:rsidR="00175060" w:rsidRPr="0070292F">
        <w:rPr>
          <w:lang w:val="fr-FR"/>
        </w:rPr>
        <w:t> </w:t>
      </w:r>
      <w:r w:rsidR="00F00ABD" w:rsidRPr="0070292F">
        <w:rPr>
          <w:lang w:val="fr-FR"/>
        </w:rPr>
        <w:t xml:space="preserve">que, </w:t>
      </w:r>
      <w:r w:rsidR="00E474A3" w:rsidRPr="0070292F">
        <w:rPr>
          <w:lang w:val="fr-FR"/>
        </w:rPr>
        <w:t>lorsqu</w:t>
      </w:r>
      <w:r w:rsidR="0070292F" w:rsidRPr="0070292F">
        <w:rPr>
          <w:lang w:val="fr-FR"/>
        </w:rPr>
        <w:t>’</w:t>
      </w:r>
      <w:r w:rsidR="00F942F2" w:rsidRPr="0070292F">
        <w:rPr>
          <w:lang w:val="fr-FR"/>
        </w:rPr>
        <w:t xml:space="preserve">il applique la mesure de surveillance spéciale, le tribunal </w:t>
      </w:r>
      <w:r w:rsidR="00F00ABD" w:rsidRPr="0070292F">
        <w:rPr>
          <w:lang w:val="fr-FR"/>
        </w:rPr>
        <w:t xml:space="preserve">intime </w:t>
      </w:r>
      <w:r w:rsidR="00F942F2" w:rsidRPr="0070292F">
        <w:rPr>
          <w:lang w:val="fr-FR"/>
        </w:rPr>
        <w:t xml:space="preserve">à la personne soupçonnée de </w:t>
      </w:r>
      <w:r w:rsidR="00845A17" w:rsidRPr="0070292F">
        <w:rPr>
          <w:lang w:val="fr-FR"/>
        </w:rPr>
        <w:t>tirer</w:t>
      </w:r>
      <w:r w:rsidR="00F942F2" w:rsidRPr="0070292F">
        <w:rPr>
          <w:lang w:val="fr-FR"/>
        </w:rPr>
        <w:t xml:space="preserve"> ses moyens de subsistance </w:t>
      </w:r>
      <w:r w:rsidR="006603B9" w:rsidRPr="0070292F">
        <w:rPr>
          <w:lang w:val="fr-FR"/>
        </w:rPr>
        <w:t>d</w:t>
      </w:r>
      <w:r w:rsidR="0070292F" w:rsidRPr="0070292F">
        <w:rPr>
          <w:lang w:val="fr-FR"/>
        </w:rPr>
        <w:t>’</w:t>
      </w:r>
      <w:r w:rsidR="006603B9" w:rsidRPr="0070292F">
        <w:rPr>
          <w:lang w:val="fr-FR"/>
        </w:rPr>
        <w:t>une</w:t>
      </w:r>
      <w:r w:rsidR="00F942F2" w:rsidRPr="0070292F">
        <w:rPr>
          <w:lang w:val="fr-FR"/>
        </w:rPr>
        <w:t xml:space="preserve"> activité </w:t>
      </w:r>
      <w:r w:rsidR="00F00ABD" w:rsidRPr="0070292F">
        <w:rPr>
          <w:lang w:val="fr-FR"/>
        </w:rPr>
        <w:t>délictueuse</w:t>
      </w:r>
      <w:r w:rsidR="00F942F2" w:rsidRPr="0070292F">
        <w:rPr>
          <w:lang w:val="fr-FR"/>
        </w:rPr>
        <w:t xml:space="preserve"> </w:t>
      </w:r>
      <w:r w:rsidR="00F00ABD" w:rsidRPr="0070292F">
        <w:rPr>
          <w:lang w:val="fr-FR"/>
        </w:rPr>
        <w:t>l</w:t>
      </w:r>
      <w:r w:rsidR="0070292F" w:rsidRPr="0070292F">
        <w:rPr>
          <w:lang w:val="fr-FR"/>
        </w:rPr>
        <w:t>’</w:t>
      </w:r>
      <w:r w:rsidR="00F00ABD" w:rsidRPr="0070292F">
        <w:rPr>
          <w:lang w:val="fr-FR"/>
        </w:rPr>
        <w:t xml:space="preserve">ordre </w:t>
      </w:r>
      <w:r w:rsidR="00F942F2" w:rsidRPr="0070292F">
        <w:rPr>
          <w:lang w:val="fr-FR"/>
        </w:rPr>
        <w:t>de trouver un travail dans un bref délai ainsi qu</w:t>
      </w:r>
      <w:r w:rsidR="0070292F" w:rsidRPr="0070292F">
        <w:rPr>
          <w:lang w:val="fr-FR"/>
        </w:rPr>
        <w:t>’</w:t>
      </w:r>
      <w:r w:rsidR="00F942F2" w:rsidRPr="0070292F">
        <w:rPr>
          <w:lang w:val="fr-FR"/>
        </w:rPr>
        <w:t>un logement</w:t>
      </w:r>
      <w:r w:rsidR="00F00ABD" w:rsidRPr="0070292F">
        <w:rPr>
          <w:lang w:val="fr-FR"/>
        </w:rPr>
        <w:t>,</w:t>
      </w:r>
      <w:r w:rsidR="00F942F2" w:rsidRPr="0070292F">
        <w:rPr>
          <w:lang w:val="fr-FR"/>
        </w:rPr>
        <w:t xml:space="preserve"> et d</w:t>
      </w:r>
      <w:r w:rsidR="0070292F" w:rsidRPr="0070292F">
        <w:rPr>
          <w:lang w:val="fr-FR"/>
        </w:rPr>
        <w:t>’</w:t>
      </w:r>
      <w:r w:rsidR="00F00ABD" w:rsidRPr="0070292F">
        <w:rPr>
          <w:lang w:val="fr-FR"/>
        </w:rPr>
        <w:t>informer les</w:t>
      </w:r>
      <w:r w:rsidR="00F942F2" w:rsidRPr="0070292F">
        <w:rPr>
          <w:lang w:val="fr-FR"/>
        </w:rPr>
        <w:t xml:space="preserve"> autorités</w:t>
      </w:r>
      <w:r w:rsidR="00B052B2" w:rsidRPr="0070292F">
        <w:rPr>
          <w:lang w:val="fr-FR"/>
        </w:rPr>
        <w:t xml:space="preserve"> à ce sujet</w:t>
      </w:r>
      <w:r w:rsidR="00F942F2" w:rsidRPr="0070292F">
        <w:rPr>
          <w:lang w:val="fr-FR"/>
        </w:rPr>
        <w:t xml:space="preserve">. </w:t>
      </w:r>
      <w:r w:rsidR="00F00ABD" w:rsidRPr="0070292F">
        <w:rPr>
          <w:lang w:val="fr-FR"/>
        </w:rPr>
        <w:t>L</w:t>
      </w:r>
      <w:r w:rsidR="0070292F" w:rsidRPr="0070292F">
        <w:rPr>
          <w:lang w:val="fr-FR"/>
        </w:rPr>
        <w:t>’</w:t>
      </w:r>
      <w:r w:rsidR="00F00ABD" w:rsidRPr="0070292F">
        <w:rPr>
          <w:lang w:val="fr-FR"/>
        </w:rPr>
        <w:t xml:space="preserve">intéressé </w:t>
      </w:r>
      <w:r w:rsidR="00F942F2" w:rsidRPr="0070292F">
        <w:rPr>
          <w:lang w:val="fr-FR"/>
        </w:rPr>
        <w:t>ne devra pas s</w:t>
      </w:r>
      <w:r w:rsidR="0070292F" w:rsidRPr="0070292F">
        <w:rPr>
          <w:lang w:val="fr-FR"/>
        </w:rPr>
        <w:t>’</w:t>
      </w:r>
      <w:r w:rsidR="00F942F2" w:rsidRPr="0070292F">
        <w:rPr>
          <w:lang w:val="fr-FR"/>
        </w:rPr>
        <w:t xml:space="preserve">éloigner </w:t>
      </w:r>
      <w:r w:rsidR="00F00ABD" w:rsidRPr="0070292F">
        <w:rPr>
          <w:lang w:val="fr-FR"/>
        </w:rPr>
        <w:t xml:space="preserve">de son logement </w:t>
      </w:r>
      <w:r w:rsidR="00F942F2" w:rsidRPr="0070292F">
        <w:rPr>
          <w:lang w:val="fr-FR"/>
        </w:rPr>
        <w:t>sans autorisation.</w:t>
      </w:r>
      <w:r w:rsidR="00F00ABD" w:rsidRPr="0070292F">
        <w:rPr>
          <w:lang w:val="fr-FR"/>
        </w:rPr>
        <w:t xml:space="preserve"> </w:t>
      </w:r>
      <w:r w:rsidR="00F942F2" w:rsidRPr="0070292F">
        <w:rPr>
          <w:lang w:val="fr-FR"/>
        </w:rPr>
        <w:t xml:space="preserve">Le tribunal </w:t>
      </w:r>
      <w:r w:rsidR="00F00ABD" w:rsidRPr="0070292F">
        <w:rPr>
          <w:lang w:val="fr-FR"/>
        </w:rPr>
        <w:t xml:space="preserve">lui </w:t>
      </w:r>
      <w:r w:rsidR="00F942F2" w:rsidRPr="0070292F">
        <w:rPr>
          <w:lang w:val="fr-FR"/>
        </w:rPr>
        <w:t>ordonne également : de vivre honnêtement et dans le respect des l</w:t>
      </w:r>
      <w:r w:rsidR="008670AF" w:rsidRPr="0070292F">
        <w:rPr>
          <w:lang w:val="fr-FR"/>
        </w:rPr>
        <w:t>ois, de ne pas prêter à soupçon</w:t>
      </w:r>
      <w:r w:rsidR="00F00ABD" w:rsidRPr="0070292F">
        <w:rPr>
          <w:lang w:val="fr-FR"/>
        </w:rPr>
        <w:t> </w:t>
      </w:r>
      <w:r w:rsidR="00F942F2" w:rsidRPr="0070292F">
        <w:rPr>
          <w:lang w:val="fr-FR"/>
        </w:rPr>
        <w:t>;</w:t>
      </w:r>
      <w:r w:rsidR="008670AF" w:rsidRPr="0070292F">
        <w:rPr>
          <w:lang w:val="fr-FR"/>
        </w:rPr>
        <w:t xml:space="preserve"> de </w:t>
      </w:r>
      <w:r w:rsidR="00F942F2" w:rsidRPr="0070292F">
        <w:rPr>
          <w:lang w:val="fr-FR"/>
        </w:rPr>
        <w:t xml:space="preserve">ne pas fréquenter des personnes </w:t>
      </w:r>
      <w:r w:rsidR="00F00ABD" w:rsidRPr="0070292F">
        <w:rPr>
          <w:lang w:val="fr-FR"/>
        </w:rPr>
        <w:t>qui ont été condamnées</w:t>
      </w:r>
      <w:r w:rsidR="00F942F2" w:rsidRPr="0070292F">
        <w:rPr>
          <w:lang w:val="fr-FR"/>
        </w:rPr>
        <w:t xml:space="preserve"> et soumises à des mes</w:t>
      </w:r>
      <w:r w:rsidR="008670AF" w:rsidRPr="0070292F">
        <w:rPr>
          <w:lang w:val="fr-FR"/>
        </w:rPr>
        <w:t>ures de prévention ou de sûreté</w:t>
      </w:r>
      <w:r w:rsidR="00F00ABD" w:rsidRPr="0070292F">
        <w:rPr>
          <w:lang w:val="fr-FR"/>
        </w:rPr>
        <w:t> </w:t>
      </w:r>
      <w:r w:rsidR="00F942F2" w:rsidRPr="0070292F">
        <w:rPr>
          <w:lang w:val="fr-FR"/>
        </w:rPr>
        <w:t>;</w:t>
      </w:r>
      <w:r w:rsidR="008670AF" w:rsidRPr="0070292F">
        <w:rPr>
          <w:lang w:val="fr-FR"/>
        </w:rPr>
        <w:t xml:space="preserve"> </w:t>
      </w:r>
      <w:r w:rsidR="00F942F2" w:rsidRPr="0070292F">
        <w:rPr>
          <w:lang w:val="fr-FR"/>
        </w:rPr>
        <w:t>de ne pas rentrer le soir après un certaine heure et ne pas sortir le matin avant une certaine heure, sauf en cas de nécessité et non sans avoir averti</w:t>
      </w:r>
      <w:r w:rsidR="00346359" w:rsidRPr="0070292F">
        <w:rPr>
          <w:lang w:val="fr-FR"/>
        </w:rPr>
        <w:t xml:space="preserve"> les autorités en temps utile</w:t>
      </w:r>
      <w:r w:rsidR="00F00ABD" w:rsidRPr="0070292F">
        <w:rPr>
          <w:lang w:val="fr-FR"/>
        </w:rPr>
        <w:t> </w:t>
      </w:r>
      <w:r w:rsidR="00346359" w:rsidRPr="0070292F">
        <w:rPr>
          <w:lang w:val="fr-FR"/>
        </w:rPr>
        <w:t>;</w:t>
      </w:r>
      <w:r w:rsidR="008670AF" w:rsidRPr="0070292F">
        <w:rPr>
          <w:lang w:val="fr-FR"/>
        </w:rPr>
        <w:t xml:space="preserve"> </w:t>
      </w:r>
      <w:r w:rsidR="00F942F2" w:rsidRPr="0070292F">
        <w:rPr>
          <w:lang w:val="fr-FR"/>
        </w:rPr>
        <w:t>de</w:t>
      </w:r>
      <w:r w:rsidR="00346359" w:rsidRPr="0070292F">
        <w:rPr>
          <w:lang w:val="fr-FR"/>
        </w:rPr>
        <w:t xml:space="preserve"> </w:t>
      </w:r>
      <w:r w:rsidR="00F942F2" w:rsidRPr="0070292F">
        <w:rPr>
          <w:lang w:val="fr-FR"/>
        </w:rPr>
        <w:t xml:space="preserve">ne détenir </w:t>
      </w:r>
      <w:r w:rsidR="008670AF" w:rsidRPr="0070292F">
        <w:rPr>
          <w:lang w:val="fr-FR"/>
        </w:rPr>
        <w:t>ni ne porter aucune arme</w:t>
      </w:r>
      <w:r w:rsidR="00885B08" w:rsidRPr="0070292F">
        <w:rPr>
          <w:lang w:val="fr-FR"/>
        </w:rPr>
        <w:t> ;</w:t>
      </w:r>
      <w:r w:rsidR="000F305A" w:rsidRPr="0070292F">
        <w:rPr>
          <w:lang w:val="fr-FR"/>
        </w:rPr>
        <w:t xml:space="preserve"> </w:t>
      </w:r>
      <w:r w:rsidR="008670AF" w:rsidRPr="0070292F">
        <w:rPr>
          <w:lang w:val="fr-FR"/>
        </w:rPr>
        <w:t xml:space="preserve">de </w:t>
      </w:r>
      <w:r w:rsidR="00F942F2" w:rsidRPr="0070292F">
        <w:rPr>
          <w:lang w:val="fr-FR"/>
        </w:rPr>
        <w:t>ne pas fréquenter les cafés, cabarets, salles de jeux et lieux de prostitution</w:t>
      </w:r>
      <w:r w:rsidR="00885B08" w:rsidRPr="0070292F">
        <w:rPr>
          <w:lang w:val="fr-FR"/>
        </w:rPr>
        <w:t> ; de</w:t>
      </w:r>
      <w:r w:rsidR="00F942F2" w:rsidRPr="0070292F">
        <w:rPr>
          <w:lang w:val="fr-FR"/>
        </w:rPr>
        <w:t xml:space="preserve"> ne pas participer à des réunions publiques.</w:t>
      </w:r>
      <w:r w:rsidR="00F00ABD" w:rsidRPr="0070292F">
        <w:rPr>
          <w:lang w:val="fr-FR"/>
        </w:rPr>
        <w:t xml:space="preserve"> </w:t>
      </w:r>
      <w:r w:rsidR="005C5744" w:rsidRPr="0070292F">
        <w:rPr>
          <w:lang w:val="fr-FR"/>
        </w:rPr>
        <w:t>En outre, l</w:t>
      </w:r>
      <w:r w:rsidR="0002688E" w:rsidRPr="0070292F">
        <w:rPr>
          <w:lang w:val="fr-FR"/>
        </w:rPr>
        <w:t>e tribunal peut</w:t>
      </w:r>
      <w:r w:rsidR="00F942F2" w:rsidRPr="0070292F">
        <w:rPr>
          <w:lang w:val="fr-FR"/>
        </w:rPr>
        <w:t xml:space="preserve"> imposer toutes les mesures qu</w:t>
      </w:r>
      <w:r w:rsidR="0070292F" w:rsidRPr="0070292F">
        <w:rPr>
          <w:lang w:val="fr-FR"/>
        </w:rPr>
        <w:t>’</w:t>
      </w:r>
      <w:r w:rsidR="00F942F2" w:rsidRPr="0070292F">
        <w:rPr>
          <w:lang w:val="fr-FR"/>
        </w:rPr>
        <w:t>il estime nécessaire</w:t>
      </w:r>
      <w:r w:rsidR="00A307C4" w:rsidRPr="0070292F">
        <w:rPr>
          <w:lang w:val="fr-FR"/>
        </w:rPr>
        <w:t>s</w:t>
      </w:r>
      <w:r w:rsidR="00F942F2" w:rsidRPr="0070292F">
        <w:rPr>
          <w:lang w:val="fr-FR"/>
        </w:rPr>
        <w:t xml:space="preserve"> </w:t>
      </w:r>
      <w:r w:rsidR="00885B08" w:rsidRPr="0070292F">
        <w:rPr>
          <w:lang w:val="fr-FR"/>
        </w:rPr>
        <w:t>eu égard aux</w:t>
      </w:r>
      <w:r w:rsidR="00F942F2" w:rsidRPr="0070292F">
        <w:rPr>
          <w:lang w:val="fr-FR"/>
        </w:rPr>
        <w:t xml:space="preserve"> exigences </w:t>
      </w:r>
      <w:r w:rsidR="005C5744" w:rsidRPr="0070292F">
        <w:rPr>
          <w:lang w:val="fr-FR"/>
        </w:rPr>
        <w:t xml:space="preserve">liées à la </w:t>
      </w:r>
      <w:r w:rsidR="00F942F2" w:rsidRPr="0070292F">
        <w:rPr>
          <w:lang w:val="fr-FR"/>
        </w:rPr>
        <w:t>défense sociale</w:t>
      </w:r>
      <w:r w:rsidR="00A307C4" w:rsidRPr="0070292F">
        <w:rPr>
          <w:lang w:val="fr-FR"/>
        </w:rPr>
        <w:t xml:space="preserve">, </w:t>
      </w:r>
      <w:r w:rsidR="00F942F2" w:rsidRPr="0070292F">
        <w:rPr>
          <w:lang w:val="fr-FR"/>
        </w:rPr>
        <w:t>en particulier l</w:t>
      </w:r>
      <w:r w:rsidR="0070292F" w:rsidRPr="0070292F">
        <w:rPr>
          <w:lang w:val="fr-FR"/>
        </w:rPr>
        <w:t>’</w:t>
      </w:r>
      <w:r w:rsidR="00F942F2" w:rsidRPr="0070292F">
        <w:rPr>
          <w:lang w:val="fr-FR"/>
        </w:rPr>
        <w:t>interdiction de séjourner dans certains lieux</w:t>
      </w:r>
      <w:r w:rsidR="00E474A3" w:rsidRPr="0070292F">
        <w:rPr>
          <w:lang w:val="fr-FR"/>
        </w:rPr>
        <w:t>.</w:t>
      </w:r>
    </w:p>
    <w:p w:rsidR="009A3573" w:rsidRPr="0070292F" w:rsidRDefault="009A3573"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41</w:t>
      </w:r>
      <w:r w:rsidRPr="0070292F">
        <w:rPr>
          <w:lang w:val="fr-FR"/>
        </w:rPr>
        <w:fldChar w:fldCharType="end"/>
      </w:r>
      <w:r w:rsidRPr="0070292F">
        <w:rPr>
          <w:lang w:val="fr-FR"/>
        </w:rPr>
        <w:t>.  Selon l</w:t>
      </w:r>
      <w:r w:rsidR="0070292F" w:rsidRPr="0070292F">
        <w:rPr>
          <w:lang w:val="fr-FR"/>
        </w:rPr>
        <w:t>’</w:t>
      </w:r>
      <w:r w:rsidRPr="0070292F">
        <w:rPr>
          <w:lang w:val="fr-FR"/>
        </w:rPr>
        <w:t xml:space="preserve">article 6, </w:t>
      </w:r>
      <w:r w:rsidR="00A307C4" w:rsidRPr="0070292F">
        <w:rPr>
          <w:lang w:val="fr-FR"/>
        </w:rPr>
        <w:t>lorsque</w:t>
      </w:r>
      <w:r w:rsidR="006603B9" w:rsidRPr="0070292F">
        <w:rPr>
          <w:lang w:val="fr-FR"/>
        </w:rPr>
        <w:t xml:space="preserve"> la surveillance spéciale</w:t>
      </w:r>
      <w:r w:rsidRPr="0070292F">
        <w:rPr>
          <w:lang w:val="fr-FR"/>
        </w:rPr>
        <w:t xml:space="preserve"> </w:t>
      </w:r>
      <w:r w:rsidR="00A307C4" w:rsidRPr="0070292F">
        <w:rPr>
          <w:lang w:val="fr-FR"/>
        </w:rPr>
        <w:t>est assortie d</w:t>
      </w:r>
      <w:r w:rsidR="0070292F" w:rsidRPr="0070292F">
        <w:rPr>
          <w:lang w:val="fr-FR"/>
        </w:rPr>
        <w:t>’</w:t>
      </w:r>
      <w:r w:rsidR="00A307C4" w:rsidRPr="0070292F">
        <w:rPr>
          <w:lang w:val="fr-FR"/>
        </w:rPr>
        <w:t xml:space="preserve">une </w:t>
      </w:r>
      <w:r w:rsidRPr="0070292F">
        <w:rPr>
          <w:lang w:val="fr-FR"/>
        </w:rPr>
        <w:t xml:space="preserve">assignation à résidence ou </w:t>
      </w:r>
      <w:r w:rsidR="00A307C4" w:rsidRPr="0070292F">
        <w:rPr>
          <w:lang w:val="fr-FR"/>
        </w:rPr>
        <w:t>d</w:t>
      </w:r>
      <w:r w:rsidR="0070292F" w:rsidRPr="0070292F">
        <w:rPr>
          <w:lang w:val="fr-FR"/>
        </w:rPr>
        <w:t>’</w:t>
      </w:r>
      <w:r w:rsidR="00A307C4" w:rsidRPr="0070292F">
        <w:rPr>
          <w:lang w:val="fr-FR"/>
        </w:rPr>
        <w:t xml:space="preserve">une </w:t>
      </w:r>
      <w:r w:rsidRPr="0070292F">
        <w:rPr>
          <w:lang w:val="fr-FR"/>
        </w:rPr>
        <w:t xml:space="preserve">interdiction de séjour, le président du </w:t>
      </w:r>
      <w:r w:rsidRPr="0070292F">
        <w:rPr>
          <w:lang w:val="fr-FR"/>
        </w:rPr>
        <w:lastRenderedPageBreak/>
        <w:t>tribunal</w:t>
      </w:r>
      <w:r w:rsidR="00A307C4" w:rsidRPr="0070292F">
        <w:rPr>
          <w:lang w:val="fr-FR"/>
        </w:rPr>
        <w:t xml:space="preserve"> peut</w:t>
      </w:r>
      <w:r w:rsidRPr="0070292F">
        <w:rPr>
          <w:lang w:val="fr-FR"/>
        </w:rPr>
        <w:t xml:space="preserve"> pendant la procédure ordonner (</w:t>
      </w:r>
      <w:r w:rsidRPr="0070292F">
        <w:rPr>
          <w:i/>
          <w:lang w:val="fr-FR"/>
        </w:rPr>
        <w:t>decreto</w:t>
      </w:r>
      <w:r w:rsidRPr="0070292F">
        <w:rPr>
          <w:lang w:val="fr-FR"/>
        </w:rPr>
        <w:t>) le retrait temporaire du passeport et la suspension de la validité de tout autre document équivalent</w:t>
      </w:r>
      <w:r w:rsidR="00A307C4" w:rsidRPr="0070292F">
        <w:rPr>
          <w:lang w:val="fr-FR"/>
        </w:rPr>
        <w:t xml:space="preserve"> en matière de sortie du territoire</w:t>
      </w:r>
      <w:r w:rsidRPr="0070292F">
        <w:rPr>
          <w:lang w:val="fr-FR"/>
        </w:rPr>
        <w:t xml:space="preserve">. </w:t>
      </w:r>
      <w:r w:rsidR="00885B08" w:rsidRPr="0070292F">
        <w:rPr>
          <w:lang w:val="fr-FR"/>
        </w:rPr>
        <w:t>En cas de</w:t>
      </w:r>
      <w:r w:rsidRPr="0070292F">
        <w:rPr>
          <w:lang w:val="fr-FR"/>
        </w:rPr>
        <w:t xml:space="preserve"> </w:t>
      </w:r>
      <w:r w:rsidR="00A307C4" w:rsidRPr="0070292F">
        <w:rPr>
          <w:lang w:val="fr-FR"/>
        </w:rPr>
        <w:t>motifs particulièrement graves</w:t>
      </w:r>
      <w:r w:rsidRPr="0070292F">
        <w:rPr>
          <w:lang w:val="fr-FR"/>
        </w:rPr>
        <w:t>, il peut aussi ordonner que l</w:t>
      </w:r>
      <w:r w:rsidR="0070292F" w:rsidRPr="0070292F">
        <w:rPr>
          <w:lang w:val="fr-FR"/>
        </w:rPr>
        <w:t>’</w:t>
      </w:r>
      <w:r w:rsidRPr="0070292F">
        <w:rPr>
          <w:lang w:val="fr-FR"/>
        </w:rPr>
        <w:t>assignation à résidence ou l</w:t>
      </w:r>
      <w:r w:rsidR="0070292F" w:rsidRPr="0070292F">
        <w:rPr>
          <w:lang w:val="fr-FR"/>
        </w:rPr>
        <w:t>’</w:t>
      </w:r>
      <w:r w:rsidRPr="0070292F">
        <w:rPr>
          <w:lang w:val="fr-FR"/>
        </w:rPr>
        <w:t>interdiction de séjour soit provisoirement imposée à l</w:t>
      </w:r>
      <w:r w:rsidR="0070292F" w:rsidRPr="0070292F">
        <w:rPr>
          <w:lang w:val="fr-FR"/>
        </w:rPr>
        <w:t>’</w:t>
      </w:r>
      <w:r w:rsidRPr="0070292F">
        <w:rPr>
          <w:lang w:val="fr-FR"/>
        </w:rPr>
        <w:t>intéressé jusqu</w:t>
      </w:r>
      <w:r w:rsidR="0070292F" w:rsidRPr="0070292F">
        <w:rPr>
          <w:lang w:val="fr-FR"/>
        </w:rPr>
        <w:t>’</w:t>
      </w:r>
      <w:r w:rsidRPr="0070292F">
        <w:rPr>
          <w:lang w:val="fr-FR"/>
        </w:rPr>
        <w:t xml:space="preserve">à ce que la mesure de prévention </w:t>
      </w:r>
      <w:r w:rsidR="00A307C4" w:rsidRPr="0070292F">
        <w:rPr>
          <w:lang w:val="fr-FR"/>
        </w:rPr>
        <w:t>devienne</w:t>
      </w:r>
      <w:r w:rsidRPr="0070292F">
        <w:rPr>
          <w:lang w:val="fr-FR"/>
        </w:rPr>
        <w:t xml:space="preserve"> définitive.</w:t>
      </w:r>
    </w:p>
    <w:p w:rsidR="009A3573" w:rsidRPr="0070292F" w:rsidRDefault="009A3573"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42</w:t>
      </w:r>
      <w:r w:rsidRPr="0070292F">
        <w:rPr>
          <w:lang w:val="fr-FR"/>
        </w:rPr>
        <w:fldChar w:fldCharType="end"/>
      </w:r>
      <w:r w:rsidRPr="0070292F">
        <w:rPr>
          <w:lang w:val="fr-FR"/>
        </w:rPr>
        <w:t>.  </w:t>
      </w:r>
      <w:r w:rsidR="00E474A3" w:rsidRPr="0070292F">
        <w:rPr>
          <w:lang w:val="fr-FR"/>
        </w:rPr>
        <w:t>L</w:t>
      </w:r>
      <w:r w:rsidR="0070292F" w:rsidRPr="0070292F">
        <w:rPr>
          <w:lang w:val="fr-FR"/>
        </w:rPr>
        <w:t>’</w:t>
      </w:r>
      <w:r w:rsidR="00E474A3" w:rsidRPr="0070292F">
        <w:rPr>
          <w:lang w:val="fr-FR"/>
        </w:rPr>
        <w:t xml:space="preserve">article 9 </w:t>
      </w:r>
      <w:r w:rsidR="00A307C4" w:rsidRPr="0070292F">
        <w:rPr>
          <w:lang w:val="fr-FR"/>
        </w:rPr>
        <w:t xml:space="preserve">dispose </w:t>
      </w:r>
      <w:r w:rsidR="00E474A3" w:rsidRPr="0070292F">
        <w:rPr>
          <w:lang w:val="fr-FR"/>
        </w:rPr>
        <w:t>que l</w:t>
      </w:r>
      <w:r w:rsidRPr="0070292F">
        <w:rPr>
          <w:lang w:val="fr-FR"/>
        </w:rPr>
        <w:t>e non-respect des règles en question est sanctionné par une peine privative de liberté.</w:t>
      </w:r>
    </w:p>
    <w:p w:rsidR="009A3573" w:rsidRPr="0070292F" w:rsidRDefault="003B250C" w:rsidP="0070292F">
      <w:pPr>
        <w:pStyle w:val="ECHRHeading2"/>
        <w:rPr>
          <w:lang w:val="fr-FR"/>
        </w:rPr>
      </w:pPr>
      <w:bookmarkStart w:id="14" w:name="_Toc475451839"/>
      <w:r w:rsidRPr="0070292F">
        <w:rPr>
          <w:lang w:val="fr-FR"/>
        </w:rPr>
        <w:t>B</w:t>
      </w:r>
      <w:r w:rsidR="00346359" w:rsidRPr="0070292F">
        <w:rPr>
          <w:lang w:val="fr-FR"/>
        </w:rPr>
        <w:t>.</w:t>
      </w:r>
      <w:r w:rsidR="001C7648" w:rsidRPr="0070292F">
        <w:rPr>
          <w:lang w:val="fr-FR"/>
        </w:rPr>
        <w:t>  </w:t>
      </w:r>
      <w:r w:rsidR="006603B9" w:rsidRPr="0070292F">
        <w:rPr>
          <w:lang w:val="fr-FR"/>
        </w:rPr>
        <w:t xml:space="preserve">La jurisprudence de la Cour </w:t>
      </w:r>
      <w:r w:rsidR="00817806" w:rsidRPr="0070292F">
        <w:rPr>
          <w:lang w:val="fr-FR"/>
        </w:rPr>
        <w:t>c</w:t>
      </w:r>
      <w:r w:rsidR="009A3573" w:rsidRPr="0070292F">
        <w:rPr>
          <w:lang w:val="fr-FR"/>
        </w:rPr>
        <w:t>onstitutionnelle</w:t>
      </w:r>
      <w:bookmarkEnd w:id="14"/>
    </w:p>
    <w:bookmarkStart w:id="15" w:name="para43"/>
    <w:p w:rsidR="00186E84" w:rsidRPr="0070292F" w:rsidRDefault="003B250C" w:rsidP="0070292F">
      <w:pPr>
        <w:pStyle w:val="ECHRPara"/>
        <w:rPr>
          <w:rFonts w:eastAsia="Cambria"/>
          <w:lang w:val="fr-FR"/>
        </w:rPr>
      </w:pPr>
      <w:r w:rsidRPr="0070292F">
        <w:rPr>
          <w:rFonts w:eastAsia="Cambria"/>
          <w:lang w:val="fr-FR"/>
        </w:rPr>
        <w:fldChar w:fldCharType="begin"/>
      </w:r>
      <w:r w:rsidRPr="0070292F">
        <w:rPr>
          <w:rFonts w:eastAsia="Cambria"/>
          <w:lang w:val="fr-FR"/>
        </w:rPr>
        <w:instrText xml:space="preserve"> SEQ level0 \*arabic </w:instrText>
      </w:r>
      <w:r w:rsidRPr="0070292F">
        <w:rPr>
          <w:rFonts w:eastAsia="Cambria"/>
          <w:lang w:val="fr-FR"/>
        </w:rPr>
        <w:fldChar w:fldCharType="separate"/>
      </w:r>
      <w:r w:rsidR="0070292F" w:rsidRPr="0070292F">
        <w:rPr>
          <w:rFonts w:eastAsia="Cambria"/>
          <w:noProof/>
          <w:lang w:val="fr-FR"/>
        </w:rPr>
        <w:t>43</w:t>
      </w:r>
      <w:r w:rsidRPr="0070292F">
        <w:rPr>
          <w:rFonts w:eastAsia="Cambria"/>
          <w:lang w:val="fr-FR"/>
        </w:rPr>
        <w:fldChar w:fldCharType="end"/>
      </w:r>
      <w:bookmarkEnd w:id="15"/>
      <w:r w:rsidRPr="0070292F">
        <w:rPr>
          <w:rFonts w:eastAsia="Cambria"/>
          <w:lang w:val="fr-FR"/>
        </w:rPr>
        <w:t>.  </w:t>
      </w:r>
      <w:r w:rsidR="0056223D" w:rsidRPr="0070292F">
        <w:rPr>
          <w:rFonts w:eastAsia="Cambria"/>
          <w:lang w:val="fr-FR"/>
        </w:rPr>
        <w:t>Initialement, l</w:t>
      </w:r>
      <w:r w:rsidR="00186E84" w:rsidRPr="0070292F">
        <w:rPr>
          <w:rFonts w:eastAsia="Cambria"/>
          <w:lang w:val="fr-FR"/>
        </w:rPr>
        <w:t>a loi nº 1423 de 1956 prévoyait la possibilité d</w:t>
      </w:r>
      <w:r w:rsidR="0070292F" w:rsidRPr="0070292F">
        <w:rPr>
          <w:rFonts w:eastAsia="Cambria"/>
          <w:lang w:val="fr-FR"/>
        </w:rPr>
        <w:t>’</w:t>
      </w:r>
      <w:r w:rsidR="00186E84" w:rsidRPr="0070292F">
        <w:rPr>
          <w:rFonts w:eastAsia="Cambria"/>
          <w:lang w:val="fr-FR"/>
        </w:rPr>
        <w:t xml:space="preserve">appliquer des mesures de prévention personnelles </w:t>
      </w:r>
      <w:r w:rsidR="0056223D" w:rsidRPr="0070292F">
        <w:rPr>
          <w:rFonts w:eastAsia="Cambria"/>
          <w:lang w:val="fr-FR"/>
        </w:rPr>
        <w:t xml:space="preserve">uniquement </w:t>
      </w:r>
      <w:r w:rsidR="00186E84" w:rsidRPr="0070292F">
        <w:rPr>
          <w:rFonts w:eastAsia="Cambria"/>
          <w:lang w:val="fr-FR"/>
        </w:rPr>
        <w:t>dans certains cas de « dangerosité simple », c</w:t>
      </w:r>
      <w:r w:rsidR="0070292F" w:rsidRPr="0070292F">
        <w:rPr>
          <w:rFonts w:eastAsia="Cambria"/>
          <w:lang w:val="fr-FR"/>
        </w:rPr>
        <w:t>’</w:t>
      </w:r>
      <w:r w:rsidR="00186E84" w:rsidRPr="0070292F">
        <w:rPr>
          <w:rFonts w:eastAsia="Cambria"/>
          <w:lang w:val="fr-FR"/>
        </w:rPr>
        <w:t xml:space="preserve">est-à-dire quand il était établi que la personne </w:t>
      </w:r>
      <w:r w:rsidR="00A307C4" w:rsidRPr="0070292F">
        <w:rPr>
          <w:rFonts w:eastAsia="Cambria"/>
          <w:lang w:val="fr-FR"/>
        </w:rPr>
        <w:t xml:space="preserve">concernée présentait un </w:t>
      </w:r>
      <w:r w:rsidR="00186E84" w:rsidRPr="0070292F">
        <w:rPr>
          <w:rFonts w:eastAsia="Cambria"/>
          <w:lang w:val="fr-FR"/>
        </w:rPr>
        <w:t>danger pour la sécurité publique.</w:t>
      </w:r>
    </w:p>
    <w:p w:rsidR="00186E84" w:rsidRPr="0070292F" w:rsidRDefault="00186E84" w:rsidP="0070292F">
      <w:pPr>
        <w:pStyle w:val="ECHRPara"/>
        <w:rPr>
          <w:rFonts w:eastAsia="Cambria"/>
          <w:lang w:val="fr-FR"/>
        </w:rPr>
      </w:pPr>
      <w:r w:rsidRPr="0070292F">
        <w:rPr>
          <w:rFonts w:eastAsia="Cambria"/>
          <w:lang w:val="fr-FR"/>
        </w:rPr>
        <w:t>Son champ d</w:t>
      </w:r>
      <w:r w:rsidR="0070292F" w:rsidRPr="0070292F">
        <w:rPr>
          <w:rFonts w:eastAsia="Cambria"/>
          <w:lang w:val="fr-FR"/>
        </w:rPr>
        <w:t>’</w:t>
      </w:r>
      <w:r w:rsidRPr="0070292F">
        <w:rPr>
          <w:rFonts w:eastAsia="Cambria"/>
          <w:lang w:val="fr-FR"/>
        </w:rPr>
        <w:t xml:space="preserve">application a ensuite </w:t>
      </w:r>
      <w:r w:rsidR="00A307C4" w:rsidRPr="0070292F">
        <w:rPr>
          <w:rFonts w:eastAsia="Cambria"/>
          <w:lang w:val="fr-FR"/>
        </w:rPr>
        <w:t xml:space="preserve">été </w:t>
      </w:r>
      <w:r w:rsidRPr="0070292F">
        <w:rPr>
          <w:rFonts w:eastAsia="Cambria"/>
          <w:lang w:val="fr-FR"/>
        </w:rPr>
        <w:t>élargi pour couvrir d</w:t>
      </w:r>
      <w:r w:rsidR="0070292F" w:rsidRPr="0070292F">
        <w:rPr>
          <w:rFonts w:eastAsia="Cambria"/>
          <w:lang w:val="fr-FR"/>
        </w:rPr>
        <w:t>’</w:t>
      </w:r>
      <w:r w:rsidRPr="0070292F">
        <w:rPr>
          <w:rFonts w:eastAsia="Cambria"/>
          <w:lang w:val="fr-FR"/>
        </w:rPr>
        <w:t xml:space="preserve">autres situations de « dangerosité qualifiée », </w:t>
      </w:r>
      <w:r w:rsidR="00885B08" w:rsidRPr="0070292F">
        <w:rPr>
          <w:rFonts w:eastAsia="Cambria"/>
          <w:lang w:val="fr-FR"/>
        </w:rPr>
        <w:t>notion</w:t>
      </w:r>
      <w:r w:rsidR="000E05B7" w:rsidRPr="0070292F">
        <w:rPr>
          <w:rFonts w:eastAsia="Cambria"/>
          <w:lang w:val="fr-FR"/>
        </w:rPr>
        <w:t xml:space="preserve"> qui vise les</w:t>
      </w:r>
      <w:r w:rsidRPr="0070292F">
        <w:rPr>
          <w:rFonts w:eastAsia="Cambria"/>
          <w:lang w:val="fr-FR"/>
        </w:rPr>
        <w:t xml:space="preserve"> personnes </w:t>
      </w:r>
      <w:r w:rsidR="000E05B7" w:rsidRPr="0070292F">
        <w:rPr>
          <w:rFonts w:eastAsia="Cambria"/>
          <w:lang w:val="fr-FR"/>
        </w:rPr>
        <w:t xml:space="preserve">soupçonnées </w:t>
      </w:r>
      <w:r w:rsidRPr="0070292F">
        <w:rPr>
          <w:rFonts w:eastAsia="Cambria"/>
          <w:lang w:val="fr-FR"/>
        </w:rPr>
        <w:t>d</w:t>
      </w:r>
      <w:r w:rsidR="0070292F" w:rsidRPr="0070292F">
        <w:rPr>
          <w:rFonts w:eastAsia="Cambria"/>
          <w:lang w:val="fr-FR"/>
        </w:rPr>
        <w:t>’</w:t>
      </w:r>
      <w:r w:rsidRPr="0070292F">
        <w:rPr>
          <w:rFonts w:eastAsia="Cambria"/>
          <w:lang w:val="fr-FR"/>
        </w:rPr>
        <w:t xml:space="preserve">appartenir </w:t>
      </w:r>
      <w:r w:rsidR="0056223D" w:rsidRPr="0070292F">
        <w:rPr>
          <w:rFonts w:eastAsia="Cambria"/>
          <w:lang w:val="fr-FR"/>
        </w:rPr>
        <w:t xml:space="preserve">à des </w:t>
      </w:r>
      <w:r w:rsidRPr="0070292F">
        <w:rPr>
          <w:rFonts w:eastAsia="Cambria"/>
          <w:lang w:val="fr-FR"/>
        </w:rPr>
        <w:t>associations mafieuses (loi nº 575 de 19</w:t>
      </w:r>
      <w:r w:rsidR="0034338D" w:rsidRPr="0070292F">
        <w:rPr>
          <w:rFonts w:eastAsia="Cambria"/>
          <w:lang w:val="fr-FR"/>
        </w:rPr>
        <w:t>6</w:t>
      </w:r>
      <w:r w:rsidRPr="0070292F">
        <w:rPr>
          <w:rFonts w:eastAsia="Cambria"/>
          <w:lang w:val="fr-FR"/>
        </w:rPr>
        <w:t xml:space="preserve">5) ou impliquées dans </w:t>
      </w:r>
      <w:r w:rsidR="00885B08" w:rsidRPr="0070292F">
        <w:rPr>
          <w:rFonts w:eastAsia="Cambria"/>
          <w:lang w:val="fr-FR"/>
        </w:rPr>
        <w:t>d</w:t>
      </w:r>
      <w:r w:rsidRPr="0070292F">
        <w:rPr>
          <w:rFonts w:eastAsia="Cambria"/>
          <w:lang w:val="fr-FR"/>
        </w:rPr>
        <w:t xml:space="preserve">es </w:t>
      </w:r>
      <w:r w:rsidR="0056223D" w:rsidRPr="0070292F">
        <w:rPr>
          <w:rFonts w:eastAsia="Cambria"/>
          <w:lang w:val="fr-FR"/>
        </w:rPr>
        <w:t xml:space="preserve">activités </w:t>
      </w:r>
      <w:r w:rsidRPr="0070292F">
        <w:rPr>
          <w:rFonts w:eastAsia="Cambria"/>
          <w:lang w:val="fr-FR"/>
        </w:rPr>
        <w:t>subversives (loi nº 152 d</w:t>
      </w:r>
      <w:r w:rsidR="00FC5DC6" w:rsidRPr="0070292F">
        <w:rPr>
          <w:rFonts w:eastAsia="Cambria"/>
          <w:lang w:val="fr-FR"/>
        </w:rPr>
        <w:t>e</w:t>
      </w:r>
      <w:r w:rsidRPr="0070292F">
        <w:rPr>
          <w:rFonts w:eastAsia="Cambria"/>
          <w:lang w:val="fr-FR"/>
        </w:rPr>
        <w:t xml:space="preserve"> 1975, </w:t>
      </w:r>
      <w:r w:rsidR="0056223D" w:rsidRPr="0070292F">
        <w:rPr>
          <w:rFonts w:eastAsia="Cambria"/>
          <w:lang w:val="fr-FR"/>
        </w:rPr>
        <w:t>adoptée</w:t>
      </w:r>
      <w:r w:rsidRPr="0070292F">
        <w:rPr>
          <w:rFonts w:eastAsia="Cambria"/>
          <w:lang w:val="fr-FR"/>
        </w:rPr>
        <w:t xml:space="preserve"> face à l</w:t>
      </w:r>
      <w:r w:rsidR="0070292F" w:rsidRPr="0070292F">
        <w:rPr>
          <w:rFonts w:eastAsia="Cambria"/>
          <w:lang w:val="fr-FR"/>
        </w:rPr>
        <w:t>’</w:t>
      </w:r>
      <w:r w:rsidRPr="0070292F">
        <w:rPr>
          <w:rFonts w:eastAsia="Cambria"/>
          <w:lang w:val="fr-FR"/>
        </w:rPr>
        <w:t>émergence du terrorisme politique d</w:t>
      </w:r>
      <w:r w:rsidR="0070292F" w:rsidRPr="0070292F">
        <w:rPr>
          <w:rFonts w:eastAsia="Cambria"/>
          <w:lang w:val="fr-FR"/>
        </w:rPr>
        <w:t>’</w:t>
      </w:r>
      <w:r w:rsidRPr="0070292F">
        <w:rPr>
          <w:rFonts w:eastAsia="Cambria"/>
          <w:lang w:val="fr-FR"/>
        </w:rPr>
        <w:t>extrême gauche et d</w:t>
      </w:r>
      <w:r w:rsidR="0070292F" w:rsidRPr="0070292F">
        <w:rPr>
          <w:rFonts w:eastAsia="Cambria"/>
          <w:lang w:val="fr-FR"/>
        </w:rPr>
        <w:t>’</w:t>
      </w:r>
      <w:r w:rsidRPr="0070292F">
        <w:rPr>
          <w:rFonts w:eastAsia="Cambria"/>
          <w:lang w:val="fr-FR"/>
        </w:rPr>
        <w:t>extrême droi</w:t>
      </w:r>
      <w:r w:rsidR="00EE703E" w:rsidRPr="0070292F">
        <w:rPr>
          <w:rFonts w:eastAsia="Cambria"/>
          <w:lang w:val="fr-FR"/>
        </w:rPr>
        <w:t>te</w:t>
      </w:r>
      <w:r w:rsidR="0056223D" w:rsidRPr="0070292F">
        <w:rPr>
          <w:rFonts w:eastAsia="Cambria"/>
          <w:lang w:val="fr-FR"/>
        </w:rPr>
        <w:t>,</w:t>
      </w:r>
      <w:r w:rsidR="00EE703E" w:rsidRPr="0070292F">
        <w:rPr>
          <w:rFonts w:eastAsia="Cambria"/>
          <w:lang w:val="fr-FR"/>
        </w:rPr>
        <w:t xml:space="preserve"> dans les « années de plomb »). </w:t>
      </w:r>
      <w:r w:rsidRPr="0070292F">
        <w:rPr>
          <w:rFonts w:eastAsia="Cambria"/>
          <w:lang w:val="fr-FR"/>
        </w:rPr>
        <w:t xml:space="preserve">Enfin, les catégories de « dangerosité simple » ont été modifiées et </w:t>
      </w:r>
      <w:r w:rsidR="0056223D" w:rsidRPr="0070292F">
        <w:rPr>
          <w:rFonts w:eastAsia="Cambria"/>
          <w:lang w:val="fr-FR"/>
        </w:rPr>
        <w:t>ramenées au nombre de</w:t>
      </w:r>
      <w:r w:rsidRPr="0070292F">
        <w:rPr>
          <w:rFonts w:eastAsia="Cambria"/>
          <w:lang w:val="fr-FR"/>
        </w:rPr>
        <w:t xml:space="preserve"> trois par la loi nº 327 de 198</w:t>
      </w:r>
      <w:r w:rsidR="006603B9" w:rsidRPr="0070292F">
        <w:rPr>
          <w:rFonts w:eastAsia="Cambria"/>
          <w:lang w:val="fr-FR"/>
        </w:rPr>
        <w:t>8</w:t>
      </w:r>
      <w:r w:rsidRPr="0070292F">
        <w:rPr>
          <w:rFonts w:eastAsia="Cambria"/>
          <w:lang w:val="fr-FR"/>
        </w:rPr>
        <w:t>.</w:t>
      </w:r>
    </w:p>
    <w:p w:rsidR="00186E84" w:rsidRPr="0070292F" w:rsidRDefault="00186E84" w:rsidP="0070292F">
      <w:pPr>
        <w:pStyle w:val="ECHRPara"/>
        <w:rPr>
          <w:rFonts w:eastAsia="Cambria"/>
          <w:lang w:val="fr-FR"/>
        </w:rPr>
      </w:pPr>
      <w:r w:rsidRPr="0070292F">
        <w:rPr>
          <w:rFonts w:eastAsia="Cambria"/>
          <w:lang w:val="fr-FR"/>
        </w:rPr>
        <w:fldChar w:fldCharType="begin"/>
      </w:r>
      <w:r w:rsidRPr="0070292F">
        <w:rPr>
          <w:rFonts w:eastAsia="Cambria"/>
          <w:lang w:val="fr-FR"/>
        </w:rPr>
        <w:instrText xml:space="preserve"> SEQ level0 \*arabic </w:instrText>
      </w:r>
      <w:r w:rsidRPr="0070292F">
        <w:rPr>
          <w:rFonts w:eastAsia="Cambria"/>
          <w:lang w:val="fr-FR"/>
        </w:rPr>
        <w:fldChar w:fldCharType="separate"/>
      </w:r>
      <w:r w:rsidR="0070292F" w:rsidRPr="0070292F">
        <w:rPr>
          <w:rFonts w:eastAsia="Cambria"/>
          <w:noProof/>
          <w:lang w:val="fr-FR"/>
        </w:rPr>
        <w:t>44</w:t>
      </w:r>
      <w:r w:rsidRPr="0070292F">
        <w:rPr>
          <w:rFonts w:eastAsia="Cambria"/>
          <w:lang w:val="fr-FR"/>
        </w:rPr>
        <w:fldChar w:fldCharType="end"/>
      </w:r>
      <w:r w:rsidR="006603B9" w:rsidRPr="0070292F">
        <w:rPr>
          <w:rFonts w:eastAsia="Cambria"/>
          <w:lang w:val="fr-FR"/>
        </w:rPr>
        <w:t xml:space="preserve">.  La Cour </w:t>
      </w:r>
      <w:r w:rsidR="00817806" w:rsidRPr="0070292F">
        <w:rPr>
          <w:rFonts w:eastAsia="Cambria"/>
          <w:lang w:val="fr-FR"/>
        </w:rPr>
        <w:t>c</w:t>
      </w:r>
      <w:r w:rsidRPr="0070292F">
        <w:rPr>
          <w:rFonts w:eastAsia="Cambria"/>
          <w:lang w:val="fr-FR"/>
        </w:rPr>
        <w:t xml:space="preserve">onstitutionnelle a constaté à plusieurs reprises </w:t>
      </w:r>
      <w:r w:rsidR="0056223D" w:rsidRPr="0070292F">
        <w:rPr>
          <w:rFonts w:eastAsia="Cambria"/>
          <w:lang w:val="fr-FR"/>
        </w:rPr>
        <w:t>que les</w:t>
      </w:r>
      <w:r w:rsidRPr="0070292F">
        <w:rPr>
          <w:rFonts w:eastAsia="Cambria"/>
          <w:lang w:val="fr-FR"/>
        </w:rPr>
        <w:t xml:space="preserve"> mesures de p</w:t>
      </w:r>
      <w:r w:rsidR="0002688E" w:rsidRPr="0070292F">
        <w:rPr>
          <w:rFonts w:eastAsia="Cambria"/>
          <w:lang w:val="fr-FR"/>
        </w:rPr>
        <w:t>révention prévues par la loi nº </w:t>
      </w:r>
      <w:r w:rsidRPr="0070292F">
        <w:rPr>
          <w:rFonts w:eastAsia="Cambria"/>
          <w:lang w:val="fr-FR"/>
        </w:rPr>
        <w:t xml:space="preserve">1423 de 1956 </w:t>
      </w:r>
      <w:r w:rsidR="0056223D" w:rsidRPr="0070292F">
        <w:rPr>
          <w:rFonts w:eastAsia="Cambria"/>
          <w:lang w:val="fr-FR"/>
        </w:rPr>
        <w:t xml:space="preserve">étaient compatibles </w:t>
      </w:r>
      <w:r w:rsidRPr="0070292F">
        <w:rPr>
          <w:rFonts w:eastAsia="Cambria"/>
          <w:lang w:val="fr-FR"/>
        </w:rPr>
        <w:t>avec les libertés fondamentales.</w:t>
      </w:r>
    </w:p>
    <w:bookmarkStart w:id="16" w:name="para45"/>
    <w:p w:rsidR="00186E84" w:rsidRPr="0070292F" w:rsidRDefault="00186E84" w:rsidP="0070292F">
      <w:pPr>
        <w:pStyle w:val="ECHRPara"/>
        <w:rPr>
          <w:rFonts w:eastAsia="Cambria"/>
          <w:lang w:val="fr-FR"/>
        </w:rPr>
      </w:pPr>
      <w:r w:rsidRPr="0070292F">
        <w:rPr>
          <w:rFonts w:eastAsia="Cambria"/>
          <w:lang w:val="fr-FR"/>
        </w:rPr>
        <w:fldChar w:fldCharType="begin"/>
      </w:r>
      <w:r w:rsidRPr="0070292F">
        <w:rPr>
          <w:rFonts w:eastAsia="Cambria"/>
          <w:lang w:val="fr-FR"/>
        </w:rPr>
        <w:instrText xml:space="preserve"> SEQ level0 \*arabic </w:instrText>
      </w:r>
      <w:r w:rsidRPr="0070292F">
        <w:rPr>
          <w:rFonts w:eastAsia="Cambria"/>
          <w:lang w:val="fr-FR"/>
        </w:rPr>
        <w:fldChar w:fldCharType="separate"/>
      </w:r>
      <w:r w:rsidR="0070292F" w:rsidRPr="0070292F">
        <w:rPr>
          <w:rFonts w:eastAsia="Cambria"/>
          <w:noProof/>
          <w:lang w:val="fr-FR"/>
        </w:rPr>
        <w:t>45</w:t>
      </w:r>
      <w:r w:rsidRPr="0070292F">
        <w:rPr>
          <w:rFonts w:eastAsia="Cambria"/>
          <w:lang w:val="fr-FR"/>
        </w:rPr>
        <w:fldChar w:fldCharType="end"/>
      </w:r>
      <w:bookmarkEnd w:id="16"/>
      <w:r w:rsidR="00E474A3" w:rsidRPr="0070292F">
        <w:rPr>
          <w:rFonts w:eastAsia="Cambria"/>
          <w:lang w:val="fr-FR"/>
        </w:rPr>
        <w:t>.  </w:t>
      </w:r>
      <w:r w:rsidRPr="0070292F">
        <w:rPr>
          <w:rFonts w:eastAsia="Cambria"/>
          <w:lang w:val="fr-FR"/>
        </w:rPr>
        <w:t>Dans l</w:t>
      </w:r>
      <w:r w:rsidR="0070292F" w:rsidRPr="0070292F">
        <w:rPr>
          <w:rFonts w:eastAsia="Cambria"/>
          <w:lang w:val="fr-FR"/>
        </w:rPr>
        <w:t>’</w:t>
      </w:r>
      <w:r w:rsidRPr="0070292F">
        <w:rPr>
          <w:rFonts w:eastAsia="Cambria"/>
          <w:lang w:val="fr-FR"/>
        </w:rPr>
        <w:t>arrêt n</w:t>
      </w:r>
      <w:r w:rsidR="008C1E94" w:rsidRPr="0070292F">
        <w:rPr>
          <w:rFonts w:eastAsia="Cambria"/>
          <w:vertAlign w:val="superscript"/>
          <w:lang w:val="fr-FR"/>
        </w:rPr>
        <w:t>o</w:t>
      </w:r>
      <w:r w:rsidR="001C7648" w:rsidRPr="0070292F">
        <w:rPr>
          <w:rFonts w:eastAsia="Cambria"/>
          <w:lang w:val="fr-FR"/>
        </w:rPr>
        <w:t xml:space="preserve"> </w:t>
      </w:r>
      <w:r w:rsidRPr="0070292F">
        <w:rPr>
          <w:rFonts w:eastAsia="Cambria"/>
          <w:lang w:val="fr-FR"/>
        </w:rPr>
        <w:t xml:space="preserve">2 de 1956, elle </w:t>
      </w:r>
      <w:r w:rsidR="0056223D" w:rsidRPr="0070292F">
        <w:rPr>
          <w:rFonts w:eastAsia="Cambria"/>
          <w:lang w:val="fr-FR"/>
        </w:rPr>
        <w:t xml:space="preserve">se </w:t>
      </w:r>
      <w:r w:rsidRPr="0070292F">
        <w:rPr>
          <w:rFonts w:eastAsia="Cambria"/>
          <w:lang w:val="fr-FR"/>
        </w:rPr>
        <w:t>pronon</w:t>
      </w:r>
      <w:r w:rsidR="0056223D" w:rsidRPr="0070292F">
        <w:rPr>
          <w:rFonts w:eastAsia="Cambria"/>
          <w:lang w:val="fr-FR"/>
        </w:rPr>
        <w:t>ça</w:t>
      </w:r>
      <w:r w:rsidRPr="0070292F">
        <w:rPr>
          <w:rFonts w:eastAsia="Cambria"/>
          <w:lang w:val="fr-FR"/>
        </w:rPr>
        <w:t xml:space="preserve"> ainsi :</w:t>
      </w:r>
    </w:p>
    <w:p w:rsidR="00186E84" w:rsidRPr="0070292F" w:rsidRDefault="00186E84" w:rsidP="0070292F">
      <w:pPr>
        <w:pStyle w:val="ECHRParaQuote"/>
        <w:rPr>
          <w:rFonts w:eastAsia="Calibri"/>
          <w:lang w:val="fr-FR"/>
        </w:rPr>
      </w:pPr>
      <w:r w:rsidRPr="0070292F">
        <w:rPr>
          <w:rFonts w:eastAsia="Calibri"/>
          <w:lang w:val="fr-FR"/>
        </w:rPr>
        <w:t>« Il reste à examiner l</w:t>
      </w:r>
      <w:r w:rsidR="0070292F" w:rsidRPr="0070292F">
        <w:rPr>
          <w:rFonts w:eastAsia="Calibri"/>
          <w:lang w:val="fr-FR"/>
        </w:rPr>
        <w:t>’</w:t>
      </w:r>
      <w:r w:rsidRPr="0070292F">
        <w:rPr>
          <w:rFonts w:eastAsia="Calibri"/>
          <w:lang w:val="fr-FR"/>
        </w:rPr>
        <w:t>article 16 de la Constitution : « Tout citoyen peut circuler et séjourner librement dans toute partie du territoire national, sous réserve des limitations que la loi fixe d</w:t>
      </w:r>
      <w:r w:rsidR="0070292F" w:rsidRPr="0070292F">
        <w:rPr>
          <w:rFonts w:eastAsia="Calibri"/>
          <w:lang w:val="fr-FR"/>
        </w:rPr>
        <w:t>’</w:t>
      </w:r>
      <w:r w:rsidRPr="0070292F">
        <w:rPr>
          <w:rFonts w:eastAsia="Calibri"/>
          <w:lang w:val="fr-FR"/>
        </w:rPr>
        <w:t>une manière générale pour des motifs sanitaires ou de sécurité. Aucune restriction ne peut être déterminée par des raisons d</w:t>
      </w:r>
      <w:r w:rsidR="0070292F" w:rsidRPr="0070292F">
        <w:rPr>
          <w:rFonts w:eastAsia="Calibri"/>
          <w:lang w:val="fr-FR"/>
        </w:rPr>
        <w:t>’</w:t>
      </w:r>
      <w:r w:rsidRPr="0070292F">
        <w:rPr>
          <w:rFonts w:eastAsia="Calibri"/>
          <w:lang w:val="fr-FR"/>
        </w:rPr>
        <w:t>ordre politique ».</w:t>
      </w:r>
    </w:p>
    <w:p w:rsidR="009934AA" w:rsidRPr="0070292F" w:rsidRDefault="009934AA" w:rsidP="0070292F">
      <w:pPr>
        <w:pStyle w:val="ECHRParaQuote"/>
        <w:rPr>
          <w:rFonts w:eastAsia="Cambria"/>
          <w:lang w:val="fr-FR"/>
        </w:rPr>
      </w:pPr>
      <w:r w:rsidRPr="0070292F">
        <w:rPr>
          <w:rFonts w:eastAsia="Calibri"/>
          <w:lang w:val="fr-FR"/>
        </w:rPr>
        <w:t>(</w:t>
      </w:r>
      <w:r w:rsidR="008C1E94" w:rsidRPr="0070292F">
        <w:rPr>
          <w:rFonts w:eastAsia="Calibri"/>
          <w:lang w:val="fr-FR"/>
        </w:rPr>
        <w:t>...</w:t>
      </w:r>
      <w:r w:rsidRPr="0070292F">
        <w:rPr>
          <w:rFonts w:eastAsia="Calibri"/>
          <w:lang w:val="fr-FR"/>
        </w:rPr>
        <w:t>)</w:t>
      </w:r>
    </w:p>
    <w:p w:rsidR="00186E84" w:rsidRPr="0070292F" w:rsidRDefault="00186E84" w:rsidP="0070292F">
      <w:pPr>
        <w:pStyle w:val="ECHRParaQuote"/>
        <w:rPr>
          <w:rFonts w:eastAsia="Calibri"/>
          <w:lang w:val="fr-FR"/>
        </w:rPr>
      </w:pPr>
      <w:r w:rsidRPr="0070292F">
        <w:rPr>
          <w:rFonts w:eastAsia="Calibri"/>
          <w:lang w:val="fr-FR"/>
        </w:rPr>
        <w:t>Il est plus délicat de savoir si les motifs d</w:t>
      </w:r>
      <w:r w:rsidR="0070292F" w:rsidRPr="0070292F">
        <w:rPr>
          <w:rFonts w:eastAsia="Calibri"/>
          <w:lang w:val="fr-FR"/>
        </w:rPr>
        <w:t>’</w:t>
      </w:r>
      <w:r w:rsidRPr="0070292F">
        <w:rPr>
          <w:rFonts w:eastAsia="Calibri"/>
          <w:lang w:val="fr-FR"/>
        </w:rPr>
        <w:t xml:space="preserve">« ordre, </w:t>
      </w:r>
      <w:r w:rsidR="0056223D" w:rsidRPr="0070292F">
        <w:rPr>
          <w:rFonts w:eastAsia="Calibri"/>
          <w:lang w:val="fr-FR"/>
        </w:rPr>
        <w:t xml:space="preserve">de </w:t>
      </w:r>
      <w:r w:rsidRPr="0070292F">
        <w:rPr>
          <w:rFonts w:eastAsia="Calibri"/>
          <w:lang w:val="fr-FR"/>
        </w:rPr>
        <w:t xml:space="preserve">sécurité publique et </w:t>
      </w:r>
      <w:r w:rsidR="0056223D" w:rsidRPr="0070292F">
        <w:rPr>
          <w:rFonts w:eastAsia="Calibri"/>
          <w:lang w:val="fr-FR"/>
        </w:rPr>
        <w:t xml:space="preserve">de </w:t>
      </w:r>
      <w:r w:rsidRPr="0070292F">
        <w:rPr>
          <w:rFonts w:eastAsia="Calibri"/>
          <w:lang w:val="fr-FR"/>
        </w:rPr>
        <w:t>moralité publique » indiqués à l</w:t>
      </w:r>
      <w:r w:rsidR="0070292F" w:rsidRPr="0070292F">
        <w:rPr>
          <w:rFonts w:eastAsia="Calibri"/>
          <w:lang w:val="fr-FR"/>
        </w:rPr>
        <w:t>’</w:t>
      </w:r>
      <w:r w:rsidRPr="0070292F">
        <w:rPr>
          <w:rFonts w:eastAsia="Calibri"/>
          <w:lang w:val="fr-FR"/>
        </w:rPr>
        <w:t>article 157 de la loi relative à la sécurité publique relèvent des « motifs sanitaires ou de sécurité » mentionnés à l</w:t>
      </w:r>
      <w:r w:rsidR="0070292F" w:rsidRPr="0070292F">
        <w:rPr>
          <w:rFonts w:eastAsia="Calibri"/>
          <w:lang w:val="fr-FR"/>
        </w:rPr>
        <w:t>’</w:t>
      </w:r>
      <w:r w:rsidRPr="0070292F">
        <w:rPr>
          <w:rFonts w:eastAsia="Calibri"/>
          <w:lang w:val="fr-FR"/>
        </w:rPr>
        <w:t>article 16.</w:t>
      </w:r>
    </w:p>
    <w:p w:rsidR="005C5744" w:rsidRPr="0070292F" w:rsidRDefault="005C5744" w:rsidP="0070292F">
      <w:pPr>
        <w:pStyle w:val="ECHRParaQuote"/>
        <w:rPr>
          <w:rFonts w:eastAsia="Calibri"/>
          <w:lang w:val="fr-FR"/>
        </w:rPr>
      </w:pPr>
      <w:r w:rsidRPr="0070292F">
        <w:rPr>
          <w:rFonts w:eastAsia="Calibri"/>
          <w:lang w:val="fr-FR"/>
        </w:rPr>
        <w:t>(...)</w:t>
      </w:r>
    </w:p>
    <w:p w:rsidR="00186E84" w:rsidRPr="0070292F" w:rsidRDefault="00186E84" w:rsidP="0070292F">
      <w:pPr>
        <w:pStyle w:val="ECHRParaQuote"/>
        <w:rPr>
          <w:rFonts w:eastAsia="Calibri"/>
          <w:lang w:val="fr-FR"/>
        </w:rPr>
      </w:pPr>
      <w:r w:rsidRPr="0070292F">
        <w:rPr>
          <w:rFonts w:eastAsia="Calibri"/>
          <w:lang w:val="fr-FR"/>
        </w:rPr>
        <w:t>L</w:t>
      </w:r>
      <w:r w:rsidR="0070292F" w:rsidRPr="0070292F">
        <w:rPr>
          <w:rFonts w:eastAsia="Calibri"/>
          <w:lang w:val="fr-FR"/>
        </w:rPr>
        <w:t>’</w:t>
      </w:r>
      <w:r w:rsidRPr="0070292F">
        <w:rPr>
          <w:rFonts w:eastAsia="Calibri"/>
          <w:lang w:val="fr-FR"/>
        </w:rPr>
        <w:t xml:space="preserve">interprétation selon laquelle la « sécurité » concerne </w:t>
      </w:r>
      <w:r w:rsidR="0056223D" w:rsidRPr="0070292F">
        <w:rPr>
          <w:rFonts w:eastAsia="Calibri"/>
          <w:lang w:val="fr-FR"/>
        </w:rPr>
        <w:t xml:space="preserve">uniquement </w:t>
      </w:r>
      <w:r w:rsidRPr="0070292F">
        <w:rPr>
          <w:rFonts w:eastAsia="Calibri"/>
          <w:lang w:val="fr-FR"/>
        </w:rPr>
        <w:t>l</w:t>
      </w:r>
      <w:r w:rsidR="0070292F" w:rsidRPr="0070292F">
        <w:rPr>
          <w:rFonts w:eastAsia="Calibri"/>
          <w:lang w:val="fr-FR"/>
        </w:rPr>
        <w:t>’</w:t>
      </w:r>
      <w:r w:rsidRPr="0070292F">
        <w:rPr>
          <w:rFonts w:eastAsia="Calibri"/>
          <w:lang w:val="fr-FR"/>
        </w:rPr>
        <w:t xml:space="preserve">intégrité physique doit être exclue, car trop restrictive ; il semble </w:t>
      </w:r>
      <w:r w:rsidR="0056223D" w:rsidRPr="0070292F">
        <w:rPr>
          <w:rFonts w:eastAsia="Calibri"/>
          <w:lang w:val="fr-FR"/>
        </w:rPr>
        <w:t xml:space="preserve">dès lors </w:t>
      </w:r>
      <w:r w:rsidRPr="0070292F">
        <w:rPr>
          <w:rFonts w:eastAsia="Calibri"/>
          <w:lang w:val="fr-FR"/>
        </w:rPr>
        <w:t>rationnel et conforme à l</w:t>
      </w:r>
      <w:r w:rsidR="0070292F" w:rsidRPr="0070292F">
        <w:rPr>
          <w:rFonts w:eastAsia="Calibri"/>
          <w:lang w:val="fr-FR"/>
        </w:rPr>
        <w:t>’</w:t>
      </w:r>
      <w:r w:rsidRPr="0070292F">
        <w:rPr>
          <w:rFonts w:eastAsia="Calibri"/>
          <w:lang w:val="fr-FR"/>
        </w:rPr>
        <w:t xml:space="preserve">esprit de la Constitution de donner au terme « sécurité » </w:t>
      </w:r>
      <w:r w:rsidR="000D3B70" w:rsidRPr="0070292F">
        <w:rPr>
          <w:rFonts w:eastAsia="Calibri"/>
          <w:lang w:val="fr-FR"/>
        </w:rPr>
        <w:t>le sens de la</w:t>
      </w:r>
      <w:r w:rsidRPr="0070292F">
        <w:rPr>
          <w:rFonts w:eastAsia="Calibri"/>
          <w:lang w:val="fr-FR"/>
        </w:rPr>
        <w:t xml:space="preserve"> situation dans laquelle </w:t>
      </w:r>
      <w:r w:rsidR="000D3B70" w:rsidRPr="0070292F">
        <w:rPr>
          <w:rFonts w:eastAsia="Calibri"/>
          <w:lang w:val="fr-FR"/>
        </w:rPr>
        <w:t>l</w:t>
      </w:r>
      <w:r w:rsidR="0070292F" w:rsidRPr="0070292F">
        <w:rPr>
          <w:rFonts w:eastAsia="Calibri"/>
          <w:lang w:val="fr-FR"/>
        </w:rPr>
        <w:t>’</w:t>
      </w:r>
      <w:r w:rsidRPr="0070292F">
        <w:rPr>
          <w:rFonts w:eastAsia="Calibri"/>
          <w:lang w:val="fr-FR"/>
        </w:rPr>
        <w:t>exercice pacifique des droits et libertés que la Constitution garantit avec tant de force est assuré aux citoyens, dans la mesure du possible. Il y a donc sécurité lorsque le citoyen peut exercer son activité légale sans être menacé d</w:t>
      </w:r>
      <w:r w:rsidR="0070292F" w:rsidRPr="0070292F">
        <w:rPr>
          <w:rFonts w:eastAsia="Calibri"/>
          <w:lang w:val="fr-FR"/>
        </w:rPr>
        <w:t>’</w:t>
      </w:r>
      <w:r w:rsidRPr="0070292F">
        <w:rPr>
          <w:rFonts w:eastAsia="Calibri"/>
          <w:lang w:val="fr-FR"/>
        </w:rPr>
        <w:t xml:space="preserve">atteintes contre sa personnalité physique et morale. </w:t>
      </w:r>
      <w:r w:rsidR="000D3B70" w:rsidRPr="0070292F">
        <w:rPr>
          <w:rFonts w:eastAsia="Calibri"/>
          <w:lang w:val="fr-FR"/>
        </w:rPr>
        <w:t>L</w:t>
      </w:r>
      <w:r w:rsidRPr="0070292F">
        <w:rPr>
          <w:rFonts w:eastAsia="Calibri"/>
          <w:lang w:val="fr-FR"/>
        </w:rPr>
        <w:t xml:space="preserve">e « bien vivre ensemble » </w:t>
      </w:r>
      <w:r w:rsidR="000D3B70" w:rsidRPr="0070292F">
        <w:rPr>
          <w:rFonts w:eastAsia="Calibri"/>
          <w:lang w:val="fr-FR"/>
        </w:rPr>
        <w:t>est indéniablement</w:t>
      </w:r>
      <w:r w:rsidRPr="0070292F">
        <w:rPr>
          <w:rFonts w:eastAsia="Calibri"/>
          <w:lang w:val="fr-FR"/>
        </w:rPr>
        <w:t xml:space="preserve"> le but </w:t>
      </w:r>
      <w:r w:rsidR="000D3B70" w:rsidRPr="0070292F">
        <w:rPr>
          <w:rFonts w:eastAsia="Calibri"/>
          <w:lang w:val="fr-FR"/>
        </w:rPr>
        <w:t xml:space="preserve">recherché par </w:t>
      </w:r>
      <w:r w:rsidRPr="0070292F">
        <w:rPr>
          <w:rFonts w:eastAsia="Calibri"/>
          <w:lang w:val="fr-FR"/>
        </w:rPr>
        <w:t>un État de droit, libre et démocratique.</w:t>
      </w:r>
    </w:p>
    <w:p w:rsidR="00186E84" w:rsidRPr="0070292F" w:rsidRDefault="00186E84" w:rsidP="0070292F">
      <w:pPr>
        <w:pStyle w:val="ECHRParaQuote"/>
        <w:rPr>
          <w:rFonts w:eastAsia="Calibri"/>
          <w:lang w:val="fr-FR"/>
        </w:rPr>
      </w:pPr>
      <w:r w:rsidRPr="0070292F">
        <w:rPr>
          <w:rFonts w:eastAsia="Calibri"/>
          <w:lang w:val="fr-FR"/>
        </w:rPr>
        <w:lastRenderedPageBreak/>
        <w:t>Cela étant, il ne fait aucun doute que « les personnes dangereuses pour l</w:t>
      </w:r>
      <w:r w:rsidR="0070292F" w:rsidRPr="0070292F">
        <w:rPr>
          <w:rFonts w:eastAsia="Calibri"/>
          <w:lang w:val="fr-FR"/>
        </w:rPr>
        <w:t>’</w:t>
      </w:r>
      <w:r w:rsidRPr="0070292F">
        <w:rPr>
          <w:rFonts w:eastAsia="Calibri"/>
          <w:lang w:val="fr-FR"/>
        </w:rPr>
        <w:t>ordre et la sécurité publique ou pour la moralité publique » (article 157 de la loi relative à la sécurité publique) constituent une menace pour la « sécurité » telle que définie ci-dessus et telle qu</w:t>
      </w:r>
      <w:r w:rsidR="0070292F" w:rsidRPr="0070292F">
        <w:rPr>
          <w:rFonts w:eastAsia="Calibri"/>
          <w:lang w:val="fr-FR"/>
        </w:rPr>
        <w:t>’</w:t>
      </w:r>
      <w:r w:rsidRPr="0070292F">
        <w:rPr>
          <w:rFonts w:eastAsia="Calibri"/>
          <w:lang w:val="fr-FR"/>
        </w:rPr>
        <w:t>entendue à l</w:t>
      </w:r>
      <w:r w:rsidR="0070292F" w:rsidRPr="0070292F">
        <w:rPr>
          <w:rFonts w:eastAsia="Calibri"/>
          <w:lang w:val="fr-FR"/>
        </w:rPr>
        <w:t>’</w:t>
      </w:r>
      <w:r w:rsidRPr="0070292F">
        <w:rPr>
          <w:rFonts w:eastAsia="Calibri"/>
          <w:lang w:val="fr-FR"/>
        </w:rPr>
        <w:t>article 16 de la Constitution.</w:t>
      </w:r>
    </w:p>
    <w:p w:rsidR="00186E84" w:rsidRPr="0070292F" w:rsidRDefault="00186E84" w:rsidP="0070292F">
      <w:pPr>
        <w:pStyle w:val="ECHRParaQuote"/>
        <w:rPr>
          <w:rFonts w:eastAsia="Calibri"/>
          <w:lang w:val="fr-FR"/>
        </w:rPr>
      </w:pPr>
      <w:r w:rsidRPr="0070292F">
        <w:rPr>
          <w:rFonts w:eastAsia="Calibri"/>
          <w:lang w:val="fr-FR"/>
        </w:rPr>
        <w:t>En ce qui concerne la moralité, il ne s</w:t>
      </w:r>
      <w:r w:rsidR="0070292F" w:rsidRPr="0070292F">
        <w:rPr>
          <w:rFonts w:eastAsia="Calibri"/>
          <w:lang w:val="fr-FR"/>
        </w:rPr>
        <w:t>’</w:t>
      </w:r>
      <w:r w:rsidRPr="0070292F">
        <w:rPr>
          <w:rFonts w:eastAsia="Calibri"/>
          <w:lang w:val="fr-FR"/>
        </w:rPr>
        <w:t>agit certes pas de prendre en compte les convictions intimes du citoyen, qui sont en elles-mêmes incoercibles, ni les théories en matière de morale dont la manifestation, comme tout autre manifestation de la pensée, est libre ou régie par d</w:t>
      </w:r>
      <w:r w:rsidR="0070292F" w:rsidRPr="0070292F">
        <w:rPr>
          <w:rFonts w:eastAsia="Calibri"/>
          <w:lang w:val="fr-FR"/>
        </w:rPr>
        <w:t>’</w:t>
      </w:r>
      <w:r w:rsidRPr="0070292F">
        <w:rPr>
          <w:rFonts w:eastAsia="Calibri"/>
          <w:lang w:val="fr-FR"/>
        </w:rPr>
        <w:t xml:space="preserve">autres normes juridiques. </w:t>
      </w:r>
      <w:r w:rsidR="000D3B70" w:rsidRPr="0070292F">
        <w:rPr>
          <w:rFonts w:eastAsia="Calibri"/>
          <w:lang w:val="fr-FR"/>
        </w:rPr>
        <w:t xml:space="preserve">Il demeure que </w:t>
      </w:r>
      <w:r w:rsidRPr="0070292F">
        <w:rPr>
          <w:rFonts w:eastAsia="Calibri"/>
          <w:lang w:val="fr-FR"/>
        </w:rPr>
        <w:t>les citoyens ont le droit de ne pas être troublés et offensés par des manifestations immorales, lorsque celles-ci sont également préjudiciables à la santé</w:t>
      </w:r>
      <w:r w:rsidR="000D3B70" w:rsidRPr="0070292F">
        <w:rPr>
          <w:rFonts w:eastAsia="Calibri"/>
          <w:lang w:val="fr-FR"/>
        </w:rPr>
        <w:t xml:space="preserve"> – mentionnée </w:t>
      </w:r>
      <w:r w:rsidRPr="0070292F">
        <w:rPr>
          <w:rFonts w:eastAsia="Calibri"/>
          <w:lang w:val="fr-FR"/>
        </w:rPr>
        <w:t>à l</w:t>
      </w:r>
      <w:r w:rsidR="0070292F" w:rsidRPr="0070292F">
        <w:rPr>
          <w:rFonts w:eastAsia="Calibri"/>
          <w:lang w:val="fr-FR"/>
        </w:rPr>
        <w:t>’</w:t>
      </w:r>
      <w:r w:rsidRPr="0070292F">
        <w:rPr>
          <w:rFonts w:eastAsia="Calibri"/>
          <w:lang w:val="fr-FR"/>
        </w:rPr>
        <w:t>article 16 de la Constitution</w:t>
      </w:r>
      <w:r w:rsidR="000D3B70" w:rsidRPr="0070292F">
        <w:rPr>
          <w:rFonts w:eastAsia="Calibri"/>
          <w:lang w:val="fr-FR"/>
        </w:rPr>
        <w:t> –</w:t>
      </w:r>
      <w:r w:rsidRPr="0070292F">
        <w:rPr>
          <w:rFonts w:eastAsia="Calibri"/>
          <w:lang w:val="fr-FR"/>
        </w:rPr>
        <w:t xml:space="preserve"> ou </w:t>
      </w:r>
      <w:r w:rsidR="000D3B70" w:rsidRPr="0070292F">
        <w:rPr>
          <w:rFonts w:eastAsia="Calibri"/>
          <w:lang w:val="fr-FR"/>
        </w:rPr>
        <w:t>qu</w:t>
      </w:r>
      <w:r w:rsidR="0070292F" w:rsidRPr="0070292F">
        <w:rPr>
          <w:rFonts w:eastAsia="Calibri"/>
          <w:lang w:val="fr-FR"/>
        </w:rPr>
        <w:t>’</w:t>
      </w:r>
      <w:r w:rsidR="000D3B70" w:rsidRPr="0070292F">
        <w:rPr>
          <w:rFonts w:eastAsia="Calibri"/>
          <w:lang w:val="fr-FR"/>
        </w:rPr>
        <w:t xml:space="preserve">elles </w:t>
      </w:r>
      <w:r w:rsidRPr="0070292F">
        <w:rPr>
          <w:rFonts w:eastAsia="Calibri"/>
          <w:lang w:val="fr-FR"/>
        </w:rPr>
        <w:t xml:space="preserve">créent </w:t>
      </w:r>
      <w:r w:rsidR="000D3B70" w:rsidRPr="0070292F">
        <w:rPr>
          <w:rFonts w:eastAsia="Calibri"/>
          <w:lang w:val="fr-FR"/>
        </w:rPr>
        <w:t>un</w:t>
      </w:r>
      <w:r w:rsidRPr="0070292F">
        <w:rPr>
          <w:rFonts w:eastAsia="Calibri"/>
          <w:lang w:val="fr-FR"/>
        </w:rPr>
        <w:t xml:space="preserve"> environnement</w:t>
      </w:r>
      <w:r w:rsidR="000D3B70" w:rsidRPr="0070292F">
        <w:rPr>
          <w:rFonts w:eastAsia="Calibri"/>
          <w:lang w:val="fr-FR"/>
        </w:rPr>
        <w:t xml:space="preserve"> propice </w:t>
      </w:r>
      <w:r w:rsidRPr="0070292F">
        <w:rPr>
          <w:rFonts w:eastAsia="Calibri"/>
          <w:lang w:val="fr-FR"/>
        </w:rPr>
        <w:t>au développement de la délinquance commune.</w:t>
      </w:r>
    </w:p>
    <w:p w:rsidR="00186E84" w:rsidRPr="0070292F" w:rsidRDefault="00186E84" w:rsidP="0070292F">
      <w:pPr>
        <w:pStyle w:val="ECHRParaQuote"/>
        <w:rPr>
          <w:rFonts w:eastAsia="Calibri"/>
          <w:lang w:val="fr-FR"/>
        </w:rPr>
      </w:pPr>
      <w:r w:rsidRPr="0070292F">
        <w:rPr>
          <w:rFonts w:eastAsia="Calibri"/>
          <w:lang w:val="fr-FR"/>
        </w:rPr>
        <w:t>En ce qui concerne l</w:t>
      </w:r>
      <w:r w:rsidR="0070292F" w:rsidRPr="0070292F">
        <w:rPr>
          <w:rFonts w:eastAsia="Calibri"/>
          <w:lang w:val="fr-FR"/>
        </w:rPr>
        <w:t>’</w:t>
      </w:r>
      <w:r w:rsidRPr="0070292F">
        <w:rPr>
          <w:rFonts w:eastAsia="Calibri"/>
          <w:lang w:val="fr-FR"/>
        </w:rPr>
        <w:t xml:space="preserve">ordre public, sans entrer dans </w:t>
      </w:r>
      <w:r w:rsidR="000D3B70" w:rsidRPr="0070292F">
        <w:rPr>
          <w:rFonts w:eastAsia="Calibri"/>
          <w:lang w:val="fr-FR"/>
        </w:rPr>
        <w:t>un débat</w:t>
      </w:r>
      <w:r w:rsidRPr="0070292F">
        <w:rPr>
          <w:rFonts w:eastAsia="Calibri"/>
          <w:lang w:val="fr-FR"/>
        </w:rPr>
        <w:t xml:space="preserve"> théorique sur la définition de </w:t>
      </w:r>
      <w:r w:rsidR="000D3B70" w:rsidRPr="0070292F">
        <w:rPr>
          <w:rFonts w:eastAsia="Calibri"/>
          <w:lang w:val="fr-FR"/>
        </w:rPr>
        <w:t>cette notion</w:t>
      </w:r>
      <w:r w:rsidRPr="0070292F">
        <w:rPr>
          <w:rFonts w:eastAsia="Calibri"/>
          <w:lang w:val="fr-FR"/>
        </w:rPr>
        <w:t>, il suffit de préciser que, au sens de l</w:t>
      </w:r>
      <w:r w:rsidR="0070292F" w:rsidRPr="0070292F">
        <w:rPr>
          <w:rFonts w:eastAsia="Calibri"/>
          <w:lang w:val="fr-FR"/>
        </w:rPr>
        <w:t>’</w:t>
      </w:r>
      <w:r w:rsidRPr="0070292F">
        <w:rPr>
          <w:rFonts w:eastAsia="Calibri"/>
          <w:lang w:val="fr-FR"/>
        </w:rPr>
        <w:t>article 16 de la Constitution et de l</w:t>
      </w:r>
      <w:r w:rsidR="0070292F" w:rsidRPr="0070292F">
        <w:rPr>
          <w:rFonts w:eastAsia="Calibri"/>
          <w:lang w:val="fr-FR"/>
        </w:rPr>
        <w:t>’</w:t>
      </w:r>
      <w:r w:rsidRPr="0070292F">
        <w:rPr>
          <w:rFonts w:eastAsia="Calibri"/>
          <w:lang w:val="fr-FR"/>
        </w:rPr>
        <w:t xml:space="preserve">article 157 de la loi relative à la sécurité publique, la dangerosité </w:t>
      </w:r>
      <w:r w:rsidR="000D3B70" w:rsidRPr="0070292F">
        <w:rPr>
          <w:rFonts w:eastAsia="Calibri"/>
          <w:lang w:val="fr-FR"/>
        </w:rPr>
        <w:t xml:space="preserve">pour </w:t>
      </w:r>
      <w:r w:rsidRPr="0070292F">
        <w:rPr>
          <w:rFonts w:eastAsia="Calibri"/>
          <w:lang w:val="fr-FR"/>
        </w:rPr>
        <w:t>l</w:t>
      </w:r>
      <w:r w:rsidR="0070292F" w:rsidRPr="0070292F">
        <w:rPr>
          <w:rFonts w:eastAsia="Calibri"/>
          <w:lang w:val="fr-FR"/>
        </w:rPr>
        <w:t>’</w:t>
      </w:r>
      <w:r w:rsidRPr="0070292F">
        <w:rPr>
          <w:rFonts w:eastAsia="Calibri"/>
          <w:lang w:val="fr-FR"/>
        </w:rPr>
        <w:t xml:space="preserve">ordre public ne peut </w:t>
      </w:r>
      <w:r w:rsidR="000D3B70" w:rsidRPr="0070292F">
        <w:rPr>
          <w:rFonts w:eastAsia="Calibri"/>
          <w:lang w:val="fr-FR"/>
        </w:rPr>
        <w:t>résulter</w:t>
      </w:r>
      <w:r w:rsidRPr="0070292F">
        <w:rPr>
          <w:rFonts w:eastAsia="Calibri"/>
          <w:lang w:val="fr-FR"/>
        </w:rPr>
        <w:t xml:space="preserve"> de simples manifestations </w:t>
      </w:r>
      <w:r w:rsidR="000D3B70" w:rsidRPr="0070292F">
        <w:rPr>
          <w:rFonts w:eastAsia="Calibri"/>
          <w:lang w:val="fr-FR"/>
        </w:rPr>
        <w:t>à caractère</w:t>
      </w:r>
      <w:r w:rsidRPr="0070292F">
        <w:rPr>
          <w:rFonts w:eastAsia="Calibri"/>
          <w:lang w:val="fr-FR"/>
        </w:rPr>
        <w:t xml:space="preserve"> social ou politique</w:t>
      </w:r>
      <w:r w:rsidR="00885B08" w:rsidRPr="0070292F">
        <w:rPr>
          <w:rFonts w:eastAsia="Calibri"/>
          <w:lang w:val="fr-FR"/>
        </w:rPr>
        <w:t xml:space="preserve"> – </w:t>
      </w:r>
      <w:r w:rsidRPr="0070292F">
        <w:rPr>
          <w:rFonts w:eastAsia="Calibri"/>
          <w:lang w:val="fr-FR"/>
        </w:rPr>
        <w:t>qui sont régies par d</w:t>
      </w:r>
      <w:r w:rsidR="0070292F" w:rsidRPr="0070292F">
        <w:rPr>
          <w:rFonts w:eastAsia="Calibri"/>
          <w:lang w:val="fr-FR"/>
        </w:rPr>
        <w:t>’</w:t>
      </w:r>
      <w:r w:rsidRPr="0070292F">
        <w:rPr>
          <w:rFonts w:eastAsia="Calibri"/>
          <w:lang w:val="fr-FR"/>
        </w:rPr>
        <w:t>autres normes juridiques</w:t>
      </w:r>
      <w:r w:rsidR="00885B08" w:rsidRPr="0070292F">
        <w:rPr>
          <w:rFonts w:eastAsia="Calibri"/>
          <w:lang w:val="fr-FR"/>
        </w:rPr>
        <w:t> –</w:t>
      </w:r>
      <w:r w:rsidRPr="0070292F">
        <w:rPr>
          <w:rFonts w:eastAsia="Calibri"/>
          <w:lang w:val="fr-FR"/>
        </w:rPr>
        <w:t xml:space="preserve">, mais doit </w:t>
      </w:r>
      <w:r w:rsidR="000D3B70" w:rsidRPr="0070292F">
        <w:rPr>
          <w:rFonts w:eastAsia="Calibri"/>
          <w:lang w:val="fr-FR"/>
        </w:rPr>
        <w:t>résulter de</w:t>
      </w:r>
      <w:r w:rsidRPr="0070292F">
        <w:rPr>
          <w:rFonts w:eastAsia="Calibri"/>
          <w:lang w:val="fr-FR"/>
        </w:rPr>
        <w:t xml:space="preserve"> manifestations extérieures d</w:t>
      </w:r>
      <w:r w:rsidR="0070292F" w:rsidRPr="0070292F">
        <w:rPr>
          <w:rFonts w:eastAsia="Calibri"/>
          <w:lang w:val="fr-FR"/>
        </w:rPr>
        <w:t>’</w:t>
      </w:r>
      <w:r w:rsidRPr="0070292F">
        <w:rPr>
          <w:rFonts w:eastAsia="Calibri"/>
          <w:lang w:val="fr-FR"/>
        </w:rPr>
        <w:t xml:space="preserve">intolérance ou de rébellion </w:t>
      </w:r>
      <w:r w:rsidR="000D3B70" w:rsidRPr="0070292F">
        <w:rPr>
          <w:rFonts w:eastAsia="Calibri"/>
          <w:lang w:val="fr-FR"/>
        </w:rPr>
        <w:t>vis-à-vis</w:t>
      </w:r>
      <w:r w:rsidRPr="0070292F">
        <w:rPr>
          <w:rFonts w:eastAsia="Calibri"/>
          <w:lang w:val="fr-FR"/>
        </w:rPr>
        <w:t xml:space="preserve"> des règles législatives et des ordres légitimes de l</w:t>
      </w:r>
      <w:r w:rsidR="0070292F" w:rsidRPr="0070292F">
        <w:rPr>
          <w:rFonts w:eastAsia="Calibri"/>
          <w:lang w:val="fr-FR"/>
        </w:rPr>
        <w:t>’</w:t>
      </w:r>
      <w:r w:rsidRPr="0070292F">
        <w:rPr>
          <w:rFonts w:eastAsia="Calibri"/>
          <w:lang w:val="fr-FR"/>
        </w:rPr>
        <w:t xml:space="preserve">autorité publique, manifestations qui peuvent facilement créer des situations </w:t>
      </w:r>
      <w:r w:rsidR="000D3B70" w:rsidRPr="0070292F">
        <w:rPr>
          <w:rFonts w:eastAsia="Calibri"/>
          <w:lang w:val="fr-FR"/>
        </w:rPr>
        <w:t>d</w:t>
      </w:r>
      <w:r w:rsidR="0070292F" w:rsidRPr="0070292F">
        <w:rPr>
          <w:rFonts w:eastAsia="Calibri"/>
          <w:lang w:val="fr-FR"/>
        </w:rPr>
        <w:t>’</w:t>
      </w:r>
      <w:r w:rsidR="000D3B70" w:rsidRPr="0070292F">
        <w:rPr>
          <w:rFonts w:eastAsia="Calibri"/>
          <w:lang w:val="fr-FR"/>
        </w:rPr>
        <w:t xml:space="preserve">alerte </w:t>
      </w:r>
      <w:r w:rsidRPr="0070292F">
        <w:rPr>
          <w:rFonts w:eastAsia="Calibri"/>
          <w:lang w:val="fr-FR"/>
        </w:rPr>
        <w:t xml:space="preserve">et des violences </w:t>
      </w:r>
      <w:r w:rsidR="000D3B70" w:rsidRPr="0070292F">
        <w:rPr>
          <w:rFonts w:eastAsia="Calibri"/>
          <w:lang w:val="fr-FR"/>
        </w:rPr>
        <w:t xml:space="preserve">assurément </w:t>
      </w:r>
      <w:r w:rsidRPr="0070292F">
        <w:rPr>
          <w:rFonts w:eastAsia="Calibri"/>
          <w:lang w:val="fr-FR"/>
        </w:rPr>
        <w:t>menaçantes pour la « sécurité » de l</w:t>
      </w:r>
      <w:r w:rsidR="0070292F" w:rsidRPr="0070292F">
        <w:rPr>
          <w:rFonts w:eastAsia="Calibri"/>
          <w:lang w:val="fr-FR"/>
        </w:rPr>
        <w:t>’</w:t>
      </w:r>
      <w:r w:rsidRPr="0070292F">
        <w:rPr>
          <w:rFonts w:eastAsia="Calibri"/>
          <w:lang w:val="fr-FR"/>
        </w:rPr>
        <w:t>ensemble des citoyens, dont la liberté de circulation finirait par être limitée.</w:t>
      </w:r>
    </w:p>
    <w:p w:rsidR="00186E84" w:rsidRPr="0070292F" w:rsidRDefault="00186E84" w:rsidP="0070292F">
      <w:pPr>
        <w:pStyle w:val="ECHRParaQuote"/>
        <w:rPr>
          <w:rFonts w:eastAsia="Calibri"/>
          <w:lang w:val="fr-FR"/>
        </w:rPr>
      </w:pPr>
      <w:r w:rsidRPr="0070292F">
        <w:rPr>
          <w:rFonts w:eastAsia="Calibri"/>
          <w:lang w:val="fr-FR"/>
        </w:rPr>
        <w:t>En résumé, dans le texte de l</w:t>
      </w:r>
      <w:r w:rsidR="0070292F" w:rsidRPr="0070292F">
        <w:rPr>
          <w:rFonts w:eastAsia="Calibri"/>
          <w:lang w:val="fr-FR"/>
        </w:rPr>
        <w:t>’</w:t>
      </w:r>
      <w:r w:rsidRPr="0070292F">
        <w:rPr>
          <w:rFonts w:eastAsia="Calibri"/>
          <w:lang w:val="fr-FR"/>
        </w:rPr>
        <w:t xml:space="preserve">article 16 de la Constitution, </w:t>
      </w:r>
      <w:r w:rsidR="000D3B70" w:rsidRPr="0070292F">
        <w:rPr>
          <w:rFonts w:eastAsia="Calibri"/>
          <w:lang w:val="fr-FR"/>
        </w:rPr>
        <w:t>l</w:t>
      </w:r>
      <w:r w:rsidR="0070292F" w:rsidRPr="0070292F">
        <w:rPr>
          <w:rFonts w:eastAsia="Calibri"/>
          <w:lang w:val="fr-FR"/>
        </w:rPr>
        <w:t>’</w:t>
      </w:r>
      <w:r w:rsidR="000D3B70" w:rsidRPr="0070292F">
        <w:rPr>
          <w:rFonts w:eastAsia="Calibri"/>
          <w:lang w:val="fr-FR"/>
        </w:rPr>
        <w:t>expression</w:t>
      </w:r>
      <w:r w:rsidRPr="0070292F">
        <w:rPr>
          <w:rFonts w:eastAsia="Calibri"/>
          <w:lang w:val="fr-FR"/>
        </w:rPr>
        <w:t xml:space="preserve"> « motifs sanitaires ou de sécurité » doit être interprété</w:t>
      </w:r>
      <w:r w:rsidR="000D3B70" w:rsidRPr="0070292F">
        <w:rPr>
          <w:rFonts w:eastAsia="Calibri"/>
          <w:lang w:val="fr-FR"/>
        </w:rPr>
        <w:t>e</w:t>
      </w:r>
      <w:r w:rsidRPr="0070292F">
        <w:rPr>
          <w:rFonts w:eastAsia="Calibri"/>
          <w:lang w:val="fr-FR"/>
        </w:rPr>
        <w:t xml:space="preserve"> </w:t>
      </w:r>
      <w:r w:rsidR="000D3B70" w:rsidRPr="0070292F">
        <w:rPr>
          <w:rFonts w:eastAsia="Calibri"/>
          <w:lang w:val="fr-FR"/>
        </w:rPr>
        <w:t>comme visant les</w:t>
      </w:r>
      <w:r w:rsidRPr="0070292F">
        <w:rPr>
          <w:rFonts w:eastAsia="Calibri"/>
          <w:lang w:val="fr-FR"/>
        </w:rPr>
        <w:t xml:space="preserve"> faits qui </w:t>
      </w:r>
      <w:r w:rsidR="000D3B70" w:rsidRPr="0070292F">
        <w:rPr>
          <w:rFonts w:eastAsia="Calibri"/>
          <w:lang w:val="fr-FR"/>
        </w:rPr>
        <w:t xml:space="preserve">représentent </w:t>
      </w:r>
      <w:r w:rsidRPr="0070292F">
        <w:rPr>
          <w:rFonts w:eastAsia="Calibri"/>
          <w:lang w:val="fr-FR"/>
        </w:rPr>
        <w:t xml:space="preserve">un danger pour la sécurité des citoyens, telle </w:t>
      </w:r>
      <w:r w:rsidR="000D3B70" w:rsidRPr="0070292F">
        <w:rPr>
          <w:rFonts w:eastAsia="Calibri"/>
          <w:lang w:val="fr-FR"/>
        </w:rPr>
        <w:t>que</w:t>
      </w:r>
      <w:r w:rsidRPr="0070292F">
        <w:rPr>
          <w:rFonts w:eastAsia="Calibri"/>
          <w:lang w:val="fr-FR"/>
        </w:rPr>
        <w:t xml:space="preserve"> définie ci-dessus.</w:t>
      </w:r>
    </w:p>
    <w:p w:rsidR="00186E84" w:rsidRPr="0070292F" w:rsidRDefault="00186E84" w:rsidP="0070292F">
      <w:pPr>
        <w:pStyle w:val="ECHRParaQuote"/>
        <w:rPr>
          <w:rFonts w:eastAsia="Calibri"/>
          <w:lang w:val="fr-FR"/>
        </w:rPr>
      </w:pPr>
      <w:r w:rsidRPr="0070292F">
        <w:rPr>
          <w:rFonts w:eastAsia="Calibri"/>
          <w:lang w:val="fr-FR"/>
        </w:rPr>
        <w:t xml:space="preserve">Cette conclusion est également admise par la jurisprudence </w:t>
      </w:r>
      <w:r w:rsidR="000D3B70" w:rsidRPr="0070292F">
        <w:rPr>
          <w:rFonts w:eastAsia="Calibri"/>
          <w:lang w:val="fr-FR"/>
        </w:rPr>
        <w:t xml:space="preserve">quasi </w:t>
      </w:r>
      <w:r w:rsidRPr="0070292F">
        <w:rPr>
          <w:rFonts w:eastAsia="Calibri"/>
          <w:lang w:val="fr-FR"/>
        </w:rPr>
        <w:t>constante de la Cour de cassation et par une large part de la doctrine. En effet, il a été observé que la formule générique de l</w:t>
      </w:r>
      <w:r w:rsidR="0070292F" w:rsidRPr="0070292F">
        <w:rPr>
          <w:rFonts w:eastAsia="Calibri"/>
          <w:lang w:val="fr-FR"/>
        </w:rPr>
        <w:t>’</w:t>
      </w:r>
      <w:r w:rsidRPr="0070292F">
        <w:rPr>
          <w:rFonts w:eastAsia="Calibri"/>
          <w:lang w:val="fr-FR"/>
        </w:rPr>
        <w:t xml:space="preserve">article 16 </w:t>
      </w:r>
      <w:r w:rsidR="000D3B70" w:rsidRPr="0070292F">
        <w:rPr>
          <w:rFonts w:eastAsia="Calibri"/>
          <w:lang w:val="fr-FR"/>
        </w:rPr>
        <w:t xml:space="preserve">vise </w:t>
      </w:r>
      <w:r w:rsidRPr="0070292F">
        <w:rPr>
          <w:rFonts w:eastAsia="Calibri"/>
          <w:lang w:val="fr-FR"/>
        </w:rPr>
        <w:t xml:space="preserve">une infinité de cas difficilement prévisibles, qui peuvent être </w:t>
      </w:r>
      <w:r w:rsidR="000D3B70" w:rsidRPr="0070292F">
        <w:rPr>
          <w:rFonts w:eastAsia="Calibri"/>
          <w:lang w:val="fr-FR"/>
        </w:rPr>
        <w:t xml:space="preserve">englobés </w:t>
      </w:r>
      <w:r w:rsidRPr="0070292F">
        <w:rPr>
          <w:rFonts w:eastAsia="Calibri"/>
          <w:lang w:val="fr-FR"/>
        </w:rPr>
        <w:t xml:space="preserve">dans </w:t>
      </w:r>
      <w:r w:rsidR="000D3B70" w:rsidRPr="0070292F">
        <w:rPr>
          <w:rFonts w:eastAsia="Calibri"/>
          <w:lang w:val="fr-FR"/>
        </w:rPr>
        <w:t>l</w:t>
      </w:r>
      <w:r w:rsidR="0070292F" w:rsidRPr="0070292F">
        <w:rPr>
          <w:rFonts w:eastAsia="Calibri"/>
          <w:lang w:val="fr-FR"/>
        </w:rPr>
        <w:t>’</w:t>
      </w:r>
      <w:r w:rsidR="000D3B70" w:rsidRPr="0070292F">
        <w:rPr>
          <w:rFonts w:eastAsia="Calibri"/>
          <w:lang w:val="fr-FR"/>
        </w:rPr>
        <w:t>expression</w:t>
      </w:r>
      <w:r w:rsidRPr="0070292F">
        <w:rPr>
          <w:rFonts w:eastAsia="Calibri"/>
          <w:lang w:val="fr-FR"/>
        </w:rPr>
        <w:t xml:space="preserve"> synthétique « motifs sanitaires ou de sécurité »</w:t>
      </w:r>
      <w:r w:rsidR="00F02871" w:rsidRPr="0070292F">
        <w:rPr>
          <w:rFonts w:eastAsia="Calibri"/>
          <w:lang w:val="fr-FR"/>
        </w:rPr>
        <w:t>,</w:t>
      </w:r>
      <w:r w:rsidRPr="0070292F">
        <w:rPr>
          <w:rFonts w:eastAsia="Calibri"/>
          <w:lang w:val="fr-FR"/>
        </w:rPr>
        <w:t xml:space="preserve"> et que la finalité de la norme constitutionnelle est de concilier </w:t>
      </w:r>
      <w:r w:rsidR="00F02871" w:rsidRPr="0070292F">
        <w:rPr>
          <w:rFonts w:eastAsia="Calibri"/>
          <w:lang w:val="fr-FR"/>
        </w:rPr>
        <w:t xml:space="preserve">la nécessité </w:t>
      </w:r>
      <w:r w:rsidRPr="0070292F">
        <w:rPr>
          <w:rFonts w:eastAsia="Calibri"/>
          <w:lang w:val="fr-FR"/>
        </w:rPr>
        <w:t xml:space="preserve">de ne pas laisser des individus socialement dangereux libres de circuler sans </w:t>
      </w:r>
      <w:r w:rsidR="00F02871" w:rsidRPr="0070292F">
        <w:rPr>
          <w:rFonts w:eastAsia="Calibri"/>
          <w:lang w:val="fr-FR"/>
        </w:rPr>
        <w:t>entrave</w:t>
      </w:r>
      <w:r w:rsidRPr="0070292F">
        <w:rPr>
          <w:rFonts w:eastAsia="Calibri"/>
          <w:lang w:val="fr-FR"/>
        </w:rPr>
        <w:t xml:space="preserve"> et </w:t>
      </w:r>
      <w:r w:rsidR="00F02871" w:rsidRPr="0070292F">
        <w:rPr>
          <w:rFonts w:eastAsia="Calibri"/>
          <w:lang w:val="fr-FR"/>
        </w:rPr>
        <w:t xml:space="preserve">la nécessité </w:t>
      </w:r>
      <w:r w:rsidRPr="0070292F">
        <w:rPr>
          <w:rFonts w:eastAsia="Calibri"/>
          <w:lang w:val="fr-FR"/>
        </w:rPr>
        <w:t>d</w:t>
      </w:r>
      <w:r w:rsidR="0070292F" w:rsidRPr="0070292F">
        <w:rPr>
          <w:rFonts w:eastAsia="Calibri"/>
          <w:lang w:val="fr-FR"/>
        </w:rPr>
        <w:t>’</w:t>
      </w:r>
      <w:r w:rsidRPr="0070292F">
        <w:rPr>
          <w:rFonts w:eastAsia="Calibri"/>
          <w:lang w:val="fr-FR"/>
        </w:rPr>
        <w:t>éviter un pouvoir de police général et incontrôlé</w:t>
      </w:r>
      <w:r w:rsidR="0070292F" w:rsidRPr="0070292F">
        <w:rPr>
          <w:rFonts w:eastAsia="Calibri"/>
          <w:lang w:val="fr-FR"/>
        </w:rPr>
        <w:t>.</w:t>
      </w:r>
      <w:r w:rsidRPr="0070292F">
        <w:rPr>
          <w:rFonts w:eastAsia="Calibri"/>
          <w:lang w:val="fr-FR"/>
        </w:rPr>
        <w:t> »</w:t>
      </w:r>
    </w:p>
    <w:bookmarkStart w:id="17" w:name="para46"/>
    <w:p w:rsidR="00186E84" w:rsidRPr="0070292F" w:rsidRDefault="00186E84" w:rsidP="0070292F">
      <w:pPr>
        <w:pStyle w:val="ECHRPara"/>
        <w:rPr>
          <w:rFonts w:ascii="Times New Roman" w:eastAsia="Cambria" w:hAnsi="Times New Roman" w:cs="Times New Roman"/>
          <w:szCs w:val="24"/>
          <w:lang w:val="fr-FR"/>
        </w:rPr>
      </w:pPr>
      <w:r w:rsidRPr="0070292F">
        <w:rPr>
          <w:rFonts w:ascii="Times New Roman" w:eastAsia="Cambria" w:hAnsi="Times New Roman" w:cs="Times New Roman"/>
          <w:szCs w:val="24"/>
          <w:lang w:val="fr-FR"/>
        </w:rPr>
        <w:fldChar w:fldCharType="begin"/>
      </w:r>
      <w:r w:rsidRPr="0070292F">
        <w:rPr>
          <w:rFonts w:ascii="Times New Roman" w:eastAsia="Cambria" w:hAnsi="Times New Roman" w:cs="Times New Roman"/>
          <w:szCs w:val="24"/>
          <w:lang w:val="fr-FR"/>
        </w:rPr>
        <w:instrText xml:space="preserve"> SEQ level0 \*arabic </w:instrText>
      </w:r>
      <w:r w:rsidRPr="0070292F">
        <w:rPr>
          <w:rFonts w:ascii="Times New Roman" w:eastAsia="Cambria" w:hAnsi="Times New Roman" w:cs="Times New Roman"/>
          <w:szCs w:val="24"/>
          <w:lang w:val="fr-FR"/>
        </w:rPr>
        <w:fldChar w:fldCharType="separate"/>
      </w:r>
      <w:r w:rsidR="0070292F" w:rsidRPr="0070292F">
        <w:rPr>
          <w:rFonts w:ascii="Times New Roman" w:eastAsia="Cambria" w:hAnsi="Times New Roman" w:cs="Times New Roman"/>
          <w:noProof/>
          <w:szCs w:val="24"/>
          <w:lang w:val="fr-FR"/>
        </w:rPr>
        <w:t>46</w:t>
      </w:r>
      <w:r w:rsidRPr="0070292F">
        <w:rPr>
          <w:rFonts w:ascii="Times New Roman" w:eastAsia="Cambria" w:hAnsi="Times New Roman" w:cs="Times New Roman"/>
          <w:szCs w:val="24"/>
          <w:lang w:val="fr-FR"/>
        </w:rPr>
        <w:fldChar w:fldCharType="end"/>
      </w:r>
      <w:bookmarkEnd w:id="17"/>
      <w:r w:rsidRPr="0070292F">
        <w:rPr>
          <w:rFonts w:ascii="Times New Roman" w:eastAsia="Cambria" w:hAnsi="Times New Roman" w:cs="Times New Roman"/>
          <w:szCs w:val="24"/>
          <w:lang w:val="fr-FR"/>
        </w:rPr>
        <w:t>.  Dans so</w:t>
      </w:r>
      <w:r w:rsidR="005661AF" w:rsidRPr="0070292F">
        <w:rPr>
          <w:rFonts w:ascii="Times New Roman" w:eastAsia="Cambria" w:hAnsi="Times New Roman" w:cs="Times New Roman"/>
          <w:szCs w:val="24"/>
          <w:lang w:val="fr-FR"/>
        </w:rPr>
        <w:t>n arrêt nº 27 de 1959, la Cour c</w:t>
      </w:r>
      <w:r w:rsidRPr="0070292F">
        <w:rPr>
          <w:rFonts w:ascii="Times New Roman" w:eastAsia="Cambria" w:hAnsi="Times New Roman" w:cs="Times New Roman"/>
          <w:szCs w:val="24"/>
          <w:lang w:val="fr-FR"/>
        </w:rPr>
        <w:t>onstitutionnelle sout</w:t>
      </w:r>
      <w:r w:rsidR="00122756" w:rsidRPr="0070292F">
        <w:rPr>
          <w:rFonts w:ascii="Times New Roman" w:eastAsia="Cambria" w:hAnsi="Times New Roman" w:cs="Times New Roman"/>
          <w:szCs w:val="24"/>
          <w:lang w:val="fr-FR"/>
        </w:rPr>
        <w:t>int</w:t>
      </w:r>
      <w:r w:rsidRPr="0070292F">
        <w:rPr>
          <w:rFonts w:ascii="Times New Roman" w:eastAsia="Cambria" w:hAnsi="Times New Roman" w:cs="Times New Roman"/>
          <w:szCs w:val="24"/>
          <w:lang w:val="fr-FR"/>
        </w:rPr>
        <w:t xml:space="preserve"> que les mesures de prévention, malgré les </w:t>
      </w:r>
      <w:r w:rsidR="00122756" w:rsidRPr="0070292F">
        <w:rPr>
          <w:rFonts w:ascii="Times New Roman" w:eastAsia="Cambria" w:hAnsi="Times New Roman" w:cs="Times New Roman"/>
          <w:szCs w:val="24"/>
          <w:lang w:val="fr-FR"/>
        </w:rPr>
        <w:t xml:space="preserve">restrictions </w:t>
      </w:r>
      <w:r w:rsidRPr="0070292F">
        <w:rPr>
          <w:rFonts w:ascii="Times New Roman" w:eastAsia="Cambria" w:hAnsi="Times New Roman" w:cs="Times New Roman"/>
          <w:szCs w:val="24"/>
          <w:lang w:val="fr-FR"/>
        </w:rPr>
        <w:t>aux libertés fondamentales qu</w:t>
      </w:r>
      <w:r w:rsidR="0070292F" w:rsidRPr="0070292F">
        <w:rPr>
          <w:rFonts w:ascii="Times New Roman" w:eastAsia="Cambria" w:hAnsi="Times New Roman" w:cs="Times New Roman"/>
          <w:szCs w:val="24"/>
          <w:lang w:val="fr-FR"/>
        </w:rPr>
        <w:t>’</w:t>
      </w:r>
      <w:r w:rsidRPr="0070292F">
        <w:rPr>
          <w:rFonts w:ascii="Times New Roman" w:eastAsia="Cambria" w:hAnsi="Times New Roman" w:cs="Times New Roman"/>
          <w:szCs w:val="24"/>
          <w:lang w:val="fr-FR"/>
        </w:rPr>
        <w:t>elles comport</w:t>
      </w:r>
      <w:r w:rsidR="00122756" w:rsidRPr="0070292F">
        <w:rPr>
          <w:rFonts w:ascii="Times New Roman" w:eastAsia="Cambria" w:hAnsi="Times New Roman" w:cs="Times New Roman"/>
          <w:szCs w:val="24"/>
          <w:lang w:val="fr-FR"/>
        </w:rPr>
        <w:t>ai</w:t>
      </w:r>
      <w:r w:rsidRPr="0070292F">
        <w:rPr>
          <w:rFonts w:ascii="Times New Roman" w:eastAsia="Cambria" w:hAnsi="Times New Roman" w:cs="Times New Roman"/>
          <w:szCs w:val="24"/>
          <w:lang w:val="fr-FR"/>
        </w:rPr>
        <w:t>ent, répond</w:t>
      </w:r>
      <w:r w:rsidR="00122756" w:rsidRPr="0070292F">
        <w:rPr>
          <w:rFonts w:ascii="Times New Roman" w:eastAsia="Cambria" w:hAnsi="Times New Roman" w:cs="Times New Roman"/>
          <w:szCs w:val="24"/>
          <w:lang w:val="fr-FR"/>
        </w:rPr>
        <w:t>ai</w:t>
      </w:r>
      <w:r w:rsidRPr="0070292F">
        <w:rPr>
          <w:rFonts w:ascii="Times New Roman" w:eastAsia="Cambria" w:hAnsi="Times New Roman" w:cs="Times New Roman"/>
          <w:szCs w:val="24"/>
          <w:lang w:val="fr-FR"/>
        </w:rPr>
        <w:t>ent à l</w:t>
      </w:r>
      <w:r w:rsidR="0070292F" w:rsidRPr="0070292F">
        <w:rPr>
          <w:rFonts w:ascii="Times New Roman" w:eastAsia="Cambria" w:hAnsi="Times New Roman" w:cs="Times New Roman"/>
          <w:szCs w:val="24"/>
          <w:lang w:val="fr-FR"/>
        </w:rPr>
        <w:t>’</w:t>
      </w:r>
      <w:r w:rsidR="00122756" w:rsidRPr="0070292F">
        <w:rPr>
          <w:rFonts w:ascii="Times New Roman" w:eastAsia="Cambria" w:hAnsi="Times New Roman" w:cs="Times New Roman"/>
          <w:szCs w:val="24"/>
          <w:lang w:val="fr-FR"/>
        </w:rPr>
        <w:t>impératif</w:t>
      </w:r>
      <w:r w:rsidRPr="0070292F">
        <w:rPr>
          <w:rFonts w:ascii="Times New Roman" w:eastAsia="Cambria" w:hAnsi="Times New Roman" w:cs="Times New Roman"/>
          <w:szCs w:val="24"/>
          <w:lang w:val="fr-FR"/>
        </w:rPr>
        <w:t xml:space="preserve"> légitime</w:t>
      </w:r>
      <w:r w:rsidR="00122756" w:rsidRPr="0070292F">
        <w:rPr>
          <w:rFonts w:ascii="Times New Roman" w:eastAsia="Cambria" w:hAnsi="Times New Roman" w:cs="Times New Roman"/>
          <w:szCs w:val="24"/>
          <w:lang w:val="fr-FR"/>
        </w:rPr>
        <w:t>,</w:t>
      </w:r>
      <w:r w:rsidRPr="0070292F">
        <w:rPr>
          <w:rFonts w:ascii="Times New Roman" w:eastAsia="Cambria" w:hAnsi="Times New Roman" w:cs="Times New Roman"/>
          <w:szCs w:val="24"/>
          <w:lang w:val="fr-FR"/>
        </w:rPr>
        <w:t xml:space="preserve"> prévu par la Constitution</w:t>
      </w:r>
      <w:r w:rsidR="00122756" w:rsidRPr="0070292F">
        <w:rPr>
          <w:rFonts w:ascii="Times New Roman" w:eastAsia="Cambria" w:hAnsi="Times New Roman" w:cs="Times New Roman"/>
          <w:szCs w:val="24"/>
          <w:lang w:val="fr-FR"/>
        </w:rPr>
        <w:t>,</w:t>
      </w:r>
      <w:r w:rsidRPr="0070292F">
        <w:rPr>
          <w:rFonts w:ascii="Times New Roman" w:eastAsia="Cambria" w:hAnsi="Times New Roman" w:cs="Times New Roman"/>
          <w:szCs w:val="24"/>
          <w:lang w:val="fr-FR"/>
        </w:rPr>
        <w:t xml:space="preserve"> d</w:t>
      </w:r>
      <w:r w:rsidR="0070292F" w:rsidRPr="0070292F">
        <w:rPr>
          <w:rFonts w:ascii="Times New Roman" w:eastAsia="Cambria" w:hAnsi="Times New Roman" w:cs="Times New Roman"/>
          <w:szCs w:val="24"/>
          <w:lang w:val="fr-FR"/>
        </w:rPr>
        <w:t>’</w:t>
      </w:r>
      <w:r w:rsidRPr="0070292F">
        <w:rPr>
          <w:rFonts w:ascii="Times New Roman" w:eastAsia="Cambria" w:hAnsi="Times New Roman" w:cs="Times New Roman"/>
          <w:szCs w:val="24"/>
          <w:lang w:val="fr-FR"/>
        </w:rPr>
        <w:t>assurer « </w:t>
      </w:r>
      <w:r w:rsidR="00D92FE8" w:rsidRPr="0070292F">
        <w:rPr>
          <w:rFonts w:ascii="Times New Roman" w:eastAsia="Cambria" w:hAnsi="Times New Roman" w:cs="Times New Roman"/>
          <w:szCs w:val="24"/>
          <w:lang w:val="fr-FR"/>
        </w:rPr>
        <w:t>des relations</w:t>
      </w:r>
      <w:r w:rsidRPr="0070292F">
        <w:rPr>
          <w:rFonts w:ascii="Times New Roman" w:eastAsia="Cambria" w:hAnsi="Times New Roman" w:cs="Times New Roman"/>
          <w:szCs w:val="24"/>
          <w:lang w:val="fr-FR"/>
        </w:rPr>
        <w:t xml:space="preserve"> ordonné</w:t>
      </w:r>
      <w:r w:rsidR="00D92FE8" w:rsidRPr="0070292F">
        <w:rPr>
          <w:rFonts w:ascii="Times New Roman" w:eastAsia="Cambria" w:hAnsi="Times New Roman" w:cs="Times New Roman"/>
          <w:szCs w:val="24"/>
          <w:lang w:val="fr-FR"/>
        </w:rPr>
        <w:t>es</w:t>
      </w:r>
      <w:r w:rsidRPr="0070292F">
        <w:rPr>
          <w:rFonts w:ascii="Times New Roman" w:eastAsia="Cambria" w:hAnsi="Times New Roman" w:cs="Times New Roman"/>
          <w:szCs w:val="24"/>
          <w:lang w:val="fr-FR"/>
        </w:rPr>
        <w:t xml:space="preserve"> et pacifique</w:t>
      </w:r>
      <w:r w:rsidR="00D92FE8" w:rsidRPr="0070292F">
        <w:rPr>
          <w:rFonts w:ascii="Times New Roman" w:eastAsia="Cambria" w:hAnsi="Times New Roman" w:cs="Times New Roman"/>
          <w:szCs w:val="24"/>
          <w:lang w:val="fr-FR"/>
        </w:rPr>
        <w:t>s</w:t>
      </w:r>
      <w:r w:rsidRPr="0070292F">
        <w:rPr>
          <w:rFonts w:ascii="Times New Roman" w:eastAsia="Cambria" w:hAnsi="Times New Roman" w:cs="Times New Roman"/>
          <w:szCs w:val="24"/>
          <w:lang w:val="fr-FR"/>
        </w:rPr>
        <w:t xml:space="preserve"> </w:t>
      </w:r>
      <w:r w:rsidR="00D92FE8" w:rsidRPr="0070292F">
        <w:rPr>
          <w:rFonts w:ascii="Times New Roman" w:eastAsia="Cambria" w:hAnsi="Times New Roman" w:cs="Times New Roman"/>
          <w:szCs w:val="24"/>
          <w:lang w:val="fr-FR"/>
        </w:rPr>
        <w:t>entre les citoyens</w:t>
      </w:r>
      <w:r w:rsidR="00885B08" w:rsidRPr="0070292F">
        <w:rPr>
          <w:rFonts w:ascii="Times New Roman" w:eastAsia="Cambria" w:hAnsi="Times New Roman" w:cs="Times New Roman"/>
          <w:szCs w:val="24"/>
          <w:lang w:val="fr-FR"/>
        </w:rPr>
        <w:t>,</w:t>
      </w:r>
      <w:r w:rsidRPr="0070292F">
        <w:rPr>
          <w:rFonts w:ascii="Times New Roman" w:eastAsia="Cambria" w:hAnsi="Times New Roman" w:cs="Times New Roman"/>
          <w:szCs w:val="24"/>
          <w:lang w:val="fr-FR"/>
        </w:rPr>
        <w:t xml:space="preserve"> non seulement par des </w:t>
      </w:r>
      <w:r w:rsidR="00122756" w:rsidRPr="0070292F">
        <w:rPr>
          <w:rFonts w:ascii="Times New Roman" w:eastAsia="Cambria" w:hAnsi="Times New Roman" w:cs="Times New Roman"/>
          <w:szCs w:val="24"/>
          <w:lang w:val="fr-FR"/>
        </w:rPr>
        <w:t>règles pénales</w:t>
      </w:r>
      <w:r w:rsidRPr="0070292F">
        <w:rPr>
          <w:rFonts w:ascii="Times New Roman" w:eastAsia="Cambria" w:hAnsi="Times New Roman" w:cs="Times New Roman"/>
          <w:szCs w:val="24"/>
          <w:lang w:val="fr-FR"/>
        </w:rPr>
        <w:t xml:space="preserve"> répressives mais aussi par un système de mesures préventives </w:t>
      </w:r>
      <w:r w:rsidR="00122756" w:rsidRPr="0070292F">
        <w:rPr>
          <w:rFonts w:ascii="Times New Roman" w:eastAsia="Cambria" w:hAnsi="Times New Roman" w:cs="Times New Roman"/>
          <w:szCs w:val="24"/>
          <w:lang w:val="fr-FR"/>
        </w:rPr>
        <w:t xml:space="preserve">visant à </w:t>
      </w:r>
      <w:r w:rsidRPr="0070292F">
        <w:rPr>
          <w:rFonts w:ascii="Times New Roman" w:eastAsia="Cambria" w:hAnsi="Times New Roman" w:cs="Times New Roman"/>
          <w:szCs w:val="24"/>
          <w:lang w:val="fr-FR"/>
        </w:rPr>
        <w:t xml:space="preserve">empêcher la commission </w:t>
      </w:r>
      <w:r w:rsidR="00122756" w:rsidRPr="0070292F">
        <w:rPr>
          <w:rFonts w:ascii="Times New Roman" w:eastAsia="Cambria" w:hAnsi="Times New Roman" w:cs="Times New Roman"/>
          <w:szCs w:val="24"/>
          <w:lang w:val="fr-FR"/>
        </w:rPr>
        <w:t>future d</w:t>
      </w:r>
      <w:r w:rsidR="0070292F" w:rsidRPr="0070292F">
        <w:rPr>
          <w:rFonts w:ascii="Times New Roman" w:eastAsia="Cambria" w:hAnsi="Times New Roman" w:cs="Times New Roman"/>
          <w:szCs w:val="24"/>
          <w:lang w:val="fr-FR"/>
        </w:rPr>
        <w:t>’</w:t>
      </w:r>
      <w:r w:rsidR="00122756" w:rsidRPr="0070292F">
        <w:rPr>
          <w:rFonts w:ascii="Times New Roman" w:eastAsia="Cambria" w:hAnsi="Times New Roman" w:cs="Times New Roman"/>
          <w:szCs w:val="24"/>
          <w:lang w:val="fr-FR"/>
        </w:rPr>
        <w:t>infractions</w:t>
      </w:r>
      <w:r w:rsidRPr="0070292F">
        <w:rPr>
          <w:rFonts w:ascii="Times New Roman" w:eastAsia="Cambria" w:hAnsi="Times New Roman" w:cs="Times New Roman"/>
          <w:szCs w:val="24"/>
          <w:lang w:val="fr-FR"/>
        </w:rPr>
        <w:t> ». Elle ajout</w:t>
      </w:r>
      <w:r w:rsidR="00122756" w:rsidRPr="0070292F">
        <w:rPr>
          <w:rFonts w:ascii="Times New Roman" w:eastAsia="Cambria" w:hAnsi="Times New Roman" w:cs="Times New Roman"/>
          <w:szCs w:val="24"/>
          <w:lang w:val="fr-FR"/>
        </w:rPr>
        <w:t>a</w:t>
      </w:r>
      <w:r w:rsidRPr="0070292F">
        <w:rPr>
          <w:rFonts w:ascii="Times New Roman" w:eastAsia="Cambria" w:hAnsi="Times New Roman" w:cs="Times New Roman"/>
          <w:szCs w:val="24"/>
          <w:lang w:val="fr-FR"/>
        </w:rPr>
        <w:t xml:space="preserve"> que ces mesures étaient nécessaires et proportionnées au but poursuivi, </w:t>
      </w:r>
      <w:r w:rsidR="00122756" w:rsidRPr="0070292F">
        <w:rPr>
          <w:rFonts w:ascii="Times New Roman" w:eastAsia="Cambria" w:hAnsi="Times New Roman" w:cs="Times New Roman"/>
          <w:szCs w:val="24"/>
          <w:lang w:val="fr-FR"/>
        </w:rPr>
        <w:t xml:space="preserve">dès lors que </w:t>
      </w:r>
      <w:r w:rsidRPr="0070292F">
        <w:rPr>
          <w:rFonts w:ascii="Times New Roman" w:eastAsia="Cambria" w:hAnsi="Times New Roman" w:cs="Times New Roman"/>
          <w:szCs w:val="24"/>
          <w:lang w:val="fr-FR"/>
        </w:rPr>
        <w:t xml:space="preserve">les catégories de sujets visés étaient suffisamment restreintes et </w:t>
      </w:r>
      <w:r w:rsidR="00885B08" w:rsidRPr="0070292F">
        <w:rPr>
          <w:rFonts w:ascii="Times New Roman" w:eastAsia="Cambria" w:hAnsi="Times New Roman" w:cs="Times New Roman"/>
          <w:szCs w:val="24"/>
          <w:lang w:val="fr-FR"/>
        </w:rPr>
        <w:t>précises</w:t>
      </w:r>
      <w:r w:rsidRPr="0070292F">
        <w:rPr>
          <w:rFonts w:ascii="Times New Roman" w:eastAsia="Cambria" w:hAnsi="Times New Roman" w:cs="Times New Roman"/>
          <w:szCs w:val="24"/>
          <w:lang w:val="fr-FR"/>
        </w:rPr>
        <w:t xml:space="preserve">. </w:t>
      </w:r>
      <w:r w:rsidR="00122756" w:rsidRPr="0070292F">
        <w:rPr>
          <w:rFonts w:ascii="Times New Roman" w:eastAsia="Cambria" w:hAnsi="Times New Roman" w:cs="Times New Roman"/>
          <w:szCs w:val="24"/>
          <w:lang w:val="fr-FR"/>
        </w:rPr>
        <w:t>Elle parvint donc à la conclusion</w:t>
      </w:r>
      <w:r w:rsidRPr="0070292F">
        <w:rPr>
          <w:rFonts w:ascii="Times New Roman" w:eastAsia="Cambria" w:hAnsi="Times New Roman" w:cs="Times New Roman"/>
          <w:szCs w:val="24"/>
          <w:lang w:val="fr-FR"/>
        </w:rPr>
        <w:t xml:space="preserve"> que de telles mesures étaient conformes au principe de légalité prévu </w:t>
      </w:r>
      <w:r w:rsidR="00122756" w:rsidRPr="0070292F">
        <w:rPr>
          <w:rFonts w:ascii="Times New Roman" w:eastAsia="Cambria" w:hAnsi="Times New Roman" w:cs="Times New Roman"/>
          <w:szCs w:val="24"/>
          <w:lang w:val="fr-FR"/>
        </w:rPr>
        <w:t xml:space="preserve">par les articles 13 et 16 de la Constitution </w:t>
      </w:r>
      <w:r w:rsidRPr="0070292F">
        <w:rPr>
          <w:rFonts w:ascii="Times New Roman" w:eastAsia="Cambria" w:hAnsi="Times New Roman" w:cs="Times New Roman"/>
          <w:szCs w:val="24"/>
          <w:lang w:val="fr-FR"/>
        </w:rPr>
        <w:t>en matière de limitations des droits relatifs à la liberté.</w:t>
      </w:r>
    </w:p>
    <w:p w:rsidR="00186E84" w:rsidRPr="0070292F" w:rsidRDefault="00186E84" w:rsidP="0070292F">
      <w:pPr>
        <w:pStyle w:val="ECHRPara"/>
        <w:rPr>
          <w:rFonts w:ascii="Times New Roman" w:eastAsia="Cambria" w:hAnsi="Times New Roman" w:cs="Times New Roman"/>
          <w:szCs w:val="24"/>
          <w:lang w:val="fr-FR"/>
        </w:rPr>
      </w:pPr>
      <w:r w:rsidRPr="0070292F">
        <w:rPr>
          <w:rFonts w:ascii="Times New Roman" w:eastAsia="Cambria" w:hAnsi="Times New Roman" w:cs="Times New Roman"/>
          <w:szCs w:val="24"/>
          <w:lang w:val="fr-FR"/>
        </w:rPr>
        <w:fldChar w:fldCharType="begin"/>
      </w:r>
      <w:r w:rsidRPr="0070292F">
        <w:rPr>
          <w:rFonts w:ascii="Times New Roman" w:eastAsia="Cambria" w:hAnsi="Times New Roman" w:cs="Times New Roman"/>
          <w:szCs w:val="24"/>
          <w:lang w:val="fr-FR"/>
        </w:rPr>
        <w:instrText xml:space="preserve"> SEQ level0 \*arabic </w:instrText>
      </w:r>
      <w:r w:rsidRPr="0070292F">
        <w:rPr>
          <w:rFonts w:ascii="Times New Roman" w:eastAsia="Cambria" w:hAnsi="Times New Roman" w:cs="Times New Roman"/>
          <w:szCs w:val="24"/>
          <w:lang w:val="fr-FR"/>
        </w:rPr>
        <w:fldChar w:fldCharType="separate"/>
      </w:r>
      <w:r w:rsidR="0070292F" w:rsidRPr="0070292F">
        <w:rPr>
          <w:rFonts w:ascii="Times New Roman" w:eastAsia="Cambria" w:hAnsi="Times New Roman" w:cs="Times New Roman"/>
          <w:noProof/>
          <w:szCs w:val="24"/>
          <w:lang w:val="fr-FR"/>
        </w:rPr>
        <w:t>47</w:t>
      </w:r>
      <w:r w:rsidRPr="0070292F">
        <w:rPr>
          <w:rFonts w:ascii="Times New Roman" w:eastAsia="Cambria" w:hAnsi="Times New Roman" w:cs="Times New Roman"/>
          <w:szCs w:val="24"/>
          <w:lang w:val="fr-FR"/>
        </w:rPr>
        <w:fldChar w:fldCharType="end"/>
      </w:r>
      <w:r w:rsidRPr="0070292F">
        <w:rPr>
          <w:rFonts w:ascii="Times New Roman" w:eastAsia="Cambria" w:hAnsi="Times New Roman" w:cs="Times New Roman"/>
          <w:szCs w:val="24"/>
          <w:lang w:val="fr-FR"/>
        </w:rPr>
        <w:t>.  Dans so</w:t>
      </w:r>
      <w:r w:rsidR="005661AF" w:rsidRPr="0070292F">
        <w:rPr>
          <w:rFonts w:ascii="Times New Roman" w:eastAsia="Cambria" w:hAnsi="Times New Roman" w:cs="Times New Roman"/>
          <w:szCs w:val="24"/>
          <w:lang w:val="fr-FR"/>
        </w:rPr>
        <w:t>n arrêt nº 45 de 1960, la Cour c</w:t>
      </w:r>
      <w:r w:rsidRPr="0070292F">
        <w:rPr>
          <w:rFonts w:ascii="Times New Roman" w:eastAsia="Cambria" w:hAnsi="Times New Roman" w:cs="Times New Roman"/>
          <w:szCs w:val="24"/>
          <w:lang w:val="fr-FR"/>
        </w:rPr>
        <w:t xml:space="preserve">onstitutionnelle </w:t>
      </w:r>
      <w:r w:rsidR="00122756" w:rsidRPr="0070292F">
        <w:rPr>
          <w:rFonts w:ascii="Times New Roman" w:eastAsia="Cambria" w:hAnsi="Times New Roman" w:cs="Times New Roman"/>
          <w:szCs w:val="24"/>
          <w:lang w:val="fr-FR"/>
        </w:rPr>
        <w:t>estima</w:t>
      </w:r>
      <w:r w:rsidRPr="0070292F">
        <w:rPr>
          <w:rFonts w:ascii="Times New Roman" w:eastAsia="Cambria" w:hAnsi="Times New Roman" w:cs="Times New Roman"/>
          <w:szCs w:val="24"/>
          <w:lang w:val="fr-FR"/>
        </w:rPr>
        <w:t xml:space="preserve"> que la Constitution </w:t>
      </w:r>
      <w:r w:rsidR="00122756" w:rsidRPr="0070292F">
        <w:rPr>
          <w:rFonts w:ascii="Times New Roman" w:eastAsia="Cambria" w:hAnsi="Times New Roman" w:cs="Times New Roman"/>
          <w:szCs w:val="24"/>
          <w:lang w:val="fr-FR"/>
        </w:rPr>
        <w:t xml:space="preserve">autorisait </w:t>
      </w:r>
      <w:r w:rsidRPr="0070292F">
        <w:rPr>
          <w:rFonts w:ascii="Times New Roman" w:eastAsia="Cambria" w:hAnsi="Times New Roman" w:cs="Times New Roman"/>
          <w:szCs w:val="24"/>
          <w:lang w:val="fr-FR"/>
        </w:rPr>
        <w:t>l</w:t>
      </w:r>
      <w:r w:rsidR="0070292F" w:rsidRPr="0070292F">
        <w:rPr>
          <w:rFonts w:ascii="Times New Roman" w:eastAsia="Cambria" w:hAnsi="Times New Roman" w:cs="Times New Roman"/>
          <w:szCs w:val="24"/>
          <w:lang w:val="fr-FR"/>
        </w:rPr>
        <w:t>’</w:t>
      </w:r>
      <w:r w:rsidRPr="0070292F">
        <w:rPr>
          <w:rFonts w:ascii="Times New Roman" w:eastAsia="Cambria" w:hAnsi="Times New Roman" w:cs="Times New Roman"/>
          <w:szCs w:val="24"/>
          <w:lang w:val="fr-FR"/>
        </w:rPr>
        <w:t xml:space="preserve">adoption par les autorités administratives de mesures </w:t>
      </w:r>
      <w:r w:rsidR="00122756" w:rsidRPr="0070292F">
        <w:rPr>
          <w:rFonts w:ascii="Times New Roman" w:eastAsia="Cambria" w:hAnsi="Times New Roman" w:cs="Times New Roman"/>
          <w:szCs w:val="24"/>
          <w:lang w:val="fr-FR"/>
        </w:rPr>
        <w:t>restreignant</w:t>
      </w:r>
      <w:r w:rsidRPr="0070292F">
        <w:rPr>
          <w:rFonts w:ascii="Times New Roman" w:eastAsia="Cambria" w:hAnsi="Times New Roman" w:cs="Times New Roman"/>
          <w:szCs w:val="24"/>
          <w:lang w:val="fr-FR"/>
        </w:rPr>
        <w:t xml:space="preserve"> la liberté de circulation, comme « l</w:t>
      </w:r>
      <w:r w:rsidR="0070292F" w:rsidRPr="0070292F">
        <w:rPr>
          <w:rFonts w:ascii="Times New Roman" w:eastAsia="Cambria" w:hAnsi="Times New Roman" w:cs="Times New Roman"/>
          <w:szCs w:val="24"/>
          <w:lang w:val="fr-FR"/>
        </w:rPr>
        <w:t>’</w:t>
      </w:r>
      <w:r w:rsidRPr="0070292F">
        <w:rPr>
          <w:rFonts w:ascii="Times New Roman" w:eastAsia="Cambria" w:hAnsi="Times New Roman" w:cs="Times New Roman"/>
          <w:szCs w:val="24"/>
          <w:lang w:val="fr-FR"/>
        </w:rPr>
        <w:t xml:space="preserve">ordre de quitter une </w:t>
      </w:r>
      <w:r w:rsidRPr="0070292F">
        <w:rPr>
          <w:rFonts w:ascii="Times New Roman" w:eastAsia="Cambria" w:hAnsi="Times New Roman" w:cs="Times New Roman"/>
          <w:szCs w:val="24"/>
          <w:lang w:val="fr-FR"/>
        </w:rPr>
        <w:lastRenderedPageBreak/>
        <w:t>commune », prévu par la loi nº 1423 de 1956. D</w:t>
      </w:r>
      <w:r w:rsidR="0070292F" w:rsidRPr="0070292F">
        <w:rPr>
          <w:rFonts w:ascii="Times New Roman" w:eastAsia="Cambria" w:hAnsi="Times New Roman" w:cs="Times New Roman"/>
          <w:szCs w:val="24"/>
          <w:lang w:val="fr-FR"/>
        </w:rPr>
        <w:t>’</w:t>
      </w:r>
      <w:r w:rsidRPr="0070292F">
        <w:rPr>
          <w:rFonts w:ascii="Times New Roman" w:eastAsia="Cambria" w:hAnsi="Times New Roman" w:cs="Times New Roman"/>
          <w:szCs w:val="24"/>
          <w:lang w:val="fr-FR"/>
        </w:rPr>
        <w:t xml:space="preserve">autre part, elle </w:t>
      </w:r>
      <w:r w:rsidR="00122756" w:rsidRPr="0070292F">
        <w:rPr>
          <w:rFonts w:ascii="Times New Roman" w:eastAsia="Cambria" w:hAnsi="Times New Roman" w:cs="Times New Roman"/>
          <w:szCs w:val="24"/>
          <w:lang w:val="fr-FR"/>
        </w:rPr>
        <w:t>précisa</w:t>
      </w:r>
      <w:r w:rsidRPr="0070292F">
        <w:rPr>
          <w:rFonts w:ascii="Times New Roman" w:eastAsia="Cambria" w:hAnsi="Times New Roman" w:cs="Times New Roman"/>
          <w:szCs w:val="24"/>
          <w:lang w:val="fr-FR"/>
        </w:rPr>
        <w:t xml:space="preserve"> que les mesures limita</w:t>
      </w:r>
      <w:r w:rsidR="00122756" w:rsidRPr="0070292F">
        <w:rPr>
          <w:rFonts w:ascii="Times New Roman" w:eastAsia="Cambria" w:hAnsi="Times New Roman" w:cs="Times New Roman"/>
          <w:szCs w:val="24"/>
          <w:lang w:val="fr-FR"/>
        </w:rPr>
        <w:t>nt</w:t>
      </w:r>
      <w:r w:rsidRPr="0070292F">
        <w:rPr>
          <w:rFonts w:ascii="Times New Roman" w:eastAsia="Cambria" w:hAnsi="Times New Roman" w:cs="Times New Roman"/>
          <w:szCs w:val="24"/>
          <w:lang w:val="fr-FR"/>
        </w:rPr>
        <w:t xml:space="preserve"> la liberté personnelle </w:t>
      </w:r>
      <w:r w:rsidR="00122756" w:rsidRPr="0070292F">
        <w:rPr>
          <w:rFonts w:ascii="Times New Roman" w:eastAsia="Cambria" w:hAnsi="Times New Roman" w:cs="Times New Roman"/>
          <w:szCs w:val="24"/>
          <w:lang w:val="fr-FR"/>
        </w:rPr>
        <w:t xml:space="preserve">devaient </w:t>
      </w:r>
      <w:r w:rsidRPr="0070292F">
        <w:rPr>
          <w:rFonts w:ascii="Times New Roman" w:eastAsia="Cambria" w:hAnsi="Times New Roman" w:cs="Times New Roman"/>
          <w:szCs w:val="24"/>
          <w:lang w:val="fr-FR"/>
        </w:rPr>
        <w:t>être adoptées exclusivement par l</w:t>
      </w:r>
      <w:r w:rsidR="0070292F" w:rsidRPr="0070292F">
        <w:rPr>
          <w:rFonts w:ascii="Times New Roman" w:eastAsia="Cambria" w:hAnsi="Times New Roman" w:cs="Times New Roman"/>
          <w:szCs w:val="24"/>
          <w:lang w:val="fr-FR"/>
        </w:rPr>
        <w:t>’</w:t>
      </w:r>
      <w:r w:rsidRPr="0070292F">
        <w:rPr>
          <w:rFonts w:ascii="Times New Roman" w:eastAsia="Cambria" w:hAnsi="Times New Roman" w:cs="Times New Roman"/>
          <w:szCs w:val="24"/>
          <w:lang w:val="fr-FR"/>
        </w:rPr>
        <w:t>autorité judiciaire.</w:t>
      </w:r>
    </w:p>
    <w:p w:rsidR="00186E84" w:rsidRPr="0070292F" w:rsidRDefault="00186E84" w:rsidP="0070292F">
      <w:pPr>
        <w:pStyle w:val="ECHRPara"/>
        <w:rPr>
          <w:rFonts w:ascii="Times New Roman" w:eastAsia="Cambria" w:hAnsi="Times New Roman" w:cs="Times New Roman"/>
          <w:szCs w:val="24"/>
          <w:lang w:val="fr-FR"/>
        </w:rPr>
      </w:pPr>
      <w:r w:rsidRPr="0070292F">
        <w:rPr>
          <w:rFonts w:ascii="Times New Roman" w:eastAsia="Cambria" w:hAnsi="Times New Roman" w:cs="Times New Roman"/>
          <w:szCs w:val="24"/>
          <w:lang w:val="fr-FR"/>
        </w:rPr>
        <w:fldChar w:fldCharType="begin"/>
      </w:r>
      <w:r w:rsidRPr="0070292F">
        <w:rPr>
          <w:rFonts w:ascii="Times New Roman" w:eastAsia="Cambria" w:hAnsi="Times New Roman" w:cs="Times New Roman"/>
          <w:szCs w:val="24"/>
          <w:lang w:val="fr-FR"/>
        </w:rPr>
        <w:instrText xml:space="preserve"> SEQ level0 \*arabic </w:instrText>
      </w:r>
      <w:r w:rsidRPr="0070292F">
        <w:rPr>
          <w:rFonts w:ascii="Times New Roman" w:eastAsia="Cambria" w:hAnsi="Times New Roman" w:cs="Times New Roman"/>
          <w:szCs w:val="24"/>
          <w:lang w:val="fr-FR"/>
        </w:rPr>
        <w:fldChar w:fldCharType="separate"/>
      </w:r>
      <w:r w:rsidR="0070292F" w:rsidRPr="0070292F">
        <w:rPr>
          <w:rFonts w:ascii="Times New Roman" w:eastAsia="Cambria" w:hAnsi="Times New Roman" w:cs="Times New Roman"/>
          <w:noProof/>
          <w:szCs w:val="24"/>
          <w:lang w:val="fr-FR"/>
        </w:rPr>
        <w:t>48</w:t>
      </w:r>
      <w:r w:rsidRPr="0070292F">
        <w:rPr>
          <w:rFonts w:ascii="Times New Roman" w:eastAsia="Cambria" w:hAnsi="Times New Roman" w:cs="Times New Roman"/>
          <w:szCs w:val="24"/>
          <w:lang w:val="fr-FR"/>
        </w:rPr>
        <w:fldChar w:fldCharType="end"/>
      </w:r>
      <w:r w:rsidRPr="0070292F">
        <w:rPr>
          <w:rFonts w:ascii="Times New Roman" w:eastAsia="Cambria" w:hAnsi="Times New Roman" w:cs="Times New Roman"/>
          <w:szCs w:val="24"/>
          <w:lang w:val="fr-FR"/>
        </w:rPr>
        <w:t>.  Dans son arrêt nº 126 de 1962,</w:t>
      </w:r>
      <w:r w:rsidR="00703D6E" w:rsidRPr="0070292F">
        <w:rPr>
          <w:rFonts w:ascii="Times New Roman" w:eastAsia="Cambria" w:hAnsi="Times New Roman" w:cs="Times New Roman"/>
          <w:szCs w:val="24"/>
          <w:lang w:val="fr-FR"/>
        </w:rPr>
        <w:t xml:space="preserve"> rappelant la définition de « </w:t>
      </w:r>
      <w:r w:rsidRPr="0070292F">
        <w:rPr>
          <w:rFonts w:ascii="Times New Roman" w:eastAsia="Cambria" w:hAnsi="Times New Roman" w:cs="Times New Roman"/>
          <w:szCs w:val="24"/>
          <w:lang w:val="fr-FR"/>
        </w:rPr>
        <w:t>moralité publique</w:t>
      </w:r>
      <w:r w:rsidR="00703D6E" w:rsidRPr="0070292F">
        <w:rPr>
          <w:rFonts w:ascii="Times New Roman" w:eastAsia="Cambria" w:hAnsi="Times New Roman" w:cs="Times New Roman"/>
          <w:szCs w:val="24"/>
          <w:lang w:val="fr-FR"/>
        </w:rPr>
        <w:t> »</w:t>
      </w:r>
      <w:r w:rsidR="005661AF" w:rsidRPr="0070292F">
        <w:rPr>
          <w:rFonts w:ascii="Times New Roman" w:eastAsia="Cambria" w:hAnsi="Times New Roman" w:cs="Times New Roman"/>
          <w:szCs w:val="24"/>
          <w:lang w:val="fr-FR"/>
        </w:rPr>
        <w:t xml:space="preserve"> donnée précédemment, la Cour c</w:t>
      </w:r>
      <w:r w:rsidRPr="0070292F">
        <w:rPr>
          <w:rFonts w:ascii="Times New Roman" w:eastAsia="Cambria" w:hAnsi="Times New Roman" w:cs="Times New Roman"/>
          <w:szCs w:val="24"/>
          <w:lang w:val="fr-FR"/>
        </w:rPr>
        <w:t>onstitutionnelle considér</w:t>
      </w:r>
      <w:r w:rsidR="00122756" w:rsidRPr="0070292F">
        <w:rPr>
          <w:rFonts w:ascii="Times New Roman" w:eastAsia="Cambria" w:hAnsi="Times New Roman" w:cs="Times New Roman"/>
          <w:szCs w:val="24"/>
          <w:lang w:val="fr-FR"/>
        </w:rPr>
        <w:t>a</w:t>
      </w:r>
      <w:r w:rsidRPr="0070292F">
        <w:rPr>
          <w:rFonts w:ascii="Times New Roman" w:eastAsia="Cambria" w:hAnsi="Times New Roman" w:cs="Times New Roman"/>
          <w:szCs w:val="24"/>
          <w:lang w:val="fr-FR"/>
        </w:rPr>
        <w:t xml:space="preserve"> celle</w:t>
      </w:r>
      <w:r w:rsidR="00E4595F" w:rsidRPr="0070292F">
        <w:rPr>
          <w:rFonts w:ascii="Times New Roman" w:eastAsia="Cambria" w:hAnsi="Times New Roman" w:cs="Times New Roman"/>
          <w:szCs w:val="24"/>
          <w:lang w:val="fr-FR"/>
        </w:rPr>
        <w:noBreakHyphen/>
      </w:r>
      <w:r w:rsidRPr="0070292F">
        <w:rPr>
          <w:rFonts w:ascii="Times New Roman" w:eastAsia="Cambria" w:hAnsi="Times New Roman" w:cs="Times New Roman"/>
          <w:szCs w:val="24"/>
          <w:lang w:val="fr-FR"/>
        </w:rPr>
        <w:t>ci comme un aspect de la sécurité publique, laquelle permet</w:t>
      </w:r>
      <w:r w:rsidR="00B86DDF" w:rsidRPr="0070292F">
        <w:rPr>
          <w:rFonts w:ascii="Times New Roman" w:eastAsia="Cambria" w:hAnsi="Times New Roman" w:cs="Times New Roman"/>
          <w:szCs w:val="24"/>
          <w:lang w:val="fr-FR"/>
        </w:rPr>
        <w:t>tait à son avis</w:t>
      </w:r>
      <w:r w:rsidRPr="0070292F">
        <w:rPr>
          <w:rFonts w:ascii="Times New Roman" w:eastAsia="Cambria" w:hAnsi="Times New Roman" w:cs="Times New Roman"/>
          <w:szCs w:val="24"/>
          <w:lang w:val="fr-FR"/>
        </w:rPr>
        <w:t xml:space="preserve"> des limitations </w:t>
      </w:r>
      <w:r w:rsidR="00B86DDF" w:rsidRPr="0070292F">
        <w:rPr>
          <w:rFonts w:ascii="Times New Roman" w:eastAsia="Cambria" w:hAnsi="Times New Roman" w:cs="Times New Roman"/>
          <w:szCs w:val="24"/>
          <w:lang w:val="fr-FR"/>
        </w:rPr>
        <w:t xml:space="preserve">de </w:t>
      </w:r>
      <w:r w:rsidRPr="0070292F">
        <w:rPr>
          <w:rFonts w:ascii="Times New Roman" w:eastAsia="Cambria" w:hAnsi="Times New Roman" w:cs="Times New Roman"/>
          <w:szCs w:val="24"/>
          <w:lang w:val="fr-FR"/>
        </w:rPr>
        <w:t xml:space="preserve">la liberté de circulation des citoyens </w:t>
      </w:r>
      <w:r w:rsidR="00B86DDF" w:rsidRPr="0070292F">
        <w:rPr>
          <w:rFonts w:ascii="Times New Roman" w:eastAsia="Cambria" w:hAnsi="Times New Roman" w:cs="Times New Roman"/>
          <w:szCs w:val="24"/>
          <w:lang w:val="fr-FR"/>
        </w:rPr>
        <w:t>sur le fondement</w:t>
      </w:r>
      <w:r w:rsidRPr="0070292F">
        <w:rPr>
          <w:rFonts w:ascii="Times New Roman" w:eastAsia="Cambria" w:hAnsi="Times New Roman" w:cs="Times New Roman"/>
          <w:szCs w:val="24"/>
          <w:lang w:val="fr-FR"/>
        </w:rPr>
        <w:t xml:space="preserve"> de l</w:t>
      </w:r>
      <w:r w:rsidR="0070292F" w:rsidRPr="0070292F">
        <w:rPr>
          <w:rFonts w:ascii="Times New Roman" w:eastAsia="Cambria" w:hAnsi="Times New Roman" w:cs="Times New Roman"/>
          <w:szCs w:val="24"/>
          <w:lang w:val="fr-FR"/>
        </w:rPr>
        <w:t>’</w:t>
      </w:r>
      <w:r w:rsidRPr="0070292F">
        <w:rPr>
          <w:rFonts w:ascii="Times New Roman" w:eastAsia="Cambria" w:hAnsi="Times New Roman" w:cs="Times New Roman"/>
          <w:szCs w:val="24"/>
          <w:lang w:val="fr-FR"/>
        </w:rPr>
        <w:t>article 16 de la Constitution.</w:t>
      </w:r>
    </w:p>
    <w:p w:rsidR="00186E84" w:rsidRPr="0070292F" w:rsidRDefault="00186E84" w:rsidP="0070292F">
      <w:pPr>
        <w:pStyle w:val="ECHRPara"/>
        <w:rPr>
          <w:rFonts w:ascii="Times New Roman" w:eastAsia="Cambria" w:hAnsi="Times New Roman" w:cs="Times New Roman"/>
          <w:szCs w:val="24"/>
          <w:lang w:val="fr-FR"/>
        </w:rPr>
      </w:pPr>
      <w:r w:rsidRPr="0070292F">
        <w:rPr>
          <w:rFonts w:ascii="Times New Roman" w:eastAsia="Cambria" w:hAnsi="Times New Roman" w:cs="Times New Roman"/>
          <w:szCs w:val="24"/>
          <w:lang w:val="fr-FR"/>
        </w:rPr>
        <w:fldChar w:fldCharType="begin"/>
      </w:r>
      <w:r w:rsidRPr="0070292F">
        <w:rPr>
          <w:rFonts w:ascii="Times New Roman" w:eastAsia="Cambria" w:hAnsi="Times New Roman" w:cs="Times New Roman"/>
          <w:szCs w:val="24"/>
          <w:lang w:val="fr-FR"/>
        </w:rPr>
        <w:instrText xml:space="preserve"> SEQ level0 \*arabic </w:instrText>
      </w:r>
      <w:r w:rsidRPr="0070292F">
        <w:rPr>
          <w:rFonts w:ascii="Times New Roman" w:eastAsia="Cambria" w:hAnsi="Times New Roman" w:cs="Times New Roman"/>
          <w:szCs w:val="24"/>
          <w:lang w:val="fr-FR"/>
        </w:rPr>
        <w:fldChar w:fldCharType="separate"/>
      </w:r>
      <w:r w:rsidR="0070292F" w:rsidRPr="0070292F">
        <w:rPr>
          <w:rFonts w:ascii="Times New Roman" w:eastAsia="Cambria" w:hAnsi="Times New Roman" w:cs="Times New Roman"/>
          <w:noProof/>
          <w:szCs w:val="24"/>
          <w:lang w:val="fr-FR"/>
        </w:rPr>
        <w:t>49</w:t>
      </w:r>
      <w:r w:rsidRPr="0070292F">
        <w:rPr>
          <w:rFonts w:ascii="Times New Roman" w:eastAsia="Cambria" w:hAnsi="Times New Roman" w:cs="Times New Roman"/>
          <w:szCs w:val="24"/>
          <w:lang w:val="fr-FR"/>
        </w:rPr>
        <w:fldChar w:fldCharType="end"/>
      </w:r>
      <w:r w:rsidRPr="0070292F">
        <w:rPr>
          <w:rFonts w:ascii="Times New Roman" w:eastAsia="Cambria" w:hAnsi="Times New Roman" w:cs="Times New Roman"/>
          <w:szCs w:val="24"/>
          <w:lang w:val="fr-FR"/>
        </w:rPr>
        <w:t>.  Dans so</w:t>
      </w:r>
      <w:r w:rsidR="005661AF" w:rsidRPr="0070292F">
        <w:rPr>
          <w:rFonts w:ascii="Times New Roman" w:eastAsia="Cambria" w:hAnsi="Times New Roman" w:cs="Times New Roman"/>
          <w:szCs w:val="24"/>
          <w:lang w:val="fr-FR"/>
        </w:rPr>
        <w:t>n arrêt nº 23 de 1964, la Cour c</w:t>
      </w:r>
      <w:r w:rsidRPr="0070292F">
        <w:rPr>
          <w:rFonts w:ascii="Times New Roman" w:eastAsia="Cambria" w:hAnsi="Times New Roman" w:cs="Times New Roman"/>
          <w:szCs w:val="24"/>
          <w:lang w:val="fr-FR"/>
        </w:rPr>
        <w:t>onstitutionnelle affirm</w:t>
      </w:r>
      <w:r w:rsidR="00B86DDF" w:rsidRPr="0070292F">
        <w:rPr>
          <w:rFonts w:ascii="Times New Roman" w:eastAsia="Cambria" w:hAnsi="Times New Roman" w:cs="Times New Roman"/>
          <w:szCs w:val="24"/>
          <w:lang w:val="fr-FR"/>
        </w:rPr>
        <w:t>a</w:t>
      </w:r>
      <w:r w:rsidRPr="0070292F">
        <w:rPr>
          <w:rFonts w:ascii="Times New Roman" w:eastAsia="Cambria" w:hAnsi="Times New Roman" w:cs="Times New Roman"/>
          <w:szCs w:val="24"/>
          <w:lang w:val="fr-FR"/>
        </w:rPr>
        <w:t xml:space="preserve"> que les mesures de prévention n</w:t>
      </w:r>
      <w:r w:rsidR="0070292F" w:rsidRPr="0070292F">
        <w:rPr>
          <w:rFonts w:ascii="Times New Roman" w:eastAsia="Cambria" w:hAnsi="Times New Roman" w:cs="Times New Roman"/>
          <w:szCs w:val="24"/>
          <w:lang w:val="fr-FR"/>
        </w:rPr>
        <w:t>’</w:t>
      </w:r>
      <w:r w:rsidRPr="0070292F">
        <w:rPr>
          <w:rFonts w:ascii="Times New Roman" w:eastAsia="Cambria" w:hAnsi="Times New Roman" w:cs="Times New Roman"/>
          <w:szCs w:val="24"/>
          <w:lang w:val="fr-FR"/>
        </w:rPr>
        <w:t>étaient contraires ni au principe de légalité ni à celui de la présomption d</w:t>
      </w:r>
      <w:r w:rsidR="0070292F" w:rsidRPr="0070292F">
        <w:rPr>
          <w:rFonts w:ascii="Times New Roman" w:eastAsia="Cambria" w:hAnsi="Times New Roman" w:cs="Times New Roman"/>
          <w:szCs w:val="24"/>
          <w:lang w:val="fr-FR"/>
        </w:rPr>
        <w:t>’</w:t>
      </w:r>
      <w:r w:rsidRPr="0070292F">
        <w:rPr>
          <w:rFonts w:ascii="Times New Roman" w:eastAsia="Cambria" w:hAnsi="Times New Roman" w:cs="Times New Roman"/>
          <w:szCs w:val="24"/>
          <w:lang w:val="fr-FR"/>
        </w:rPr>
        <w:t xml:space="preserve">innocence. </w:t>
      </w:r>
      <w:r w:rsidR="00B86DDF" w:rsidRPr="0070292F">
        <w:rPr>
          <w:rFonts w:ascii="Times New Roman" w:eastAsia="Cambria" w:hAnsi="Times New Roman" w:cs="Times New Roman"/>
          <w:szCs w:val="24"/>
          <w:lang w:val="fr-FR"/>
        </w:rPr>
        <w:t>E</w:t>
      </w:r>
      <w:r w:rsidRPr="0070292F">
        <w:rPr>
          <w:rFonts w:ascii="Times New Roman" w:eastAsia="Cambria" w:hAnsi="Times New Roman" w:cs="Times New Roman"/>
          <w:szCs w:val="24"/>
          <w:lang w:val="fr-FR"/>
        </w:rPr>
        <w:t>lle observ</w:t>
      </w:r>
      <w:r w:rsidR="00B86DDF" w:rsidRPr="0070292F">
        <w:rPr>
          <w:rFonts w:ascii="Times New Roman" w:eastAsia="Cambria" w:hAnsi="Times New Roman" w:cs="Times New Roman"/>
          <w:szCs w:val="24"/>
          <w:lang w:val="fr-FR"/>
        </w:rPr>
        <w:t>a</w:t>
      </w:r>
      <w:r w:rsidRPr="0070292F">
        <w:rPr>
          <w:rFonts w:ascii="Times New Roman" w:eastAsia="Cambria" w:hAnsi="Times New Roman" w:cs="Times New Roman"/>
          <w:szCs w:val="24"/>
          <w:lang w:val="fr-FR"/>
        </w:rPr>
        <w:t xml:space="preserve"> </w:t>
      </w:r>
      <w:r w:rsidR="00B86DDF" w:rsidRPr="0070292F">
        <w:rPr>
          <w:rFonts w:ascii="Times New Roman" w:eastAsia="Cambria" w:hAnsi="Times New Roman" w:cs="Times New Roman"/>
          <w:szCs w:val="24"/>
          <w:lang w:val="fr-FR"/>
        </w:rPr>
        <w:t xml:space="preserve">en particulier </w:t>
      </w:r>
      <w:r w:rsidRPr="0070292F">
        <w:rPr>
          <w:rFonts w:ascii="Times New Roman" w:eastAsia="Cambria" w:hAnsi="Times New Roman" w:cs="Times New Roman"/>
          <w:szCs w:val="24"/>
          <w:lang w:val="fr-FR"/>
        </w:rPr>
        <w:t xml:space="preserve">que le principe de légalité, prévu par la Constitution en matière de limitations </w:t>
      </w:r>
      <w:r w:rsidR="00B86DDF" w:rsidRPr="0070292F">
        <w:rPr>
          <w:rFonts w:ascii="Times New Roman" w:eastAsia="Cambria" w:hAnsi="Times New Roman" w:cs="Times New Roman"/>
          <w:szCs w:val="24"/>
          <w:lang w:val="fr-FR"/>
        </w:rPr>
        <w:t xml:space="preserve">de </w:t>
      </w:r>
      <w:r w:rsidRPr="0070292F">
        <w:rPr>
          <w:rFonts w:ascii="Times New Roman" w:eastAsia="Cambria" w:hAnsi="Times New Roman" w:cs="Times New Roman"/>
          <w:szCs w:val="24"/>
          <w:lang w:val="fr-FR"/>
        </w:rPr>
        <w:t xml:space="preserve">la liberté personnelle (article 13) </w:t>
      </w:r>
      <w:r w:rsidR="00E4595F" w:rsidRPr="0070292F">
        <w:rPr>
          <w:rFonts w:ascii="Times New Roman" w:eastAsia="Cambria" w:hAnsi="Times New Roman" w:cs="Times New Roman"/>
          <w:szCs w:val="24"/>
          <w:lang w:val="fr-FR"/>
        </w:rPr>
        <w:t>mais aussi</w:t>
      </w:r>
      <w:r w:rsidRPr="0070292F">
        <w:rPr>
          <w:rFonts w:ascii="Times New Roman" w:eastAsia="Cambria" w:hAnsi="Times New Roman" w:cs="Times New Roman"/>
          <w:szCs w:val="24"/>
          <w:lang w:val="fr-FR"/>
        </w:rPr>
        <w:t xml:space="preserve"> </w:t>
      </w:r>
      <w:r w:rsidR="00B86DDF" w:rsidRPr="0070292F">
        <w:rPr>
          <w:rFonts w:ascii="Times New Roman" w:eastAsia="Cambria" w:hAnsi="Times New Roman" w:cs="Times New Roman"/>
          <w:szCs w:val="24"/>
          <w:lang w:val="fr-FR"/>
        </w:rPr>
        <w:t>d</w:t>
      </w:r>
      <w:r w:rsidR="0070292F" w:rsidRPr="0070292F">
        <w:rPr>
          <w:rFonts w:ascii="Times New Roman" w:eastAsia="Cambria" w:hAnsi="Times New Roman" w:cs="Times New Roman"/>
          <w:szCs w:val="24"/>
          <w:lang w:val="fr-FR"/>
        </w:rPr>
        <w:t>’</w:t>
      </w:r>
      <w:r w:rsidR="00B86DDF" w:rsidRPr="0070292F">
        <w:rPr>
          <w:rFonts w:ascii="Times New Roman" w:eastAsia="Cambria" w:hAnsi="Times New Roman" w:cs="Times New Roman"/>
          <w:szCs w:val="24"/>
          <w:lang w:val="fr-FR"/>
        </w:rPr>
        <w:t>infractions</w:t>
      </w:r>
      <w:r w:rsidRPr="0070292F">
        <w:rPr>
          <w:rFonts w:ascii="Times New Roman" w:eastAsia="Cambria" w:hAnsi="Times New Roman" w:cs="Times New Roman"/>
          <w:szCs w:val="24"/>
          <w:lang w:val="fr-FR"/>
        </w:rPr>
        <w:t xml:space="preserve"> et de mesures de </w:t>
      </w:r>
      <w:r w:rsidR="00B86DDF" w:rsidRPr="0070292F">
        <w:rPr>
          <w:rFonts w:ascii="Times New Roman" w:eastAsia="Cambria" w:hAnsi="Times New Roman" w:cs="Times New Roman"/>
          <w:szCs w:val="24"/>
          <w:lang w:val="fr-FR"/>
        </w:rPr>
        <w:t xml:space="preserve">sûreté </w:t>
      </w:r>
      <w:r w:rsidRPr="0070292F">
        <w:rPr>
          <w:rFonts w:ascii="Times New Roman" w:eastAsia="Cambria" w:hAnsi="Times New Roman" w:cs="Times New Roman"/>
          <w:szCs w:val="24"/>
          <w:lang w:val="fr-FR"/>
        </w:rPr>
        <w:t xml:space="preserve">(article 25), était applicable aux mesures de prévention. </w:t>
      </w:r>
      <w:r w:rsidR="005C5744" w:rsidRPr="0070292F">
        <w:rPr>
          <w:rFonts w:ascii="Times New Roman" w:eastAsia="Cambria" w:hAnsi="Times New Roman" w:cs="Times New Roman"/>
          <w:szCs w:val="24"/>
          <w:lang w:val="fr-FR"/>
        </w:rPr>
        <w:t>Elle jugea t</w:t>
      </w:r>
      <w:r w:rsidRPr="0070292F">
        <w:rPr>
          <w:rFonts w:ascii="Times New Roman" w:eastAsia="Cambria" w:hAnsi="Times New Roman" w:cs="Times New Roman"/>
          <w:szCs w:val="24"/>
          <w:lang w:val="fr-FR"/>
        </w:rPr>
        <w:t>outefois</w:t>
      </w:r>
      <w:r w:rsidR="005C5744" w:rsidRPr="0070292F">
        <w:rPr>
          <w:rFonts w:ascii="Times New Roman" w:eastAsia="Cambria" w:hAnsi="Times New Roman" w:cs="Times New Roman"/>
          <w:szCs w:val="24"/>
          <w:lang w:val="fr-FR"/>
        </w:rPr>
        <w:t xml:space="preserve"> que le</w:t>
      </w:r>
      <w:r w:rsidRPr="0070292F">
        <w:rPr>
          <w:rFonts w:ascii="Times New Roman" w:eastAsia="Cambria" w:hAnsi="Times New Roman" w:cs="Times New Roman"/>
          <w:szCs w:val="24"/>
          <w:lang w:val="fr-FR"/>
        </w:rPr>
        <w:t xml:space="preserve"> respect </w:t>
      </w:r>
      <w:r w:rsidR="005C5744" w:rsidRPr="0070292F">
        <w:rPr>
          <w:rFonts w:ascii="Times New Roman" w:eastAsia="Cambria" w:hAnsi="Times New Roman" w:cs="Times New Roman"/>
          <w:szCs w:val="24"/>
          <w:lang w:val="fr-FR"/>
        </w:rPr>
        <w:t xml:space="preserve">du </w:t>
      </w:r>
      <w:r w:rsidR="00E4595F" w:rsidRPr="0070292F">
        <w:rPr>
          <w:rFonts w:ascii="Times New Roman" w:eastAsia="Cambria" w:hAnsi="Times New Roman" w:cs="Times New Roman"/>
          <w:szCs w:val="24"/>
          <w:lang w:val="fr-FR"/>
        </w:rPr>
        <w:t>prin</w:t>
      </w:r>
      <w:r w:rsidR="005C5744" w:rsidRPr="0070292F">
        <w:rPr>
          <w:rFonts w:ascii="Times New Roman" w:eastAsia="Cambria" w:hAnsi="Times New Roman" w:cs="Times New Roman"/>
          <w:szCs w:val="24"/>
          <w:lang w:val="fr-FR"/>
        </w:rPr>
        <w:t xml:space="preserve">cipe de légalité devait </w:t>
      </w:r>
      <w:r w:rsidRPr="0070292F">
        <w:rPr>
          <w:rFonts w:ascii="Times New Roman" w:eastAsia="Cambria" w:hAnsi="Times New Roman" w:cs="Times New Roman"/>
          <w:szCs w:val="24"/>
          <w:lang w:val="fr-FR"/>
        </w:rPr>
        <w:t xml:space="preserve">être vérifié selon des critères spécifiques </w:t>
      </w:r>
      <w:r w:rsidR="005C5744" w:rsidRPr="0070292F">
        <w:rPr>
          <w:rFonts w:ascii="Times New Roman" w:eastAsia="Cambria" w:hAnsi="Times New Roman" w:cs="Times New Roman"/>
          <w:szCs w:val="24"/>
          <w:lang w:val="fr-FR"/>
        </w:rPr>
        <w:t>tenant</w:t>
      </w:r>
      <w:r w:rsidRPr="0070292F">
        <w:rPr>
          <w:rFonts w:ascii="Times New Roman" w:eastAsia="Cambria" w:hAnsi="Times New Roman" w:cs="Times New Roman"/>
          <w:szCs w:val="24"/>
          <w:lang w:val="fr-FR"/>
        </w:rPr>
        <w:t xml:space="preserve"> compte de </w:t>
      </w:r>
      <w:r w:rsidR="005C5744" w:rsidRPr="0070292F">
        <w:rPr>
          <w:rFonts w:ascii="Times New Roman" w:eastAsia="Cambria" w:hAnsi="Times New Roman" w:cs="Times New Roman"/>
          <w:szCs w:val="24"/>
          <w:lang w:val="fr-FR"/>
        </w:rPr>
        <w:t xml:space="preserve">la </w:t>
      </w:r>
      <w:r w:rsidRPr="0070292F">
        <w:rPr>
          <w:rFonts w:ascii="Times New Roman" w:eastAsia="Cambria" w:hAnsi="Times New Roman" w:cs="Times New Roman"/>
          <w:szCs w:val="24"/>
          <w:lang w:val="fr-FR"/>
        </w:rPr>
        <w:t>nature et des finalités</w:t>
      </w:r>
      <w:r w:rsidR="005C5744" w:rsidRPr="0070292F">
        <w:rPr>
          <w:rFonts w:ascii="Times New Roman" w:eastAsia="Cambria" w:hAnsi="Times New Roman" w:cs="Times New Roman"/>
          <w:szCs w:val="24"/>
          <w:lang w:val="fr-FR"/>
        </w:rPr>
        <w:t xml:space="preserve"> desdites mesures</w:t>
      </w:r>
      <w:r w:rsidRPr="0070292F">
        <w:rPr>
          <w:rFonts w:ascii="Times New Roman" w:eastAsia="Cambria" w:hAnsi="Times New Roman" w:cs="Times New Roman"/>
          <w:szCs w:val="24"/>
          <w:lang w:val="fr-FR"/>
        </w:rPr>
        <w:t xml:space="preserve">. </w:t>
      </w:r>
      <w:r w:rsidR="005C5744" w:rsidRPr="0070292F">
        <w:rPr>
          <w:rFonts w:ascii="Times New Roman" w:eastAsia="Cambria" w:hAnsi="Times New Roman" w:cs="Times New Roman"/>
          <w:szCs w:val="24"/>
          <w:lang w:val="fr-FR"/>
        </w:rPr>
        <w:t>Elle ajouta que l</w:t>
      </w:r>
      <w:r w:rsidRPr="0070292F">
        <w:rPr>
          <w:rFonts w:ascii="Times New Roman" w:eastAsia="Cambria" w:hAnsi="Times New Roman" w:cs="Times New Roman"/>
          <w:szCs w:val="24"/>
          <w:lang w:val="fr-FR"/>
        </w:rPr>
        <w:t xml:space="preserve">es buts préventifs de </w:t>
      </w:r>
      <w:r w:rsidR="005C5744" w:rsidRPr="0070292F">
        <w:rPr>
          <w:rFonts w:ascii="Times New Roman" w:eastAsia="Cambria" w:hAnsi="Times New Roman" w:cs="Times New Roman"/>
          <w:szCs w:val="24"/>
          <w:lang w:val="fr-FR"/>
        </w:rPr>
        <w:t>celles-ci</w:t>
      </w:r>
      <w:r w:rsidRPr="0070292F">
        <w:rPr>
          <w:rFonts w:ascii="Times New Roman" w:eastAsia="Cambria" w:hAnsi="Times New Roman" w:cs="Times New Roman"/>
          <w:szCs w:val="24"/>
          <w:lang w:val="fr-FR"/>
        </w:rPr>
        <w:t xml:space="preserve"> expliqu</w:t>
      </w:r>
      <w:r w:rsidR="005C5744" w:rsidRPr="0070292F">
        <w:rPr>
          <w:rFonts w:ascii="Times New Roman" w:eastAsia="Cambria" w:hAnsi="Times New Roman" w:cs="Times New Roman"/>
          <w:szCs w:val="24"/>
          <w:lang w:val="fr-FR"/>
        </w:rPr>
        <w:t>ai</w:t>
      </w:r>
      <w:r w:rsidRPr="0070292F">
        <w:rPr>
          <w:rFonts w:ascii="Times New Roman" w:eastAsia="Cambria" w:hAnsi="Times New Roman" w:cs="Times New Roman"/>
          <w:szCs w:val="24"/>
          <w:lang w:val="fr-FR"/>
        </w:rPr>
        <w:t>ent que leur adoption ne se fond</w:t>
      </w:r>
      <w:r w:rsidR="005C5744" w:rsidRPr="0070292F">
        <w:rPr>
          <w:rFonts w:ascii="Times New Roman" w:eastAsia="Cambria" w:hAnsi="Times New Roman" w:cs="Times New Roman"/>
          <w:szCs w:val="24"/>
          <w:lang w:val="fr-FR"/>
        </w:rPr>
        <w:t>ât</w:t>
      </w:r>
      <w:r w:rsidRPr="0070292F">
        <w:rPr>
          <w:rFonts w:ascii="Times New Roman" w:eastAsia="Cambria" w:hAnsi="Times New Roman" w:cs="Times New Roman"/>
          <w:szCs w:val="24"/>
          <w:lang w:val="fr-FR"/>
        </w:rPr>
        <w:t xml:space="preserve"> pas sur </w:t>
      </w:r>
      <w:r w:rsidR="00E4595F" w:rsidRPr="0070292F">
        <w:rPr>
          <w:rFonts w:ascii="Times New Roman" w:eastAsia="Cambria" w:hAnsi="Times New Roman" w:cs="Times New Roman"/>
          <w:szCs w:val="24"/>
          <w:lang w:val="fr-FR"/>
        </w:rPr>
        <w:t xml:space="preserve">le </w:t>
      </w:r>
      <w:r w:rsidRPr="0070292F">
        <w:rPr>
          <w:rFonts w:ascii="Times New Roman" w:eastAsia="Cambria" w:hAnsi="Times New Roman" w:cs="Times New Roman"/>
          <w:szCs w:val="24"/>
          <w:lang w:val="fr-FR"/>
        </w:rPr>
        <w:t>constat isolé d</w:t>
      </w:r>
      <w:r w:rsidR="0070292F" w:rsidRPr="0070292F">
        <w:rPr>
          <w:rFonts w:ascii="Times New Roman" w:eastAsia="Cambria" w:hAnsi="Times New Roman" w:cs="Times New Roman"/>
          <w:szCs w:val="24"/>
          <w:lang w:val="fr-FR"/>
        </w:rPr>
        <w:t>’</w:t>
      </w:r>
      <w:r w:rsidRPr="0070292F">
        <w:rPr>
          <w:rFonts w:ascii="Times New Roman" w:eastAsia="Cambria" w:hAnsi="Times New Roman" w:cs="Times New Roman"/>
          <w:szCs w:val="24"/>
          <w:lang w:val="fr-FR"/>
        </w:rPr>
        <w:t>un fait déterminé, mais plutôt sur un ensemble de comportements révéla</w:t>
      </w:r>
      <w:r w:rsidR="004F4A59" w:rsidRPr="0070292F">
        <w:rPr>
          <w:rFonts w:ascii="Times New Roman" w:eastAsia="Cambria" w:hAnsi="Times New Roman" w:cs="Times New Roman"/>
          <w:szCs w:val="24"/>
          <w:lang w:val="fr-FR"/>
        </w:rPr>
        <w:t>nt</w:t>
      </w:r>
      <w:r w:rsidRPr="0070292F">
        <w:rPr>
          <w:rFonts w:ascii="Times New Roman" w:eastAsia="Cambria" w:hAnsi="Times New Roman" w:cs="Times New Roman"/>
          <w:szCs w:val="24"/>
          <w:lang w:val="fr-FR"/>
        </w:rPr>
        <w:t xml:space="preserve"> la dangerosité sociale.</w:t>
      </w:r>
    </w:p>
    <w:p w:rsidR="00186E84" w:rsidRPr="0070292F" w:rsidRDefault="00186E84" w:rsidP="0070292F">
      <w:pPr>
        <w:pStyle w:val="ECHRPara"/>
        <w:rPr>
          <w:rFonts w:ascii="Times New Roman" w:eastAsia="Cambria" w:hAnsi="Times New Roman" w:cs="Times New Roman"/>
          <w:szCs w:val="24"/>
          <w:lang w:val="fr-FR"/>
        </w:rPr>
      </w:pPr>
      <w:r w:rsidRPr="0070292F">
        <w:rPr>
          <w:rFonts w:ascii="Times New Roman" w:eastAsia="Cambria" w:hAnsi="Times New Roman" w:cs="Times New Roman"/>
          <w:szCs w:val="24"/>
          <w:lang w:val="fr-FR"/>
        </w:rPr>
        <w:fldChar w:fldCharType="begin"/>
      </w:r>
      <w:r w:rsidRPr="0070292F">
        <w:rPr>
          <w:rFonts w:ascii="Times New Roman" w:eastAsia="Cambria" w:hAnsi="Times New Roman" w:cs="Times New Roman"/>
          <w:szCs w:val="24"/>
          <w:lang w:val="fr-FR"/>
        </w:rPr>
        <w:instrText xml:space="preserve"> SEQ level0 \*arabic </w:instrText>
      </w:r>
      <w:r w:rsidRPr="0070292F">
        <w:rPr>
          <w:rFonts w:ascii="Times New Roman" w:eastAsia="Cambria" w:hAnsi="Times New Roman" w:cs="Times New Roman"/>
          <w:szCs w:val="24"/>
          <w:lang w:val="fr-FR"/>
        </w:rPr>
        <w:fldChar w:fldCharType="separate"/>
      </w:r>
      <w:r w:rsidR="0070292F" w:rsidRPr="0070292F">
        <w:rPr>
          <w:rFonts w:ascii="Times New Roman" w:eastAsia="Cambria" w:hAnsi="Times New Roman" w:cs="Times New Roman"/>
          <w:noProof/>
          <w:szCs w:val="24"/>
          <w:lang w:val="fr-FR"/>
        </w:rPr>
        <w:t>50</w:t>
      </w:r>
      <w:r w:rsidRPr="0070292F">
        <w:rPr>
          <w:rFonts w:ascii="Times New Roman" w:eastAsia="Cambria" w:hAnsi="Times New Roman" w:cs="Times New Roman"/>
          <w:szCs w:val="24"/>
          <w:lang w:val="fr-FR"/>
        </w:rPr>
        <w:fldChar w:fldCharType="end"/>
      </w:r>
      <w:r w:rsidRPr="0070292F">
        <w:rPr>
          <w:rFonts w:ascii="Times New Roman" w:eastAsia="Cambria" w:hAnsi="Times New Roman" w:cs="Times New Roman"/>
          <w:szCs w:val="24"/>
          <w:lang w:val="fr-FR"/>
        </w:rPr>
        <w:t>.  </w:t>
      </w:r>
      <w:r w:rsidR="00F20813" w:rsidRPr="0070292F">
        <w:rPr>
          <w:rFonts w:ascii="Times New Roman" w:eastAsia="Cambria" w:hAnsi="Times New Roman" w:cs="Times New Roman"/>
          <w:szCs w:val="24"/>
          <w:lang w:val="fr-FR"/>
        </w:rPr>
        <w:t>Pour la Cour constitutionnelle, il</w:t>
      </w:r>
      <w:r w:rsidRPr="0070292F">
        <w:rPr>
          <w:rFonts w:ascii="Times New Roman" w:eastAsia="Cambria" w:hAnsi="Times New Roman" w:cs="Times New Roman"/>
          <w:szCs w:val="24"/>
          <w:lang w:val="fr-FR"/>
        </w:rPr>
        <w:t xml:space="preserve"> s</w:t>
      </w:r>
      <w:r w:rsidR="0070292F" w:rsidRPr="0070292F">
        <w:rPr>
          <w:rFonts w:ascii="Times New Roman" w:eastAsia="Cambria" w:hAnsi="Times New Roman" w:cs="Times New Roman"/>
          <w:szCs w:val="24"/>
          <w:lang w:val="fr-FR"/>
        </w:rPr>
        <w:t>’</w:t>
      </w:r>
      <w:r w:rsidRPr="0070292F">
        <w:rPr>
          <w:rFonts w:ascii="Times New Roman" w:eastAsia="Cambria" w:hAnsi="Times New Roman" w:cs="Times New Roman"/>
          <w:szCs w:val="24"/>
          <w:lang w:val="fr-FR"/>
        </w:rPr>
        <w:t>ensui</w:t>
      </w:r>
      <w:r w:rsidR="00F20813" w:rsidRPr="0070292F">
        <w:rPr>
          <w:rFonts w:ascii="Times New Roman" w:eastAsia="Cambria" w:hAnsi="Times New Roman" w:cs="Times New Roman"/>
          <w:szCs w:val="24"/>
          <w:lang w:val="fr-FR"/>
        </w:rPr>
        <w:t>vait</w:t>
      </w:r>
      <w:r w:rsidRPr="0070292F">
        <w:rPr>
          <w:rFonts w:ascii="Times New Roman" w:eastAsia="Cambria" w:hAnsi="Times New Roman" w:cs="Times New Roman"/>
          <w:szCs w:val="24"/>
          <w:lang w:val="fr-FR"/>
        </w:rPr>
        <w:t xml:space="preserve"> </w:t>
      </w:r>
      <w:r w:rsidR="00F20813" w:rsidRPr="0070292F">
        <w:rPr>
          <w:rFonts w:ascii="Times New Roman" w:eastAsia="Cambria" w:hAnsi="Times New Roman" w:cs="Times New Roman"/>
          <w:szCs w:val="24"/>
          <w:lang w:val="fr-FR"/>
        </w:rPr>
        <w:t>qu</w:t>
      </w:r>
      <w:r w:rsidR="0070292F" w:rsidRPr="0070292F">
        <w:rPr>
          <w:rFonts w:ascii="Times New Roman" w:eastAsia="Cambria" w:hAnsi="Times New Roman" w:cs="Times New Roman"/>
          <w:szCs w:val="24"/>
          <w:lang w:val="fr-FR"/>
        </w:rPr>
        <w:t>’</w:t>
      </w:r>
      <w:r w:rsidR="00F20813" w:rsidRPr="0070292F">
        <w:rPr>
          <w:rFonts w:ascii="Times New Roman" w:eastAsia="Cambria" w:hAnsi="Times New Roman" w:cs="Times New Roman"/>
          <w:szCs w:val="24"/>
          <w:lang w:val="fr-FR"/>
        </w:rPr>
        <w:t>en définissant les</w:t>
      </w:r>
      <w:r w:rsidRPr="0070292F">
        <w:rPr>
          <w:rFonts w:ascii="Times New Roman" w:eastAsia="Cambria" w:hAnsi="Times New Roman" w:cs="Times New Roman"/>
          <w:szCs w:val="24"/>
          <w:lang w:val="fr-FR"/>
        </w:rPr>
        <w:t xml:space="preserve"> catégories de sujets concernés, le législateur </w:t>
      </w:r>
      <w:r w:rsidR="00F20813" w:rsidRPr="0070292F">
        <w:rPr>
          <w:rFonts w:ascii="Times New Roman" w:eastAsia="Cambria" w:hAnsi="Times New Roman" w:cs="Times New Roman"/>
          <w:szCs w:val="24"/>
          <w:lang w:val="fr-FR"/>
        </w:rPr>
        <w:t xml:space="preserve">devait </w:t>
      </w:r>
      <w:r w:rsidRPr="0070292F">
        <w:rPr>
          <w:rFonts w:ascii="Times New Roman" w:eastAsia="Cambria" w:hAnsi="Times New Roman" w:cs="Times New Roman"/>
          <w:szCs w:val="24"/>
          <w:lang w:val="fr-FR"/>
        </w:rPr>
        <w:t xml:space="preserve">suivre des critères </w:t>
      </w:r>
      <w:r w:rsidR="006347C7" w:rsidRPr="0070292F">
        <w:rPr>
          <w:rFonts w:ascii="Times New Roman" w:eastAsia="Cambria" w:hAnsi="Times New Roman" w:cs="Times New Roman"/>
          <w:szCs w:val="24"/>
          <w:lang w:val="fr-FR"/>
        </w:rPr>
        <w:t xml:space="preserve">distincts </w:t>
      </w:r>
      <w:r w:rsidRPr="0070292F">
        <w:rPr>
          <w:rFonts w:ascii="Times New Roman" w:eastAsia="Cambria" w:hAnsi="Times New Roman" w:cs="Times New Roman"/>
          <w:szCs w:val="24"/>
          <w:lang w:val="fr-FR"/>
        </w:rPr>
        <w:t>de ceux utilisés pour la détermination des éléments constitutifs d</w:t>
      </w:r>
      <w:r w:rsidR="0070292F" w:rsidRPr="0070292F">
        <w:rPr>
          <w:rFonts w:ascii="Times New Roman" w:eastAsia="Cambria" w:hAnsi="Times New Roman" w:cs="Times New Roman"/>
          <w:szCs w:val="24"/>
          <w:lang w:val="fr-FR"/>
        </w:rPr>
        <w:t>’</w:t>
      </w:r>
      <w:r w:rsidRPr="0070292F">
        <w:rPr>
          <w:rFonts w:ascii="Times New Roman" w:eastAsia="Cambria" w:hAnsi="Times New Roman" w:cs="Times New Roman"/>
          <w:szCs w:val="24"/>
          <w:lang w:val="fr-FR"/>
        </w:rPr>
        <w:t>un</w:t>
      </w:r>
      <w:r w:rsidR="006347C7" w:rsidRPr="0070292F">
        <w:rPr>
          <w:rFonts w:ascii="Times New Roman" w:eastAsia="Cambria" w:hAnsi="Times New Roman" w:cs="Times New Roman"/>
          <w:szCs w:val="24"/>
          <w:lang w:val="fr-FR"/>
        </w:rPr>
        <w:t>e infraction</w:t>
      </w:r>
      <w:r w:rsidRPr="0070292F">
        <w:rPr>
          <w:rFonts w:ascii="Times New Roman" w:eastAsia="Cambria" w:hAnsi="Times New Roman" w:cs="Times New Roman"/>
          <w:szCs w:val="24"/>
          <w:lang w:val="fr-FR"/>
        </w:rPr>
        <w:t xml:space="preserve"> (et </w:t>
      </w:r>
      <w:r w:rsidR="00F20813" w:rsidRPr="0070292F">
        <w:rPr>
          <w:rFonts w:ascii="Times New Roman" w:eastAsia="Cambria" w:hAnsi="Times New Roman" w:cs="Times New Roman"/>
          <w:szCs w:val="24"/>
          <w:lang w:val="fr-FR"/>
        </w:rPr>
        <w:t xml:space="preserve">pouvait </w:t>
      </w:r>
      <w:r w:rsidRPr="0070292F">
        <w:rPr>
          <w:rFonts w:ascii="Times New Roman" w:eastAsia="Cambria" w:hAnsi="Times New Roman" w:cs="Times New Roman"/>
          <w:szCs w:val="24"/>
          <w:lang w:val="fr-FR"/>
        </w:rPr>
        <w:t xml:space="preserve">recourir à des éléments de </w:t>
      </w:r>
      <w:r w:rsidRPr="0070292F">
        <w:rPr>
          <w:rFonts w:ascii="Times New Roman" w:eastAsia="Cambria" w:hAnsi="Times New Roman" w:cs="Times New Roman"/>
          <w:color w:val="000000"/>
          <w:szCs w:val="24"/>
          <w:lang w:val="fr-FR"/>
        </w:rPr>
        <w:t>présomption)</w:t>
      </w:r>
      <w:r w:rsidRPr="0070292F">
        <w:rPr>
          <w:rFonts w:ascii="Times New Roman" w:eastAsia="Cambria" w:hAnsi="Times New Roman" w:cs="Times New Roman"/>
          <w:szCs w:val="24"/>
          <w:lang w:val="fr-FR"/>
        </w:rPr>
        <w:t xml:space="preserve">, </w:t>
      </w:r>
      <w:r w:rsidR="000226EA" w:rsidRPr="0070292F">
        <w:rPr>
          <w:rFonts w:ascii="Times New Roman" w:eastAsia="Cambria" w:hAnsi="Times New Roman" w:cs="Times New Roman"/>
          <w:szCs w:val="24"/>
          <w:lang w:val="fr-FR"/>
        </w:rPr>
        <w:t xml:space="preserve">critères qui </w:t>
      </w:r>
      <w:r w:rsidR="00F20813" w:rsidRPr="0070292F">
        <w:rPr>
          <w:rFonts w:ascii="Times New Roman" w:eastAsia="Cambria" w:hAnsi="Times New Roman" w:cs="Times New Roman"/>
          <w:szCs w:val="24"/>
          <w:lang w:val="fr-FR"/>
        </w:rPr>
        <w:t xml:space="preserve">devaient </w:t>
      </w:r>
      <w:r w:rsidRPr="0070292F">
        <w:rPr>
          <w:rFonts w:ascii="Times New Roman" w:eastAsia="Cambria" w:hAnsi="Times New Roman" w:cs="Times New Roman"/>
          <w:szCs w:val="24"/>
          <w:lang w:val="fr-FR"/>
        </w:rPr>
        <w:t xml:space="preserve">correspondre </w:t>
      </w:r>
      <w:r w:rsidRPr="0070292F">
        <w:rPr>
          <w:rFonts w:ascii="Times New Roman" w:eastAsia="Cambria" w:hAnsi="Times New Roman" w:cs="Times New Roman"/>
          <w:color w:val="000000"/>
          <w:szCs w:val="24"/>
          <w:lang w:val="fr-FR"/>
        </w:rPr>
        <w:t xml:space="preserve">à des comportements objectivement identifiables. Selon la </w:t>
      </w:r>
      <w:r w:rsidR="00F20813" w:rsidRPr="0070292F">
        <w:rPr>
          <w:rFonts w:ascii="Times New Roman" w:eastAsia="Cambria" w:hAnsi="Times New Roman" w:cs="Times New Roman"/>
          <w:color w:val="000000"/>
          <w:szCs w:val="24"/>
          <w:lang w:val="fr-FR"/>
        </w:rPr>
        <w:t xml:space="preserve">juridiction </w:t>
      </w:r>
      <w:r w:rsidR="005661AF" w:rsidRPr="0070292F">
        <w:rPr>
          <w:rFonts w:ascii="Times New Roman" w:eastAsia="Cambria" w:hAnsi="Times New Roman" w:cs="Times New Roman"/>
          <w:color w:val="000000"/>
          <w:szCs w:val="24"/>
          <w:lang w:val="fr-FR"/>
        </w:rPr>
        <w:t>c</w:t>
      </w:r>
      <w:r w:rsidR="00CE3F53" w:rsidRPr="0070292F">
        <w:rPr>
          <w:rFonts w:ascii="Times New Roman" w:eastAsia="Cambria" w:hAnsi="Times New Roman" w:cs="Times New Roman"/>
          <w:color w:val="000000"/>
          <w:szCs w:val="24"/>
          <w:lang w:val="fr-FR"/>
        </w:rPr>
        <w:t>onstitutionnelle</w:t>
      </w:r>
      <w:r w:rsidRPr="0070292F">
        <w:rPr>
          <w:rFonts w:ascii="Times New Roman" w:eastAsia="Cambria" w:hAnsi="Times New Roman" w:cs="Times New Roman"/>
          <w:color w:val="000000"/>
          <w:szCs w:val="24"/>
          <w:lang w:val="fr-FR"/>
        </w:rPr>
        <w:t>, l</w:t>
      </w:r>
      <w:r w:rsidR="0070292F" w:rsidRPr="0070292F">
        <w:rPr>
          <w:rFonts w:ascii="Times New Roman" w:eastAsia="Cambria" w:hAnsi="Times New Roman" w:cs="Times New Roman"/>
          <w:color w:val="000000"/>
          <w:szCs w:val="24"/>
          <w:lang w:val="fr-FR"/>
        </w:rPr>
        <w:t>’</w:t>
      </w:r>
      <w:r w:rsidRPr="0070292F">
        <w:rPr>
          <w:rFonts w:ascii="Times New Roman" w:eastAsia="Cambria" w:hAnsi="Times New Roman" w:cs="Times New Roman"/>
          <w:color w:val="000000"/>
          <w:szCs w:val="24"/>
          <w:lang w:val="fr-FR"/>
        </w:rPr>
        <w:t xml:space="preserve">approche de la </w:t>
      </w:r>
      <w:r w:rsidR="00F20813" w:rsidRPr="0070292F">
        <w:rPr>
          <w:rFonts w:ascii="Times New Roman" w:eastAsia="Cambria" w:hAnsi="Times New Roman" w:cs="Times New Roman"/>
          <w:color w:val="000000"/>
          <w:szCs w:val="24"/>
          <w:lang w:val="fr-FR"/>
        </w:rPr>
        <w:t xml:space="preserve">définition </w:t>
      </w:r>
      <w:r w:rsidRPr="0070292F">
        <w:rPr>
          <w:rFonts w:ascii="Times New Roman" w:eastAsia="Cambria" w:hAnsi="Times New Roman" w:cs="Times New Roman"/>
          <w:color w:val="000000"/>
          <w:szCs w:val="24"/>
          <w:lang w:val="fr-FR"/>
        </w:rPr>
        <w:t>des mesures de prévention n</w:t>
      </w:r>
      <w:r w:rsidR="0070292F" w:rsidRPr="0070292F">
        <w:rPr>
          <w:rFonts w:ascii="Times New Roman" w:eastAsia="Cambria" w:hAnsi="Times New Roman" w:cs="Times New Roman"/>
          <w:color w:val="000000"/>
          <w:szCs w:val="24"/>
          <w:lang w:val="fr-FR"/>
        </w:rPr>
        <w:t>’</w:t>
      </w:r>
      <w:r w:rsidR="006347C7" w:rsidRPr="0070292F">
        <w:rPr>
          <w:rFonts w:ascii="Times New Roman" w:eastAsia="Cambria" w:hAnsi="Times New Roman" w:cs="Times New Roman"/>
          <w:color w:val="000000"/>
          <w:szCs w:val="24"/>
          <w:lang w:val="fr-FR"/>
        </w:rPr>
        <w:t>était</w:t>
      </w:r>
      <w:r w:rsidRPr="0070292F">
        <w:rPr>
          <w:rFonts w:ascii="Times New Roman" w:eastAsia="Cambria" w:hAnsi="Times New Roman" w:cs="Times New Roman"/>
          <w:color w:val="000000"/>
          <w:szCs w:val="24"/>
          <w:lang w:val="fr-FR"/>
        </w:rPr>
        <w:t xml:space="preserve"> pas moins </w:t>
      </w:r>
      <w:r w:rsidR="006347C7" w:rsidRPr="0070292F">
        <w:rPr>
          <w:rFonts w:ascii="Times New Roman" w:eastAsia="Cambria" w:hAnsi="Times New Roman" w:cs="Times New Roman"/>
          <w:color w:val="000000"/>
          <w:szCs w:val="24"/>
          <w:lang w:val="fr-FR"/>
        </w:rPr>
        <w:t xml:space="preserve">stricte </w:t>
      </w:r>
      <w:r w:rsidR="00374B0A" w:rsidRPr="0070292F">
        <w:rPr>
          <w:rFonts w:ascii="Times New Roman" w:eastAsia="Cambria" w:hAnsi="Times New Roman" w:cs="Times New Roman"/>
          <w:color w:val="000000"/>
          <w:szCs w:val="24"/>
          <w:lang w:val="fr-FR"/>
        </w:rPr>
        <w:t>que</w:t>
      </w:r>
      <w:r w:rsidRPr="0070292F">
        <w:rPr>
          <w:rFonts w:ascii="Times New Roman" w:eastAsia="Cambria" w:hAnsi="Times New Roman" w:cs="Times New Roman"/>
          <w:color w:val="000000"/>
          <w:szCs w:val="24"/>
          <w:lang w:val="fr-FR"/>
        </w:rPr>
        <w:t xml:space="preserve"> celle visant la </w:t>
      </w:r>
      <w:r w:rsidR="00F20813" w:rsidRPr="0070292F">
        <w:rPr>
          <w:rFonts w:ascii="Times New Roman" w:eastAsia="Cambria" w:hAnsi="Times New Roman" w:cs="Times New Roman"/>
          <w:color w:val="000000"/>
          <w:szCs w:val="24"/>
          <w:lang w:val="fr-FR"/>
        </w:rPr>
        <w:t xml:space="preserve">définition </w:t>
      </w:r>
      <w:r w:rsidRPr="0070292F">
        <w:rPr>
          <w:rFonts w:ascii="Times New Roman" w:eastAsia="Cambria" w:hAnsi="Times New Roman" w:cs="Times New Roman"/>
          <w:color w:val="000000"/>
          <w:szCs w:val="24"/>
          <w:lang w:val="fr-FR"/>
        </w:rPr>
        <w:t xml:space="preserve">des </w:t>
      </w:r>
      <w:r w:rsidR="006347C7" w:rsidRPr="0070292F">
        <w:rPr>
          <w:rFonts w:ascii="Times New Roman" w:eastAsia="Cambria" w:hAnsi="Times New Roman" w:cs="Times New Roman"/>
          <w:color w:val="000000"/>
          <w:szCs w:val="24"/>
          <w:lang w:val="fr-FR"/>
        </w:rPr>
        <w:t xml:space="preserve">infractions </w:t>
      </w:r>
      <w:r w:rsidRPr="0070292F">
        <w:rPr>
          <w:rFonts w:ascii="Times New Roman" w:eastAsia="Cambria" w:hAnsi="Times New Roman" w:cs="Times New Roman"/>
          <w:color w:val="000000"/>
          <w:szCs w:val="24"/>
          <w:lang w:val="fr-FR"/>
        </w:rPr>
        <w:t xml:space="preserve">et </w:t>
      </w:r>
      <w:r w:rsidR="006603B9" w:rsidRPr="0070292F">
        <w:rPr>
          <w:rFonts w:ascii="Times New Roman" w:eastAsia="Cambria" w:hAnsi="Times New Roman" w:cs="Times New Roman"/>
          <w:color w:val="000000"/>
          <w:szCs w:val="24"/>
          <w:lang w:val="fr-FR"/>
        </w:rPr>
        <w:t xml:space="preserve">des </w:t>
      </w:r>
      <w:r w:rsidRPr="0070292F">
        <w:rPr>
          <w:rFonts w:ascii="Times New Roman" w:eastAsia="Cambria" w:hAnsi="Times New Roman" w:cs="Times New Roman"/>
          <w:color w:val="000000"/>
          <w:szCs w:val="24"/>
          <w:lang w:val="fr-FR"/>
        </w:rPr>
        <w:t>peines</w:t>
      </w:r>
      <w:r w:rsidR="00374B0A" w:rsidRPr="0070292F">
        <w:rPr>
          <w:rFonts w:ascii="Times New Roman" w:eastAsia="Cambria" w:hAnsi="Times New Roman" w:cs="Times New Roman"/>
          <w:color w:val="000000"/>
          <w:szCs w:val="24"/>
          <w:lang w:val="fr-FR"/>
        </w:rPr>
        <w:t>, mais était différente</w:t>
      </w:r>
      <w:r w:rsidRPr="0070292F">
        <w:rPr>
          <w:rFonts w:ascii="Times New Roman" w:eastAsia="Cambria" w:hAnsi="Times New Roman" w:cs="Times New Roman"/>
          <w:color w:val="000000"/>
          <w:szCs w:val="24"/>
          <w:lang w:val="fr-FR"/>
        </w:rPr>
        <w:t xml:space="preserve">. </w:t>
      </w:r>
      <w:r w:rsidR="006603B9" w:rsidRPr="0070292F">
        <w:rPr>
          <w:rFonts w:ascii="Times New Roman" w:eastAsia="Cambria" w:hAnsi="Times New Roman" w:cs="Times New Roman"/>
          <w:szCs w:val="24"/>
          <w:lang w:val="fr-FR"/>
        </w:rPr>
        <w:t>Ce</w:t>
      </w:r>
      <w:r w:rsidR="005661AF" w:rsidRPr="0070292F">
        <w:rPr>
          <w:rFonts w:ascii="Times New Roman" w:eastAsia="Cambria" w:hAnsi="Times New Roman" w:cs="Times New Roman"/>
          <w:szCs w:val="24"/>
          <w:lang w:val="fr-FR"/>
        </w:rPr>
        <w:t>la dit, la Cour c</w:t>
      </w:r>
      <w:r w:rsidRPr="0070292F">
        <w:rPr>
          <w:rFonts w:ascii="Times New Roman" w:eastAsia="Cambria" w:hAnsi="Times New Roman" w:cs="Times New Roman"/>
          <w:szCs w:val="24"/>
          <w:lang w:val="fr-FR"/>
        </w:rPr>
        <w:t xml:space="preserve">onstitutionnelle </w:t>
      </w:r>
      <w:r w:rsidR="006347C7" w:rsidRPr="0070292F">
        <w:rPr>
          <w:rFonts w:ascii="Times New Roman" w:eastAsia="Cambria" w:hAnsi="Times New Roman" w:cs="Times New Roman"/>
          <w:szCs w:val="24"/>
          <w:lang w:val="fr-FR"/>
        </w:rPr>
        <w:t xml:space="preserve">constata </w:t>
      </w:r>
      <w:r w:rsidRPr="0070292F">
        <w:rPr>
          <w:rFonts w:ascii="Times New Roman" w:eastAsia="Cambria" w:hAnsi="Times New Roman" w:cs="Times New Roman"/>
          <w:szCs w:val="24"/>
          <w:lang w:val="fr-FR"/>
        </w:rPr>
        <w:t xml:space="preserve">finalement que la loi </w:t>
      </w:r>
      <w:r w:rsidR="006347C7" w:rsidRPr="0070292F">
        <w:rPr>
          <w:rFonts w:ascii="Times New Roman" w:eastAsia="Cambria" w:hAnsi="Times New Roman" w:cs="Times New Roman"/>
          <w:szCs w:val="24"/>
          <w:lang w:val="fr-FR"/>
        </w:rPr>
        <w:t xml:space="preserve">indiquait </w:t>
      </w:r>
      <w:r w:rsidRPr="0070292F">
        <w:rPr>
          <w:rFonts w:ascii="Times New Roman" w:eastAsia="Cambria" w:hAnsi="Times New Roman" w:cs="Times New Roman"/>
          <w:szCs w:val="24"/>
          <w:lang w:val="fr-FR"/>
        </w:rPr>
        <w:t xml:space="preserve">de manière suffisamment </w:t>
      </w:r>
      <w:r w:rsidR="006347C7" w:rsidRPr="0070292F">
        <w:rPr>
          <w:rFonts w:ascii="Times New Roman" w:eastAsia="Cambria" w:hAnsi="Times New Roman" w:cs="Times New Roman"/>
          <w:szCs w:val="24"/>
          <w:lang w:val="fr-FR"/>
        </w:rPr>
        <w:t xml:space="preserve">précise les </w:t>
      </w:r>
      <w:r w:rsidRPr="0070292F">
        <w:rPr>
          <w:rFonts w:ascii="Times New Roman" w:eastAsia="Cambria" w:hAnsi="Times New Roman" w:cs="Times New Roman"/>
          <w:szCs w:val="24"/>
          <w:lang w:val="fr-FR"/>
        </w:rPr>
        <w:t xml:space="preserve">comportements considérés comme « socialement dangereux » </w:t>
      </w:r>
      <w:r w:rsidR="006347C7" w:rsidRPr="0070292F">
        <w:rPr>
          <w:rFonts w:ascii="Times New Roman" w:eastAsia="Cambria" w:hAnsi="Times New Roman" w:cs="Times New Roman"/>
          <w:szCs w:val="24"/>
          <w:lang w:val="fr-FR"/>
        </w:rPr>
        <w:t xml:space="preserve">pour ce qui </w:t>
      </w:r>
      <w:r w:rsidR="00374B0A" w:rsidRPr="0070292F">
        <w:rPr>
          <w:rFonts w:ascii="Times New Roman" w:eastAsia="Cambria" w:hAnsi="Times New Roman" w:cs="Times New Roman"/>
          <w:szCs w:val="24"/>
          <w:lang w:val="fr-FR"/>
        </w:rPr>
        <w:t>était des</w:t>
      </w:r>
      <w:r w:rsidRPr="0070292F">
        <w:rPr>
          <w:rFonts w:ascii="Times New Roman" w:eastAsia="Cambria" w:hAnsi="Times New Roman" w:cs="Times New Roman"/>
          <w:szCs w:val="24"/>
          <w:lang w:val="fr-FR"/>
        </w:rPr>
        <w:t xml:space="preserve"> « oisif</w:t>
      </w:r>
      <w:r w:rsidR="006347C7" w:rsidRPr="0070292F">
        <w:rPr>
          <w:rFonts w:ascii="Times New Roman" w:eastAsia="Cambria" w:hAnsi="Times New Roman" w:cs="Times New Roman"/>
          <w:szCs w:val="24"/>
          <w:lang w:val="fr-FR"/>
        </w:rPr>
        <w:t>s</w:t>
      </w:r>
      <w:r w:rsidRPr="0070292F">
        <w:rPr>
          <w:rFonts w:ascii="Times New Roman" w:eastAsia="Cambria" w:hAnsi="Times New Roman" w:cs="Times New Roman"/>
          <w:szCs w:val="24"/>
          <w:lang w:val="fr-FR"/>
        </w:rPr>
        <w:t>, inaptes au travail et vagabonds » et d</w:t>
      </w:r>
      <w:r w:rsidR="0070292F" w:rsidRPr="0070292F">
        <w:rPr>
          <w:rFonts w:ascii="Times New Roman" w:eastAsia="Cambria" w:hAnsi="Times New Roman" w:cs="Times New Roman"/>
          <w:szCs w:val="24"/>
          <w:lang w:val="fr-FR"/>
        </w:rPr>
        <w:t>’</w:t>
      </w:r>
      <w:r w:rsidRPr="0070292F">
        <w:rPr>
          <w:rFonts w:ascii="Times New Roman" w:eastAsia="Cambria" w:hAnsi="Times New Roman" w:cs="Times New Roman"/>
          <w:szCs w:val="24"/>
          <w:lang w:val="fr-FR"/>
        </w:rPr>
        <w:t>autres catégories de sujets.</w:t>
      </w:r>
    </w:p>
    <w:p w:rsidR="00186E84" w:rsidRPr="0070292F" w:rsidRDefault="00186E84" w:rsidP="0070292F">
      <w:pPr>
        <w:pStyle w:val="ECHRPara"/>
        <w:rPr>
          <w:rFonts w:ascii="Times New Roman" w:eastAsia="Cambria" w:hAnsi="Times New Roman" w:cs="Times New Roman"/>
          <w:szCs w:val="24"/>
          <w:lang w:val="fr-FR"/>
        </w:rPr>
      </w:pPr>
      <w:r w:rsidRPr="0070292F">
        <w:rPr>
          <w:rFonts w:ascii="Times New Roman" w:eastAsia="Cambria" w:hAnsi="Times New Roman" w:cs="Times New Roman"/>
          <w:szCs w:val="24"/>
          <w:lang w:val="fr-FR"/>
        </w:rPr>
        <w:fldChar w:fldCharType="begin"/>
      </w:r>
      <w:r w:rsidRPr="0070292F">
        <w:rPr>
          <w:rFonts w:ascii="Times New Roman" w:eastAsia="Cambria" w:hAnsi="Times New Roman" w:cs="Times New Roman"/>
          <w:szCs w:val="24"/>
          <w:lang w:val="fr-FR"/>
        </w:rPr>
        <w:instrText xml:space="preserve"> SEQ level0 \*arabic </w:instrText>
      </w:r>
      <w:r w:rsidRPr="0070292F">
        <w:rPr>
          <w:rFonts w:ascii="Times New Roman" w:eastAsia="Cambria" w:hAnsi="Times New Roman" w:cs="Times New Roman"/>
          <w:szCs w:val="24"/>
          <w:lang w:val="fr-FR"/>
        </w:rPr>
        <w:fldChar w:fldCharType="separate"/>
      </w:r>
      <w:r w:rsidR="0070292F" w:rsidRPr="0070292F">
        <w:rPr>
          <w:rFonts w:ascii="Times New Roman" w:eastAsia="Cambria" w:hAnsi="Times New Roman" w:cs="Times New Roman"/>
          <w:noProof/>
          <w:szCs w:val="24"/>
          <w:lang w:val="fr-FR"/>
        </w:rPr>
        <w:t>51</w:t>
      </w:r>
      <w:r w:rsidRPr="0070292F">
        <w:rPr>
          <w:rFonts w:ascii="Times New Roman" w:eastAsia="Cambria" w:hAnsi="Times New Roman" w:cs="Times New Roman"/>
          <w:szCs w:val="24"/>
          <w:lang w:val="fr-FR"/>
        </w:rPr>
        <w:fldChar w:fldCharType="end"/>
      </w:r>
      <w:r w:rsidRPr="0070292F">
        <w:rPr>
          <w:rFonts w:ascii="Times New Roman" w:eastAsia="Cambria" w:hAnsi="Times New Roman" w:cs="Times New Roman"/>
          <w:szCs w:val="24"/>
          <w:lang w:val="fr-FR"/>
        </w:rPr>
        <w:t>.  </w:t>
      </w:r>
      <w:r w:rsidR="006347C7" w:rsidRPr="0070292F">
        <w:rPr>
          <w:rFonts w:ascii="Times New Roman" w:eastAsia="Cambria" w:hAnsi="Times New Roman" w:cs="Times New Roman"/>
          <w:szCs w:val="24"/>
          <w:lang w:val="fr-FR"/>
        </w:rPr>
        <w:t>Concernant e</w:t>
      </w:r>
      <w:r w:rsidRPr="0070292F">
        <w:rPr>
          <w:rFonts w:ascii="Times New Roman" w:eastAsia="Cambria" w:hAnsi="Times New Roman" w:cs="Times New Roman"/>
          <w:szCs w:val="24"/>
          <w:lang w:val="fr-FR"/>
        </w:rPr>
        <w:t>nsuite le principe de la pr</w:t>
      </w:r>
      <w:r w:rsidR="005661AF" w:rsidRPr="0070292F">
        <w:rPr>
          <w:rFonts w:ascii="Times New Roman" w:eastAsia="Cambria" w:hAnsi="Times New Roman" w:cs="Times New Roman"/>
          <w:szCs w:val="24"/>
          <w:lang w:val="fr-FR"/>
        </w:rPr>
        <w:t>ésomption d</w:t>
      </w:r>
      <w:r w:rsidR="0070292F" w:rsidRPr="0070292F">
        <w:rPr>
          <w:rFonts w:ascii="Times New Roman" w:eastAsia="Cambria" w:hAnsi="Times New Roman" w:cs="Times New Roman"/>
          <w:szCs w:val="24"/>
          <w:lang w:val="fr-FR"/>
        </w:rPr>
        <w:t>’</w:t>
      </w:r>
      <w:r w:rsidR="005661AF" w:rsidRPr="0070292F">
        <w:rPr>
          <w:rFonts w:ascii="Times New Roman" w:eastAsia="Cambria" w:hAnsi="Times New Roman" w:cs="Times New Roman"/>
          <w:szCs w:val="24"/>
          <w:lang w:val="fr-FR"/>
        </w:rPr>
        <w:t>innocence, la Cour c</w:t>
      </w:r>
      <w:r w:rsidRPr="0070292F">
        <w:rPr>
          <w:rFonts w:ascii="Times New Roman" w:eastAsia="Cambria" w:hAnsi="Times New Roman" w:cs="Times New Roman"/>
          <w:szCs w:val="24"/>
          <w:lang w:val="fr-FR"/>
        </w:rPr>
        <w:t xml:space="preserve">onstitutionnelle </w:t>
      </w:r>
      <w:r w:rsidR="006347C7" w:rsidRPr="0070292F">
        <w:rPr>
          <w:rFonts w:ascii="Times New Roman" w:eastAsia="Cambria" w:hAnsi="Times New Roman" w:cs="Times New Roman"/>
          <w:szCs w:val="24"/>
          <w:lang w:val="fr-FR"/>
        </w:rPr>
        <w:t>déclara</w:t>
      </w:r>
      <w:r w:rsidRPr="0070292F">
        <w:rPr>
          <w:rFonts w:ascii="Times New Roman" w:eastAsia="Cambria" w:hAnsi="Times New Roman" w:cs="Times New Roman"/>
          <w:szCs w:val="24"/>
          <w:lang w:val="fr-FR"/>
        </w:rPr>
        <w:t>, d</w:t>
      </w:r>
      <w:r w:rsidR="0070292F" w:rsidRPr="0070292F">
        <w:rPr>
          <w:rFonts w:ascii="Times New Roman" w:eastAsia="Cambria" w:hAnsi="Times New Roman" w:cs="Times New Roman"/>
          <w:szCs w:val="24"/>
          <w:lang w:val="fr-FR"/>
        </w:rPr>
        <w:t>’</w:t>
      </w:r>
      <w:r w:rsidRPr="0070292F">
        <w:rPr>
          <w:rFonts w:ascii="Times New Roman" w:eastAsia="Cambria" w:hAnsi="Times New Roman" w:cs="Times New Roman"/>
          <w:szCs w:val="24"/>
          <w:lang w:val="fr-FR"/>
        </w:rPr>
        <w:t>un côté, qu</w:t>
      </w:r>
      <w:r w:rsidR="0070292F" w:rsidRPr="0070292F">
        <w:rPr>
          <w:rFonts w:ascii="Times New Roman" w:eastAsia="Cambria" w:hAnsi="Times New Roman" w:cs="Times New Roman"/>
          <w:szCs w:val="24"/>
          <w:lang w:val="fr-FR"/>
        </w:rPr>
        <w:t>’</w:t>
      </w:r>
      <w:r w:rsidR="006347C7" w:rsidRPr="0070292F">
        <w:rPr>
          <w:rFonts w:ascii="Times New Roman" w:eastAsia="Cambria" w:hAnsi="Times New Roman" w:cs="Times New Roman"/>
          <w:szCs w:val="24"/>
          <w:lang w:val="fr-FR"/>
        </w:rPr>
        <w:t>il</w:t>
      </w:r>
      <w:r w:rsidRPr="0070292F">
        <w:rPr>
          <w:rFonts w:ascii="Times New Roman" w:eastAsia="Cambria" w:hAnsi="Times New Roman" w:cs="Times New Roman"/>
          <w:szCs w:val="24"/>
          <w:lang w:val="fr-FR"/>
        </w:rPr>
        <w:t xml:space="preserve"> n</w:t>
      </w:r>
      <w:r w:rsidR="0070292F" w:rsidRPr="0070292F">
        <w:rPr>
          <w:rFonts w:ascii="Times New Roman" w:eastAsia="Cambria" w:hAnsi="Times New Roman" w:cs="Times New Roman"/>
          <w:szCs w:val="24"/>
          <w:lang w:val="fr-FR"/>
        </w:rPr>
        <w:t>’</w:t>
      </w:r>
      <w:r w:rsidRPr="0070292F">
        <w:rPr>
          <w:rFonts w:ascii="Times New Roman" w:eastAsia="Cambria" w:hAnsi="Times New Roman" w:cs="Times New Roman"/>
          <w:szCs w:val="24"/>
          <w:lang w:val="fr-FR"/>
        </w:rPr>
        <w:t>entr</w:t>
      </w:r>
      <w:r w:rsidR="006347C7" w:rsidRPr="0070292F">
        <w:rPr>
          <w:rFonts w:ascii="Times New Roman" w:eastAsia="Cambria" w:hAnsi="Times New Roman" w:cs="Times New Roman"/>
          <w:szCs w:val="24"/>
          <w:lang w:val="fr-FR"/>
        </w:rPr>
        <w:t>ait</w:t>
      </w:r>
      <w:r w:rsidRPr="0070292F">
        <w:rPr>
          <w:rFonts w:ascii="Times New Roman" w:eastAsia="Cambria" w:hAnsi="Times New Roman" w:cs="Times New Roman"/>
          <w:szCs w:val="24"/>
          <w:lang w:val="fr-FR"/>
        </w:rPr>
        <w:t xml:space="preserve"> pas en ligne de compte parce que les mesures préventives ne se fond</w:t>
      </w:r>
      <w:r w:rsidR="006347C7" w:rsidRPr="0070292F">
        <w:rPr>
          <w:rFonts w:ascii="Times New Roman" w:eastAsia="Cambria" w:hAnsi="Times New Roman" w:cs="Times New Roman"/>
          <w:szCs w:val="24"/>
          <w:lang w:val="fr-FR"/>
        </w:rPr>
        <w:t>ai</w:t>
      </w:r>
      <w:r w:rsidRPr="0070292F">
        <w:rPr>
          <w:rFonts w:ascii="Times New Roman" w:eastAsia="Cambria" w:hAnsi="Times New Roman" w:cs="Times New Roman"/>
          <w:szCs w:val="24"/>
          <w:lang w:val="fr-FR"/>
        </w:rPr>
        <w:t>ent pas sur la culpabilité et ne touch</w:t>
      </w:r>
      <w:r w:rsidR="006347C7" w:rsidRPr="0070292F">
        <w:rPr>
          <w:rFonts w:ascii="Times New Roman" w:eastAsia="Cambria" w:hAnsi="Times New Roman" w:cs="Times New Roman"/>
          <w:szCs w:val="24"/>
          <w:lang w:val="fr-FR"/>
        </w:rPr>
        <w:t>ai</w:t>
      </w:r>
      <w:r w:rsidRPr="0070292F">
        <w:rPr>
          <w:rFonts w:ascii="Times New Roman" w:eastAsia="Cambria" w:hAnsi="Times New Roman" w:cs="Times New Roman"/>
          <w:szCs w:val="24"/>
          <w:lang w:val="fr-FR"/>
        </w:rPr>
        <w:t>ent pas à la responsabilité pénale d</w:t>
      </w:r>
      <w:r w:rsidR="0070292F" w:rsidRPr="0070292F">
        <w:rPr>
          <w:rFonts w:ascii="Times New Roman" w:eastAsia="Cambria" w:hAnsi="Times New Roman" w:cs="Times New Roman"/>
          <w:szCs w:val="24"/>
          <w:lang w:val="fr-FR"/>
        </w:rPr>
        <w:t>’</w:t>
      </w:r>
      <w:r w:rsidRPr="0070292F">
        <w:rPr>
          <w:rFonts w:ascii="Times New Roman" w:eastAsia="Cambria" w:hAnsi="Times New Roman" w:cs="Times New Roman"/>
          <w:szCs w:val="24"/>
          <w:lang w:val="fr-FR"/>
        </w:rPr>
        <w:t xml:space="preserve">un individu. </w:t>
      </w:r>
      <w:r w:rsidR="006347C7" w:rsidRPr="0070292F">
        <w:rPr>
          <w:rFonts w:ascii="Times New Roman" w:eastAsia="Cambria" w:hAnsi="Times New Roman" w:cs="Times New Roman"/>
          <w:szCs w:val="24"/>
          <w:lang w:val="fr-FR"/>
        </w:rPr>
        <w:t>Elle indiqua d</w:t>
      </w:r>
      <w:r w:rsidR="0070292F" w:rsidRPr="0070292F">
        <w:rPr>
          <w:rFonts w:ascii="Times New Roman" w:eastAsia="Cambria" w:hAnsi="Times New Roman" w:cs="Times New Roman"/>
          <w:szCs w:val="24"/>
          <w:lang w:val="fr-FR"/>
        </w:rPr>
        <w:t>’</w:t>
      </w:r>
      <w:r w:rsidRPr="0070292F">
        <w:rPr>
          <w:rFonts w:ascii="Times New Roman" w:eastAsia="Cambria" w:hAnsi="Times New Roman" w:cs="Times New Roman"/>
          <w:szCs w:val="24"/>
          <w:lang w:val="fr-FR"/>
        </w:rPr>
        <w:t>un autre côté</w:t>
      </w:r>
      <w:r w:rsidR="00374B0A" w:rsidRPr="0070292F">
        <w:rPr>
          <w:rFonts w:ascii="Times New Roman" w:eastAsia="Cambria" w:hAnsi="Times New Roman" w:cs="Times New Roman"/>
          <w:szCs w:val="24"/>
          <w:lang w:val="fr-FR"/>
        </w:rPr>
        <w:t xml:space="preserve"> qu</w:t>
      </w:r>
      <w:r w:rsidR="0070292F" w:rsidRPr="0070292F">
        <w:rPr>
          <w:rFonts w:ascii="Times New Roman" w:eastAsia="Cambria" w:hAnsi="Times New Roman" w:cs="Times New Roman"/>
          <w:szCs w:val="24"/>
          <w:lang w:val="fr-FR"/>
        </w:rPr>
        <w:t>’</w:t>
      </w:r>
      <w:r w:rsidRPr="0070292F">
        <w:rPr>
          <w:rFonts w:ascii="Times New Roman" w:eastAsia="Cambria" w:hAnsi="Times New Roman" w:cs="Times New Roman"/>
          <w:szCs w:val="24"/>
          <w:lang w:val="fr-FR"/>
        </w:rPr>
        <w:t>il n</w:t>
      </w:r>
      <w:r w:rsidR="0070292F" w:rsidRPr="0070292F">
        <w:rPr>
          <w:rFonts w:ascii="Times New Roman" w:eastAsia="Cambria" w:hAnsi="Times New Roman" w:cs="Times New Roman"/>
          <w:szCs w:val="24"/>
          <w:lang w:val="fr-FR"/>
        </w:rPr>
        <w:t>’</w:t>
      </w:r>
      <w:r w:rsidR="006347C7" w:rsidRPr="0070292F">
        <w:rPr>
          <w:rFonts w:ascii="Times New Roman" w:eastAsia="Cambria" w:hAnsi="Times New Roman" w:cs="Times New Roman"/>
          <w:szCs w:val="24"/>
          <w:lang w:val="fr-FR"/>
        </w:rPr>
        <w:t xml:space="preserve">était </w:t>
      </w:r>
      <w:r w:rsidRPr="0070292F">
        <w:rPr>
          <w:rFonts w:ascii="Times New Roman" w:eastAsia="Cambria" w:hAnsi="Times New Roman" w:cs="Times New Roman"/>
          <w:szCs w:val="24"/>
          <w:lang w:val="fr-FR"/>
        </w:rPr>
        <w:t xml:space="preserve">pas non plus dérogé </w:t>
      </w:r>
      <w:r w:rsidR="006347C7" w:rsidRPr="0070292F">
        <w:rPr>
          <w:rFonts w:ascii="Times New Roman" w:eastAsia="Cambria" w:hAnsi="Times New Roman" w:cs="Times New Roman"/>
          <w:szCs w:val="24"/>
          <w:lang w:val="fr-FR"/>
        </w:rPr>
        <w:t xml:space="preserve">à ce </w:t>
      </w:r>
      <w:r w:rsidRPr="0070292F">
        <w:rPr>
          <w:rFonts w:ascii="Times New Roman" w:eastAsia="Cambria" w:hAnsi="Times New Roman" w:cs="Times New Roman"/>
          <w:szCs w:val="24"/>
          <w:lang w:val="fr-FR"/>
        </w:rPr>
        <w:t>principe</w:t>
      </w:r>
      <w:r w:rsidRPr="0070292F">
        <w:rPr>
          <w:rFonts w:ascii="Times New Roman" w:eastAsia="Cambria" w:hAnsi="Times New Roman" w:cs="Times New Roman"/>
          <w:color w:val="000000"/>
          <w:szCs w:val="24"/>
          <w:lang w:val="fr-FR"/>
        </w:rPr>
        <w:t xml:space="preserve">, </w:t>
      </w:r>
      <w:r w:rsidR="00CB520A" w:rsidRPr="0070292F">
        <w:rPr>
          <w:rFonts w:ascii="Times New Roman" w:eastAsia="Cambria" w:hAnsi="Times New Roman" w:cs="Times New Roman"/>
          <w:color w:val="000000"/>
          <w:szCs w:val="24"/>
          <w:lang w:val="fr-FR"/>
        </w:rPr>
        <w:t xml:space="preserve">dès lors que </w:t>
      </w:r>
      <w:r w:rsidRPr="0070292F">
        <w:rPr>
          <w:rFonts w:ascii="Times New Roman" w:eastAsia="Cambria" w:hAnsi="Times New Roman" w:cs="Times New Roman"/>
          <w:color w:val="000000"/>
          <w:szCs w:val="24"/>
          <w:lang w:val="fr-FR"/>
        </w:rPr>
        <w:t>l</w:t>
      </w:r>
      <w:r w:rsidR="0070292F" w:rsidRPr="0070292F">
        <w:rPr>
          <w:rFonts w:ascii="Times New Roman" w:eastAsia="Cambria" w:hAnsi="Times New Roman" w:cs="Times New Roman"/>
          <w:color w:val="000000"/>
          <w:szCs w:val="24"/>
          <w:lang w:val="fr-FR"/>
        </w:rPr>
        <w:t>’</w:t>
      </w:r>
      <w:r w:rsidRPr="0070292F">
        <w:rPr>
          <w:rFonts w:ascii="Times New Roman" w:eastAsia="Cambria" w:hAnsi="Times New Roman" w:cs="Times New Roman"/>
          <w:color w:val="000000"/>
          <w:szCs w:val="24"/>
          <w:lang w:val="fr-FR"/>
        </w:rPr>
        <w:t xml:space="preserve">acquittement pour insuffisance de preuves ne </w:t>
      </w:r>
      <w:r w:rsidR="006347C7" w:rsidRPr="0070292F">
        <w:rPr>
          <w:rFonts w:ascii="Times New Roman" w:eastAsia="Cambria" w:hAnsi="Times New Roman" w:cs="Times New Roman"/>
          <w:color w:val="000000"/>
          <w:szCs w:val="24"/>
          <w:lang w:val="fr-FR"/>
        </w:rPr>
        <w:t>pouva</w:t>
      </w:r>
      <w:r w:rsidR="00CB520A" w:rsidRPr="0070292F">
        <w:rPr>
          <w:rFonts w:ascii="Times New Roman" w:eastAsia="Cambria" w:hAnsi="Times New Roman" w:cs="Times New Roman"/>
          <w:color w:val="000000"/>
          <w:szCs w:val="24"/>
          <w:lang w:val="fr-FR"/>
        </w:rPr>
        <w:t>i</w:t>
      </w:r>
      <w:r w:rsidR="006347C7" w:rsidRPr="0070292F">
        <w:rPr>
          <w:rFonts w:ascii="Times New Roman" w:eastAsia="Cambria" w:hAnsi="Times New Roman" w:cs="Times New Roman"/>
          <w:color w:val="000000"/>
          <w:szCs w:val="24"/>
          <w:lang w:val="fr-FR"/>
        </w:rPr>
        <w:t xml:space="preserve">t </w:t>
      </w:r>
      <w:r w:rsidRPr="0070292F">
        <w:rPr>
          <w:rFonts w:ascii="Times New Roman" w:eastAsia="Cambria" w:hAnsi="Times New Roman" w:cs="Times New Roman"/>
          <w:color w:val="000000"/>
          <w:szCs w:val="24"/>
          <w:lang w:val="fr-FR"/>
        </w:rPr>
        <w:t xml:space="preserve">jamais justifier </w:t>
      </w:r>
      <w:r w:rsidR="006347C7" w:rsidRPr="0070292F">
        <w:rPr>
          <w:rFonts w:ascii="Times New Roman" w:eastAsia="Cambria" w:hAnsi="Times New Roman" w:cs="Times New Roman"/>
          <w:color w:val="000000"/>
          <w:szCs w:val="24"/>
          <w:lang w:val="fr-FR"/>
        </w:rPr>
        <w:t>en soi</w:t>
      </w:r>
      <w:r w:rsidRPr="0070292F">
        <w:rPr>
          <w:rFonts w:ascii="Times New Roman" w:eastAsia="Cambria" w:hAnsi="Times New Roman" w:cs="Times New Roman"/>
          <w:color w:val="000000"/>
          <w:szCs w:val="24"/>
          <w:lang w:val="fr-FR"/>
        </w:rPr>
        <w:t xml:space="preserve"> un constat de dangerosité sociale</w:t>
      </w:r>
      <w:r w:rsidR="00CB520A" w:rsidRPr="0070292F">
        <w:rPr>
          <w:rFonts w:ascii="Times New Roman" w:eastAsia="Cambria" w:hAnsi="Times New Roman" w:cs="Times New Roman"/>
          <w:color w:val="000000"/>
          <w:szCs w:val="24"/>
          <w:lang w:val="fr-FR"/>
        </w:rPr>
        <w:t>, et que d</w:t>
      </w:r>
      <w:r w:rsidR="0070292F" w:rsidRPr="0070292F">
        <w:rPr>
          <w:rFonts w:ascii="Times New Roman" w:eastAsia="Cambria" w:hAnsi="Times New Roman" w:cs="Times New Roman"/>
          <w:color w:val="000000"/>
          <w:szCs w:val="24"/>
          <w:lang w:val="fr-FR"/>
        </w:rPr>
        <w:t>’</w:t>
      </w:r>
      <w:r w:rsidRPr="0070292F">
        <w:rPr>
          <w:rFonts w:ascii="Times New Roman" w:eastAsia="Cambria" w:hAnsi="Times New Roman" w:cs="Times New Roman"/>
          <w:color w:val="000000"/>
          <w:szCs w:val="24"/>
          <w:lang w:val="fr-FR"/>
        </w:rPr>
        <w:t xml:space="preserve">autres </w:t>
      </w:r>
      <w:r w:rsidRPr="0070292F">
        <w:rPr>
          <w:rFonts w:ascii="Times New Roman" w:eastAsia="Cambria" w:hAnsi="Times New Roman" w:cs="Times New Roman"/>
          <w:szCs w:val="24"/>
          <w:lang w:val="fr-FR"/>
        </w:rPr>
        <w:t>éléments de fait révéla</w:t>
      </w:r>
      <w:r w:rsidR="00CB520A" w:rsidRPr="0070292F">
        <w:rPr>
          <w:rFonts w:ascii="Times New Roman" w:eastAsia="Cambria" w:hAnsi="Times New Roman" w:cs="Times New Roman"/>
          <w:szCs w:val="24"/>
          <w:lang w:val="fr-FR"/>
        </w:rPr>
        <w:t>nt la</w:t>
      </w:r>
      <w:r w:rsidRPr="0070292F">
        <w:rPr>
          <w:rFonts w:ascii="Times New Roman" w:eastAsia="Cambria" w:hAnsi="Times New Roman" w:cs="Times New Roman"/>
          <w:szCs w:val="24"/>
          <w:lang w:val="fr-FR"/>
        </w:rPr>
        <w:t xml:space="preserve"> dangerosité </w:t>
      </w:r>
      <w:r w:rsidR="00CB520A" w:rsidRPr="0070292F">
        <w:rPr>
          <w:rFonts w:ascii="Times New Roman" w:eastAsia="Cambria" w:hAnsi="Times New Roman" w:cs="Times New Roman"/>
          <w:szCs w:val="24"/>
          <w:lang w:val="fr-FR"/>
        </w:rPr>
        <w:t xml:space="preserve">devaient </w:t>
      </w:r>
      <w:r w:rsidRPr="0070292F">
        <w:rPr>
          <w:rFonts w:ascii="Times New Roman" w:eastAsia="Cambria" w:hAnsi="Times New Roman" w:cs="Times New Roman"/>
          <w:szCs w:val="24"/>
          <w:lang w:val="fr-FR"/>
        </w:rPr>
        <w:t>être réunis.</w:t>
      </w:r>
    </w:p>
    <w:p w:rsidR="00186E84" w:rsidRPr="0070292F" w:rsidRDefault="00186E84" w:rsidP="0070292F">
      <w:pPr>
        <w:pStyle w:val="ECHRPara"/>
        <w:rPr>
          <w:rFonts w:ascii="Times New Roman" w:eastAsia="Cambria" w:hAnsi="Times New Roman" w:cs="Times New Roman"/>
          <w:szCs w:val="24"/>
          <w:lang w:val="fr-FR"/>
        </w:rPr>
      </w:pPr>
      <w:r w:rsidRPr="0070292F">
        <w:rPr>
          <w:rFonts w:ascii="Times New Roman" w:eastAsia="Cambria" w:hAnsi="Times New Roman" w:cs="Times New Roman"/>
          <w:szCs w:val="24"/>
          <w:lang w:val="fr-FR"/>
        </w:rPr>
        <w:fldChar w:fldCharType="begin"/>
      </w:r>
      <w:r w:rsidRPr="0070292F">
        <w:rPr>
          <w:rFonts w:ascii="Times New Roman" w:eastAsia="Cambria" w:hAnsi="Times New Roman" w:cs="Times New Roman"/>
          <w:szCs w:val="24"/>
          <w:lang w:val="fr-FR"/>
        </w:rPr>
        <w:instrText xml:space="preserve"> SEQ level0 \*arabic </w:instrText>
      </w:r>
      <w:r w:rsidRPr="0070292F">
        <w:rPr>
          <w:rFonts w:ascii="Times New Roman" w:eastAsia="Cambria" w:hAnsi="Times New Roman" w:cs="Times New Roman"/>
          <w:szCs w:val="24"/>
          <w:lang w:val="fr-FR"/>
        </w:rPr>
        <w:fldChar w:fldCharType="separate"/>
      </w:r>
      <w:r w:rsidR="0070292F" w:rsidRPr="0070292F">
        <w:rPr>
          <w:rFonts w:ascii="Times New Roman" w:eastAsia="Cambria" w:hAnsi="Times New Roman" w:cs="Times New Roman"/>
          <w:noProof/>
          <w:szCs w:val="24"/>
          <w:lang w:val="fr-FR"/>
        </w:rPr>
        <w:t>52</w:t>
      </w:r>
      <w:r w:rsidRPr="0070292F">
        <w:rPr>
          <w:rFonts w:ascii="Times New Roman" w:eastAsia="Cambria" w:hAnsi="Times New Roman" w:cs="Times New Roman"/>
          <w:szCs w:val="24"/>
          <w:lang w:val="fr-FR"/>
        </w:rPr>
        <w:fldChar w:fldCharType="end"/>
      </w:r>
      <w:r w:rsidRPr="0070292F">
        <w:rPr>
          <w:rFonts w:ascii="Times New Roman" w:eastAsia="Cambria" w:hAnsi="Times New Roman" w:cs="Times New Roman"/>
          <w:szCs w:val="24"/>
          <w:lang w:val="fr-FR"/>
        </w:rPr>
        <w:t>.  Dans so</w:t>
      </w:r>
      <w:r w:rsidR="005661AF" w:rsidRPr="0070292F">
        <w:rPr>
          <w:rFonts w:ascii="Times New Roman" w:eastAsia="Cambria" w:hAnsi="Times New Roman" w:cs="Times New Roman"/>
          <w:szCs w:val="24"/>
          <w:lang w:val="fr-FR"/>
        </w:rPr>
        <w:t>n arrêt nº 32 de 1969, la Cour c</w:t>
      </w:r>
      <w:r w:rsidRPr="0070292F">
        <w:rPr>
          <w:rFonts w:ascii="Times New Roman" w:eastAsia="Cambria" w:hAnsi="Times New Roman" w:cs="Times New Roman"/>
          <w:szCs w:val="24"/>
          <w:lang w:val="fr-FR"/>
        </w:rPr>
        <w:t>onstitutionnelle précis</w:t>
      </w:r>
      <w:r w:rsidR="00CB520A" w:rsidRPr="0070292F">
        <w:rPr>
          <w:rFonts w:ascii="Times New Roman" w:eastAsia="Cambria" w:hAnsi="Times New Roman" w:cs="Times New Roman"/>
          <w:szCs w:val="24"/>
          <w:lang w:val="fr-FR"/>
        </w:rPr>
        <w:t>a</w:t>
      </w:r>
      <w:r w:rsidRPr="0070292F">
        <w:rPr>
          <w:rFonts w:ascii="Times New Roman" w:eastAsia="Cambria" w:hAnsi="Times New Roman" w:cs="Times New Roman"/>
          <w:szCs w:val="24"/>
          <w:lang w:val="fr-FR"/>
        </w:rPr>
        <w:t xml:space="preserve"> que la seule appartenance à l</w:t>
      </w:r>
      <w:r w:rsidR="0070292F" w:rsidRPr="0070292F">
        <w:rPr>
          <w:rFonts w:ascii="Times New Roman" w:eastAsia="Cambria" w:hAnsi="Times New Roman" w:cs="Times New Roman"/>
          <w:szCs w:val="24"/>
          <w:lang w:val="fr-FR"/>
        </w:rPr>
        <w:t>’</w:t>
      </w:r>
      <w:r w:rsidRPr="0070292F">
        <w:rPr>
          <w:rFonts w:ascii="Times New Roman" w:eastAsia="Cambria" w:hAnsi="Times New Roman" w:cs="Times New Roman"/>
          <w:szCs w:val="24"/>
          <w:lang w:val="fr-FR"/>
        </w:rPr>
        <w:t xml:space="preserve">une des catégories de sujets prévues par la loi </w:t>
      </w:r>
      <w:r w:rsidR="00CB520A" w:rsidRPr="0070292F">
        <w:rPr>
          <w:rFonts w:ascii="Times New Roman" w:eastAsia="Cambria" w:hAnsi="Times New Roman" w:cs="Times New Roman"/>
          <w:szCs w:val="24"/>
          <w:lang w:val="fr-FR"/>
        </w:rPr>
        <w:t>ne suffisait pas à justifier</w:t>
      </w:r>
      <w:r w:rsidRPr="0070292F">
        <w:rPr>
          <w:rFonts w:ascii="Times New Roman" w:eastAsia="Cambria" w:hAnsi="Times New Roman" w:cs="Times New Roman"/>
          <w:szCs w:val="24"/>
          <w:lang w:val="fr-FR"/>
        </w:rPr>
        <w:t xml:space="preserve"> l</w:t>
      </w:r>
      <w:r w:rsidR="0070292F" w:rsidRPr="0070292F">
        <w:rPr>
          <w:rFonts w:ascii="Times New Roman" w:eastAsia="Cambria" w:hAnsi="Times New Roman" w:cs="Times New Roman"/>
          <w:szCs w:val="24"/>
          <w:lang w:val="fr-FR"/>
        </w:rPr>
        <w:t>’</w:t>
      </w:r>
      <w:r w:rsidRPr="0070292F">
        <w:rPr>
          <w:rFonts w:ascii="Times New Roman" w:eastAsia="Cambria" w:hAnsi="Times New Roman" w:cs="Times New Roman"/>
          <w:szCs w:val="24"/>
          <w:lang w:val="fr-FR"/>
        </w:rPr>
        <w:t>application d</w:t>
      </w:r>
      <w:r w:rsidR="0070292F" w:rsidRPr="0070292F">
        <w:rPr>
          <w:rFonts w:ascii="Times New Roman" w:eastAsia="Cambria" w:hAnsi="Times New Roman" w:cs="Times New Roman"/>
          <w:szCs w:val="24"/>
          <w:lang w:val="fr-FR"/>
        </w:rPr>
        <w:t>’</w:t>
      </w:r>
      <w:r w:rsidRPr="0070292F">
        <w:rPr>
          <w:rFonts w:ascii="Times New Roman" w:eastAsia="Cambria" w:hAnsi="Times New Roman" w:cs="Times New Roman"/>
          <w:szCs w:val="24"/>
          <w:lang w:val="fr-FR"/>
        </w:rPr>
        <w:t xml:space="preserve">une mesure de prévention. </w:t>
      </w:r>
      <w:r w:rsidR="00374B0A" w:rsidRPr="0070292F">
        <w:rPr>
          <w:rFonts w:ascii="Times New Roman" w:eastAsia="Cambria" w:hAnsi="Times New Roman" w:cs="Times New Roman"/>
          <w:szCs w:val="24"/>
          <w:lang w:val="fr-FR"/>
        </w:rPr>
        <w:t>Elle ajouta qu</w:t>
      </w:r>
      <w:r w:rsidR="0070292F" w:rsidRPr="0070292F">
        <w:rPr>
          <w:rFonts w:ascii="Times New Roman" w:eastAsia="Cambria" w:hAnsi="Times New Roman" w:cs="Times New Roman"/>
          <w:szCs w:val="24"/>
          <w:lang w:val="fr-FR"/>
        </w:rPr>
        <w:t>’</w:t>
      </w:r>
      <w:r w:rsidR="00374B0A" w:rsidRPr="0070292F">
        <w:rPr>
          <w:rFonts w:ascii="Times New Roman" w:eastAsia="Cambria" w:hAnsi="Times New Roman" w:cs="Times New Roman"/>
          <w:szCs w:val="24"/>
          <w:lang w:val="fr-FR"/>
        </w:rPr>
        <w:t>il fallait a</w:t>
      </w:r>
      <w:r w:rsidRPr="0070292F">
        <w:rPr>
          <w:rFonts w:ascii="Times New Roman" w:eastAsia="Cambria" w:hAnsi="Times New Roman" w:cs="Times New Roman"/>
          <w:szCs w:val="24"/>
          <w:lang w:val="fr-FR"/>
        </w:rPr>
        <w:t>u contraire</w:t>
      </w:r>
      <w:r w:rsidR="00CB520A" w:rsidRPr="0070292F">
        <w:rPr>
          <w:rFonts w:ascii="Times New Roman" w:eastAsia="Cambria" w:hAnsi="Times New Roman" w:cs="Times New Roman"/>
          <w:szCs w:val="24"/>
          <w:lang w:val="fr-FR"/>
        </w:rPr>
        <w:t xml:space="preserve"> </w:t>
      </w:r>
      <w:r w:rsidRPr="0070292F">
        <w:rPr>
          <w:rFonts w:ascii="Times New Roman" w:eastAsia="Cambria" w:hAnsi="Times New Roman" w:cs="Times New Roman"/>
          <w:szCs w:val="24"/>
          <w:lang w:val="fr-FR"/>
        </w:rPr>
        <w:t xml:space="preserve">établir </w:t>
      </w:r>
      <w:r w:rsidR="00CB520A" w:rsidRPr="0070292F">
        <w:rPr>
          <w:rFonts w:ascii="Times New Roman" w:eastAsia="Cambria" w:hAnsi="Times New Roman" w:cs="Times New Roman"/>
          <w:szCs w:val="24"/>
          <w:lang w:val="fr-FR"/>
        </w:rPr>
        <w:t>l</w:t>
      </w:r>
      <w:r w:rsidR="0070292F" w:rsidRPr="0070292F">
        <w:rPr>
          <w:rFonts w:ascii="Times New Roman" w:eastAsia="Cambria" w:hAnsi="Times New Roman" w:cs="Times New Roman"/>
          <w:szCs w:val="24"/>
          <w:lang w:val="fr-FR"/>
        </w:rPr>
        <w:t>’</w:t>
      </w:r>
      <w:r w:rsidR="00CB520A" w:rsidRPr="0070292F">
        <w:rPr>
          <w:rFonts w:ascii="Times New Roman" w:eastAsia="Cambria" w:hAnsi="Times New Roman" w:cs="Times New Roman"/>
          <w:szCs w:val="24"/>
          <w:lang w:val="fr-FR"/>
        </w:rPr>
        <w:t>existence d</w:t>
      </w:r>
      <w:r w:rsidR="0070292F" w:rsidRPr="0070292F">
        <w:rPr>
          <w:rFonts w:ascii="Times New Roman" w:eastAsia="Cambria" w:hAnsi="Times New Roman" w:cs="Times New Roman"/>
          <w:szCs w:val="24"/>
          <w:lang w:val="fr-FR"/>
        </w:rPr>
        <w:t>’</w:t>
      </w:r>
      <w:r w:rsidRPr="0070292F">
        <w:rPr>
          <w:rFonts w:ascii="Times New Roman" w:eastAsia="Cambria" w:hAnsi="Times New Roman" w:cs="Times New Roman"/>
          <w:szCs w:val="24"/>
          <w:lang w:val="fr-FR"/>
        </w:rPr>
        <w:t xml:space="preserve">un comportement spécifique de </w:t>
      </w:r>
      <w:r w:rsidR="00CB520A" w:rsidRPr="0070292F">
        <w:rPr>
          <w:rFonts w:ascii="Times New Roman" w:eastAsia="Cambria" w:hAnsi="Times New Roman" w:cs="Times New Roman"/>
          <w:szCs w:val="24"/>
          <w:lang w:val="fr-FR"/>
        </w:rPr>
        <w:lastRenderedPageBreak/>
        <w:t>l</w:t>
      </w:r>
      <w:r w:rsidR="0070292F" w:rsidRPr="0070292F">
        <w:rPr>
          <w:rFonts w:ascii="Times New Roman" w:eastAsia="Cambria" w:hAnsi="Times New Roman" w:cs="Times New Roman"/>
          <w:szCs w:val="24"/>
          <w:lang w:val="fr-FR"/>
        </w:rPr>
        <w:t>’</w:t>
      </w:r>
      <w:r w:rsidR="00CB520A" w:rsidRPr="0070292F">
        <w:rPr>
          <w:rFonts w:ascii="Times New Roman" w:eastAsia="Cambria" w:hAnsi="Times New Roman" w:cs="Times New Roman"/>
          <w:szCs w:val="24"/>
          <w:lang w:val="fr-FR"/>
        </w:rPr>
        <w:t>intéressé</w:t>
      </w:r>
      <w:r w:rsidRPr="0070292F">
        <w:rPr>
          <w:rFonts w:ascii="Times New Roman" w:eastAsia="Cambria" w:hAnsi="Times New Roman" w:cs="Times New Roman"/>
          <w:szCs w:val="24"/>
          <w:lang w:val="fr-FR"/>
        </w:rPr>
        <w:t xml:space="preserve"> démontrant la réalité de sa dangerosité, laquelle ne </w:t>
      </w:r>
      <w:r w:rsidR="00CB520A" w:rsidRPr="0070292F">
        <w:rPr>
          <w:rFonts w:ascii="Times New Roman" w:eastAsia="Cambria" w:hAnsi="Times New Roman" w:cs="Times New Roman"/>
          <w:szCs w:val="24"/>
          <w:lang w:val="fr-FR"/>
        </w:rPr>
        <w:t xml:space="preserve">pouvait </w:t>
      </w:r>
      <w:r w:rsidRPr="0070292F">
        <w:rPr>
          <w:rFonts w:ascii="Times New Roman" w:eastAsia="Cambria" w:hAnsi="Times New Roman" w:cs="Times New Roman"/>
          <w:szCs w:val="24"/>
          <w:lang w:val="fr-FR"/>
        </w:rPr>
        <w:t>rester théorique.</w:t>
      </w:r>
    </w:p>
    <w:p w:rsidR="00186E84" w:rsidRPr="0070292F" w:rsidRDefault="00186E84" w:rsidP="0070292F">
      <w:pPr>
        <w:pStyle w:val="ECHRPara"/>
        <w:rPr>
          <w:lang w:val="fr-FR"/>
        </w:rPr>
      </w:pPr>
      <w:r w:rsidRPr="0070292F">
        <w:fldChar w:fldCharType="begin"/>
      </w:r>
      <w:r w:rsidRPr="0070292F">
        <w:rPr>
          <w:lang w:val="fr-FR"/>
        </w:rPr>
        <w:instrText xml:space="preserve"> SEQ level0 \*arabic </w:instrText>
      </w:r>
      <w:r w:rsidRPr="0070292F">
        <w:fldChar w:fldCharType="separate"/>
      </w:r>
      <w:r w:rsidR="0070292F" w:rsidRPr="0070292F">
        <w:rPr>
          <w:noProof/>
          <w:lang w:val="fr-FR"/>
        </w:rPr>
        <w:t>53</w:t>
      </w:r>
      <w:r w:rsidRPr="0070292F">
        <w:fldChar w:fldCharType="end"/>
      </w:r>
      <w:r w:rsidRPr="0070292F">
        <w:rPr>
          <w:lang w:val="fr-FR"/>
        </w:rPr>
        <w:t>.  En trois occasions</w:t>
      </w:r>
      <w:r w:rsidR="005661AF" w:rsidRPr="0070292F">
        <w:rPr>
          <w:lang w:val="fr-FR"/>
        </w:rPr>
        <w:t xml:space="preserve"> seulement la Cour c</w:t>
      </w:r>
      <w:r w:rsidRPr="0070292F">
        <w:rPr>
          <w:lang w:val="fr-FR"/>
        </w:rPr>
        <w:t>onstitutionnelle constat</w:t>
      </w:r>
      <w:r w:rsidR="00CB520A" w:rsidRPr="0070292F">
        <w:rPr>
          <w:lang w:val="fr-FR"/>
        </w:rPr>
        <w:t>a</w:t>
      </w:r>
      <w:r w:rsidRPr="0070292F">
        <w:rPr>
          <w:lang w:val="fr-FR"/>
        </w:rPr>
        <w:t xml:space="preserve"> une violation de la Constitution, </w:t>
      </w:r>
      <w:r w:rsidR="00CB520A" w:rsidRPr="0070292F">
        <w:rPr>
          <w:lang w:val="fr-FR"/>
        </w:rPr>
        <w:t xml:space="preserve">et ce </w:t>
      </w:r>
      <w:r w:rsidRPr="0070292F">
        <w:rPr>
          <w:lang w:val="fr-FR"/>
        </w:rPr>
        <w:t xml:space="preserve">en raison de certains aspects procéduraux ou </w:t>
      </w:r>
      <w:r w:rsidR="00CB520A" w:rsidRPr="0070292F">
        <w:rPr>
          <w:lang w:val="fr-FR"/>
        </w:rPr>
        <w:t xml:space="preserve">matériels </w:t>
      </w:r>
      <w:r w:rsidRPr="0070292F">
        <w:rPr>
          <w:lang w:val="fr-FR"/>
        </w:rPr>
        <w:t>du régime d</w:t>
      </w:r>
      <w:r w:rsidR="0070292F" w:rsidRPr="0070292F">
        <w:rPr>
          <w:lang w:val="fr-FR"/>
        </w:rPr>
        <w:t>’</w:t>
      </w:r>
      <w:r w:rsidRPr="0070292F">
        <w:rPr>
          <w:lang w:val="fr-FR"/>
        </w:rPr>
        <w:t>application des mesures de prévention.</w:t>
      </w:r>
    </w:p>
    <w:p w:rsidR="00186E84" w:rsidRPr="0070292F" w:rsidRDefault="00186E84" w:rsidP="0070292F">
      <w:pPr>
        <w:pStyle w:val="ECHRPara"/>
        <w:rPr>
          <w:rFonts w:eastAsia="Cambria"/>
          <w:lang w:val="fr-FR"/>
        </w:rPr>
      </w:pPr>
      <w:r w:rsidRPr="0070292F">
        <w:rPr>
          <w:rFonts w:eastAsia="Cambria"/>
          <w:lang w:val="fr-FR"/>
        </w:rPr>
        <w:fldChar w:fldCharType="begin"/>
      </w:r>
      <w:r w:rsidRPr="0070292F">
        <w:rPr>
          <w:rFonts w:eastAsia="Cambria"/>
          <w:lang w:val="fr-FR"/>
        </w:rPr>
        <w:instrText xml:space="preserve"> SEQ level0 \*arabic </w:instrText>
      </w:r>
      <w:r w:rsidRPr="0070292F">
        <w:rPr>
          <w:rFonts w:eastAsia="Cambria"/>
          <w:lang w:val="fr-FR"/>
        </w:rPr>
        <w:fldChar w:fldCharType="separate"/>
      </w:r>
      <w:r w:rsidR="0070292F" w:rsidRPr="0070292F">
        <w:rPr>
          <w:rFonts w:eastAsia="Cambria"/>
          <w:noProof/>
          <w:lang w:val="fr-FR"/>
        </w:rPr>
        <w:t>54</w:t>
      </w:r>
      <w:r w:rsidRPr="0070292F">
        <w:rPr>
          <w:rFonts w:eastAsia="Cambria"/>
          <w:lang w:val="fr-FR"/>
        </w:rPr>
        <w:fldChar w:fldCharType="end"/>
      </w:r>
      <w:r w:rsidRPr="0070292F">
        <w:rPr>
          <w:rFonts w:eastAsia="Cambria"/>
          <w:lang w:val="fr-FR"/>
        </w:rPr>
        <w:t>.  Dans son arrêt nº 76 de 1970, elle déclar</w:t>
      </w:r>
      <w:r w:rsidR="00CB520A" w:rsidRPr="0070292F">
        <w:rPr>
          <w:rFonts w:eastAsia="Cambria"/>
          <w:lang w:val="fr-FR"/>
        </w:rPr>
        <w:t>a</w:t>
      </w:r>
      <w:r w:rsidRPr="0070292F">
        <w:rPr>
          <w:rFonts w:eastAsia="Cambria"/>
          <w:lang w:val="fr-FR"/>
        </w:rPr>
        <w:t xml:space="preserve"> inconstitutionnel l</w:t>
      </w:r>
      <w:r w:rsidR="0070292F" w:rsidRPr="0070292F">
        <w:rPr>
          <w:rFonts w:eastAsia="Cambria"/>
          <w:lang w:val="fr-FR"/>
        </w:rPr>
        <w:t>’</w:t>
      </w:r>
      <w:r w:rsidRPr="0070292F">
        <w:rPr>
          <w:rFonts w:eastAsia="Cambria"/>
          <w:lang w:val="fr-FR"/>
        </w:rPr>
        <w:t xml:space="preserve">article 4 de la loi nº 1423 de 1956, </w:t>
      </w:r>
      <w:r w:rsidR="00CB520A" w:rsidRPr="0070292F">
        <w:rPr>
          <w:rFonts w:eastAsia="Cambria"/>
          <w:lang w:val="fr-FR"/>
        </w:rPr>
        <w:t>au motif qu</w:t>
      </w:r>
      <w:r w:rsidR="0070292F" w:rsidRPr="0070292F">
        <w:rPr>
          <w:rFonts w:eastAsia="Cambria"/>
          <w:lang w:val="fr-FR"/>
        </w:rPr>
        <w:t>’</w:t>
      </w:r>
      <w:r w:rsidRPr="0070292F">
        <w:rPr>
          <w:rFonts w:eastAsia="Cambria"/>
          <w:lang w:val="fr-FR"/>
        </w:rPr>
        <w:t>il ne prévoyait pas la présence obligatoire d</w:t>
      </w:r>
      <w:r w:rsidR="0070292F" w:rsidRPr="0070292F">
        <w:rPr>
          <w:rFonts w:eastAsia="Cambria"/>
          <w:lang w:val="fr-FR"/>
        </w:rPr>
        <w:t>’</w:t>
      </w:r>
      <w:r w:rsidRPr="0070292F">
        <w:rPr>
          <w:rFonts w:eastAsia="Cambria"/>
          <w:lang w:val="fr-FR"/>
        </w:rPr>
        <w:t xml:space="preserve">un défenseur </w:t>
      </w:r>
      <w:r w:rsidR="00CB520A" w:rsidRPr="0070292F">
        <w:rPr>
          <w:rFonts w:eastAsia="Cambria"/>
          <w:lang w:val="fr-FR"/>
        </w:rPr>
        <w:t xml:space="preserve">pendant </w:t>
      </w:r>
      <w:r w:rsidRPr="0070292F">
        <w:rPr>
          <w:rFonts w:eastAsia="Cambria"/>
          <w:lang w:val="fr-FR"/>
        </w:rPr>
        <w:t>la procédure d</w:t>
      </w:r>
      <w:r w:rsidR="0070292F" w:rsidRPr="0070292F">
        <w:rPr>
          <w:rFonts w:eastAsia="Cambria"/>
          <w:lang w:val="fr-FR"/>
        </w:rPr>
        <w:t>’</w:t>
      </w:r>
      <w:r w:rsidRPr="0070292F">
        <w:rPr>
          <w:rFonts w:eastAsia="Cambria"/>
          <w:lang w:val="fr-FR"/>
        </w:rPr>
        <w:t>application des mesures de prévention.</w:t>
      </w:r>
    </w:p>
    <w:bookmarkStart w:id="18" w:name="para55"/>
    <w:p w:rsidR="006964C8" w:rsidRPr="0070292F" w:rsidRDefault="00186E84" w:rsidP="0070292F">
      <w:pPr>
        <w:pStyle w:val="ECHRPara"/>
        <w:rPr>
          <w:rFonts w:eastAsia="Cambria"/>
          <w:lang w:val="fr-FR"/>
        </w:rPr>
      </w:pPr>
      <w:r w:rsidRPr="0070292F">
        <w:rPr>
          <w:rFonts w:eastAsia="Cambria"/>
          <w:lang w:val="fr-FR"/>
        </w:rPr>
        <w:fldChar w:fldCharType="begin"/>
      </w:r>
      <w:r w:rsidRPr="0070292F">
        <w:rPr>
          <w:rFonts w:eastAsia="Cambria"/>
          <w:lang w:val="fr-FR"/>
        </w:rPr>
        <w:instrText xml:space="preserve"> SEQ level0 \*arabic </w:instrText>
      </w:r>
      <w:r w:rsidRPr="0070292F">
        <w:rPr>
          <w:rFonts w:eastAsia="Cambria"/>
          <w:lang w:val="fr-FR"/>
        </w:rPr>
        <w:fldChar w:fldCharType="separate"/>
      </w:r>
      <w:r w:rsidR="0070292F" w:rsidRPr="0070292F">
        <w:rPr>
          <w:rFonts w:eastAsia="Cambria"/>
          <w:noProof/>
          <w:lang w:val="fr-FR"/>
        </w:rPr>
        <w:t>55</w:t>
      </w:r>
      <w:r w:rsidRPr="0070292F">
        <w:rPr>
          <w:rFonts w:eastAsia="Cambria"/>
          <w:lang w:val="fr-FR"/>
        </w:rPr>
        <w:fldChar w:fldCharType="end"/>
      </w:r>
      <w:r w:rsidRPr="0070292F">
        <w:rPr>
          <w:rFonts w:eastAsia="Cambria"/>
          <w:lang w:val="fr-FR"/>
        </w:rPr>
        <w:t>.</w:t>
      </w:r>
      <w:bookmarkEnd w:id="18"/>
      <w:r w:rsidRPr="0070292F">
        <w:rPr>
          <w:rFonts w:eastAsia="Cambria"/>
          <w:lang w:val="fr-FR"/>
        </w:rPr>
        <w:t>  Dans son arrêt nº 177 d</w:t>
      </w:r>
      <w:r w:rsidR="005661AF" w:rsidRPr="0070292F">
        <w:rPr>
          <w:rFonts w:eastAsia="Cambria"/>
          <w:lang w:val="fr-FR"/>
        </w:rPr>
        <w:t xml:space="preserve">e 1980, </w:t>
      </w:r>
      <w:r w:rsidR="006964C8" w:rsidRPr="0070292F">
        <w:rPr>
          <w:rFonts w:eastAsia="Cambria"/>
          <w:lang w:val="fr-FR"/>
        </w:rPr>
        <w:t>la Cour constitutionnelle constat</w:t>
      </w:r>
      <w:r w:rsidR="00CB520A" w:rsidRPr="0070292F">
        <w:rPr>
          <w:rFonts w:eastAsia="Cambria"/>
          <w:lang w:val="fr-FR"/>
        </w:rPr>
        <w:t>a</w:t>
      </w:r>
      <w:r w:rsidR="006964C8" w:rsidRPr="0070292F">
        <w:rPr>
          <w:rFonts w:eastAsia="Cambria"/>
          <w:lang w:val="fr-FR"/>
        </w:rPr>
        <w:t xml:space="preserve"> qu</w:t>
      </w:r>
      <w:r w:rsidR="00CB520A" w:rsidRPr="0070292F">
        <w:rPr>
          <w:rFonts w:eastAsia="Cambria"/>
          <w:lang w:val="fr-FR"/>
        </w:rPr>
        <w:t>e l</w:t>
      </w:r>
      <w:r w:rsidR="0070292F" w:rsidRPr="0070292F">
        <w:rPr>
          <w:rFonts w:eastAsia="Cambria"/>
          <w:lang w:val="fr-FR"/>
        </w:rPr>
        <w:t>’</w:t>
      </w:r>
      <w:r w:rsidR="006964C8" w:rsidRPr="0070292F">
        <w:rPr>
          <w:rFonts w:eastAsia="Cambria"/>
          <w:lang w:val="fr-FR"/>
        </w:rPr>
        <w:t xml:space="preserve">une des catégories de sujets </w:t>
      </w:r>
      <w:r w:rsidR="00374B0A" w:rsidRPr="0070292F">
        <w:rPr>
          <w:rFonts w:eastAsia="Cambria"/>
          <w:lang w:val="fr-FR"/>
        </w:rPr>
        <w:t>présentées</w:t>
      </w:r>
      <w:r w:rsidR="00CB520A" w:rsidRPr="0070292F">
        <w:rPr>
          <w:rFonts w:eastAsia="Cambria"/>
          <w:lang w:val="fr-FR"/>
        </w:rPr>
        <w:t xml:space="preserve"> à</w:t>
      </w:r>
      <w:r w:rsidR="006964C8" w:rsidRPr="0070292F">
        <w:rPr>
          <w:rFonts w:eastAsia="Cambria"/>
          <w:lang w:val="fr-FR"/>
        </w:rPr>
        <w:t xml:space="preserve"> l</w:t>
      </w:r>
      <w:r w:rsidR="0070292F" w:rsidRPr="0070292F">
        <w:rPr>
          <w:rFonts w:eastAsia="Cambria"/>
          <w:lang w:val="fr-FR"/>
        </w:rPr>
        <w:t>’</w:t>
      </w:r>
      <w:r w:rsidR="006964C8" w:rsidRPr="0070292F">
        <w:rPr>
          <w:rFonts w:eastAsia="Cambria"/>
          <w:lang w:val="fr-FR"/>
        </w:rPr>
        <w:t>article 1 de la loi de 1956 en vigueur à l</w:t>
      </w:r>
      <w:r w:rsidR="0070292F" w:rsidRPr="0070292F">
        <w:rPr>
          <w:rFonts w:eastAsia="Cambria"/>
          <w:lang w:val="fr-FR"/>
        </w:rPr>
        <w:t>’</w:t>
      </w:r>
      <w:r w:rsidR="006964C8" w:rsidRPr="0070292F">
        <w:rPr>
          <w:rFonts w:eastAsia="Cambria"/>
          <w:lang w:val="fr-FR"/>
        </w:rPr>
        <w:t>époque, celle des personnes « </w:t>
      </w:r>
      <w:r w:rsidR="00CB520A" w:rsidRPr="0070292F">
        <w:rPr>
          <w:rFonts w:eastAsia="Cambria"/>
          <w:lang w:val="fr-FR"/>
        </w:rPr>
        <w:t>que certains</w:t>
      </w:r>
      <w:r w:rsidR="006964C8" w:rsidRPr="0070292F">
        <w:rPr>
          <w:rFonts w:eastAsia="Cambria"/>
          <w:lang w:val="fr-FR"/>
        </w:rPr>
        <w:t xml:space="preserve"> signes extérieurs port</w:t>
      </w:r>
      <w:r w:rsidR="00374B0A" w:rsidRPr="0070292F">
        <w:rPr>
          <w:rFonts w:eastAsia="Cambria"/>
          <w:lang w:val="fr-FR"/>
        </w:rPr>
        <w:t>[ai]</w:t>
      </w:r>
      <w:r w:rsidR="006964C8" w:rsidRPr="0070292F">
        <w:rPr>
          <w:rFonts w:eastAsia="Cambria"/>
          <w:lang w:val="fr-FR"/>
        </w:rPr>
        <w:t>ent à considérer enclines à la délinquance », n</w:t>
      </w:r>
      <w:r w:rsidR="0070292F" w:rsidRPr="0070292F">
        <w:rPr>
          <w:rFonts w:eastAsia="Cambria"/>
          <w:lang w:val="fr-FR"/>
        </w:rPr>
        <w:t>’</w:t>
      </w:r>
      <w:r w:rsidR="006964C8" w:rsidRPr="0070292F">
        <w:rPr>
          <w:rFonts w:eastAsia="Cambria"/>
          <w:lang w:val="fr-FR"/>
        </w:rPr>
        <w:t xml:space="preserve">était pas suffisamment détaillée par la loi et ne permettait pas de prévoir qui pouvait être visé par </w:t>
      </w:r>
      <w:r w:rsidR="00374B0A" w:rsidRPr="0070292F">
        <w:rPr>
          <w:rFonts w:eastAsia="Cambria"/>
          <w:lang w:val="fr-FR"/>
        </w:rPr>
        <w:t>l</w:t>
      </w:r>
      <w:r w:rsidR="006964C8" w:rsidRPr="0070292F">
        <w:rPr>
          <w:rFonts w:eastAsia="Cambria"/>
          <w:lang w:val="fr-FR"/>
        </w:rPr>
        <w:t>es mesures</w:t>
      </w:r>
      <w:r w:rsidR="00374B0A" w:rsidRPr="0070292F">
        <w:rPr>
          <w:rFonts w:eastAsia="Cambria"/>
          <w:lang w:val="fr-FR"/>
        </w:rPr>
        <w:t xml:space="preserve"> de prévention</w:t>
      </w:r>
      <w:r w:rsidR="00CB520A" w:rsidRPr="0070292F">
        <w:rPr>
          <w:rFonts w:eastAsia="Cambria"/>
          <w:lang w:val="fr-FR"/>
        </w:rPr>
        <w:t xml:space="preserve"> et dans quelles conditions</w:t>
      </w:r>
      <w:r w:rsidR="006964C8" w:rsidRPr="0070292F">
        <w:rPr>
          <w:rFonts w:eastAsia="Cambria"/>
          <w:lang w:val="fr-FR"/>
        </w:rPr>
        <w:t xml:space="preserve">, en raison de la </w:t>
      </w:r>
      <w:r w:rsidR="00E6145B" w:rsidRPr="0070292F">
        <w:rPr>
          <w:rFonts w:eastAsia="Cambria"/>
          <w:lang w:val="fr-FR"/>
        </w:rPr>
        <w:t xml:space="preserve">trop grande </w:t>
      </w:r>
      <w:r w:rsidR="006964C8" w:rsidRPr="0070292F">
        <w:rPr>
          <w:rFonts w:eastAsia="Cambria"/>
          <w:lang w:val="fr-FR"/>
        </w:rPr>
        <w:t>marge d</w:t>
      </w:r>
      <w:r w:rsidR="0070292F" w:rsidRPr="0070292F">
        <w:rPr>
          <w:rFonts w:eastAsia="Cambria"/>
          <w:lang w:val="fr-FR"/>
        </w:rPr>
        <w:t>’</w:t>
      </w:r>
      <w:r w:rsidR="006964C8" w:rsidRPr="0070292F">
        <w:rPr>
          <w:rFonts w:eastAsia="Cambria"/>
          <w:lang w:val="fr-FR"/>
        </w:rPr>
        <w:t xml:space="preserve">appréciation </w:t>
      </w:r>
      <w:r w:rsidR="00E6145B" w:rsidRPr="0070292F">
        <w:rPr>
          <w:rFonts w:eastAsia="Cambria"/>
          <w:lang w:val="fr-FR"/>
        </w:rPr>
        <w:t>des</w:t>
      </w:r>
      <w:r w:rsidR="006964C8" w:rsidRPr="0070292F">
        <w:rPr>
          <w:rFonts w:eastAsia="Cambria"/>
          <w:lang w:val="fr-FR"/>
        </w:rPr>
        <w:t xml:space="preserve"> autorités. La Cour constitutionnelle </w:t>
      </w:r>
      <w:r w:rsidR="00E6145B" w:rsidRPr="0070292F">
        <w:rPr>
          <w:rFonts w:eastAsia="Cambria"/>
          <w:lang w:val="fr-FR"/>
        </w:rPr>
        <w:t xml:space="preserve">conclut </w:t>
      </w:r>
      <w:r w:rsidR="006964C8" w:rsidRPr="0070292F">
        <w:rPr>
          <w:rFonts w:eastAsia="Cambria"/>
          <w:lang w:val="fr-FR"/>
        </w:rPr>
        <w:t xml:space="preserve">également à la violation du principe de légalité applicable en matière de mesures de prévention, </w:t>
      </w:r>
      <w:r w:rsidR="00E6145B" w:rsidRPr="0070292F">
        <w:rPr>
          <w:rFonts w:eastAsia="Cambria"/>
          <w:lang w:val="fr-FR"/>
        </w:rPr>
        <w:t>selon</w:t>
      </w:r>
      <w:r w:rsidR="006964C8" w:rsidRPr="0070292F">
        <w:rPr>
          <w:rFonts w:eastAsia="Cambria"/>
          <w:lang w:val="fr-FR"/>
        </w:rPr>
        <w:t xml:space="preserve"> l</w:t>
      </w:r>
      <w:r w:rsidR="0070292F" w:rsidRPr="0070292F">
        <w:rPr>
          <w:rFonts w:eastAsia="Cambria"/>
          <w:lang w:val="fr-FR"/>
        </w:rPr>
        <w:t>’</w:t>
      </w:r>
      <w:r w:rsidR="006964C8" w:rsidRPr="0070292F">
        <w:rPr>
          <w:rFonts w:eastAsia="Cambria"/>
          <w:lang w:val="fr-FR"/>
        </w:rPr>
        <w:t xml:space="preserve">article 13 </w:t>
      </w:r>
      <w:r w:rsidR="00E6145B" w:rsidRPr="0070292F">
        <w:rPr>
          <w:rFonts w:eastAsia="Cambria"/>
          <w:lang w:val="fr-FR"/>
        </w:rPr>
        <w:t>(</w:t>
      </w:r>
      <w:r w:rsidR="006964C8" w:rsidRPr="0070292F">
        <w:rPr>
          <w:rFonts w:eastAsia="Cambria"/>
          <w:lang w:val="fr-FR"/>
        </w:rPr>
        <w:t>liberté personnelle</w:t>
      </w:r>
      <w:r w:rsidR="00E6145B" w:rsidRPr="0070292F">
        <w:rPr>
          <w:rFonts w:eastAsia="Cambria"/>
          <w:lang w:val="fr-FR"/>
        </w:rPr>
        <w:t>)</w:t>
      </w:r>
      <w:r w:rsidR="006964C8" w:rsidRPr="0070292F">
        <w:rPr>
          <w:rFonts w:eastAsia="Cambria"/>
          <w:lang w:val="fr-FR"/>
        </w:rPr>
        <w:t xml:space="preserve"> et l</w:t>
      </w:r>
      <w:r w:rsidR="0070292F" w:rsidRPr="0070292F">
        <w:rPr>
          <w:rFonts w:eastAsia="Cambria"/>
          <w:lang w:val="fr-FR"/>
        </w:rPr>
        <w:t>’</w:t>
      </w:r>
      <w:r w:rsidR="006964C8" w:rsidRPr="0070292F">
        <w:rPr>
          <w:rFonts w:eastAsia="Cambria"/>
          <w:lang w:val="fr-FR"/>
        </w:rPr>
        <w:t xml:space="preserve">article 25 </w:t>
      </w:r>
      <w:r w:rsidR="00E6145B" w:rsidRPr="0070292F">
        <w:rPr>
          <w:rFonts w:eastAsia="Cambria"/>
          <w:lang w:val="fr-FR"/>
        </w:rPr>
        <w:t>(</w:t>
      </w:r>
      <w:r w:rsidR="006964C8" w:rsidRPr="0070292F">
        <w:rPr>
          <w:rFonts w:eastAsia="Cambria"/>
          <w:lang w:val="fr-FR"/>
        </w:rPr>
        <w:t>mesures de s</w:t>
      </w:r>
      <w:r w:rsidR="00E6145B" w:rsidRPr="0070292F">
        <w:rPr>
          <w:rFonts w:eastAsia="Cambria"/>
          <w:lang w:val="fr-FR"/>
        </w:rPr>
        <w:t>û</w:t>
      </w:r>
      <w:r w:rsidR="006964C8" w:rsidRPr="0070292F">
        <w:rPr>
          <w:rFonts w:eastAsia="Cambria"/>
          <w:lang w:val="fr-FR"/>
        </w:rPr>
        <w:t>reté</w:t>
      </w:r>
      <w:r w:rsidR="00E6145B" w:rsidRPr="0070292F">
        <w:rPr>
          <w:rFonts w:eastAsia="Cambria"/>
          <w:lang w:val="fr-FR"/>
        </w:rPr>
        <w:t>)</w:t>
      </w:r>
      <w:r w:rsidR="006964C8" w:rsidRPr="0070292F">
        <w:rPr>
          <w:rFonts w:eastAsia="Cambria"/>
          <w:lang w:val="fr-FR"/>
        </w:rPr>
        <w:t>.</w:t>
      </w:r>
    </w:p>
    <w:p w:rsidR="0070292F" w:rsidRPr="0070292F" w:rsidRDefault="00374B0A" w:rsidP="0070292F">
      <w:pPr>
        <w:pStyle w:val="ECHRPara"/>
        <w:rPr>
          <w:rFonts w:eastAsia="Cambria"/>
          <w:lang w:val="fr-FR"/>
        </w:rPr>
      </w:pPr>
      <w:r w:rsidRPr="0070292F">
        <w:rPr>
          <w:rFonts w:eastAsia="Cambria"/>
          <w:lang w:val="fr-FR"/>
        </w:rPr>
        <w:t>R</w:t>
      </w:r>
      <w:r w:rsidR="00186E84" w:rsidRPr="0070292F">
        <w:rPr>
          <w:rFonts w:eastAsia="Cambria"/>
          <w:lang w:val="fr-FR"/>
        </w:rPr>
        <w:t>é</w:t>
      </w:r>
      <w:r w:rsidR="00346359" w:rsidRPr="0070292F">
        <w:rPr>
          <w:rFonts w:eastAsia="Cambria"/>
          <w:lang w:val="fr-FR"/>
        </w:rPr>
        <w:t>sum</w:t>
      </w:r>
      <w:r w:rsidR="00E6145B" w:rsidRPr="0070292F">
        <w:rPr>
          <w:rFonts w:eastAsia="Cambria"/>
          <w:lang w:val="fr-FR"/>
        </w:rPr>
        <w:t>a</w:t>
      </w:r>
      <w:r w:rsidRPr="0070292F">
        <w:rPr>
          <w:rFonts w:eastAsia="Cambria"/>
          <w:lang w:val="fr-FR"/>
        </w:rPr>
        <w:t>nt</w:t>
      </w:r>
      <w:r w:rsidR="00346359" w:rsidRPr="0070292F">
        <w:rPr>
          <w:rFonts w:eastAsia="Cambria"/>
          <w:lang w:val="fr-FR"/>
        </w:rPr>
        <w:t xml:space="preserve"> </w:t>
      </w:r>
      <w:r w:rsidR="00E6145B" w:rsidRPr="0070292F">
        <w:rPr>
          <w:rFonts w:eastAsia="Cambria"/>
          <w:lang w:val="fr-FR"/>
        </w:rPr>
        <w:t>l</w:t>
      </w:r>
      <w:r w:rsidR="0070292F" w:rsidRPr="0070292F">
        <w:rPr>
          <w:rFonts w:eastAsia="Cambria"/>
          <w:lang w:val="fr-FR"/>
        </w:rPr>
        <w:t>’</w:t>
      </w:r>
      <w:r w:rsidR="00E6145B" w:rsidRPr="0070292F">
        <w:rPr>
          <w:rFonts w:eastAsia="Cambria"/>
          <w:lang w:val="fr-FR"/>
        </w:rPr>
        <w:t>ensemble de</w:t>
      </w:r>
      <w:r w:rsidR="00346359" w:rsidRPr="0070292F">
        <w:rPr>
          <w:rFonts w:eastAsia="Cambria"/>
          <w:lang w:val="fr-FR"/>
        </w:rPr>
        <w:t xml:space="preserve"> la jurisprudence </w:t>
      </w:r>
      <w:r w:rsidR="005661AF" w:rsidRPr="0070292F">
        <w:rPr>
          <w:rFonts w:eastAsia="Cambria"/>
          <w:lang w:val="fr-FR"/>
        </w:rPr>
        <w:t>c</w:t>
      </w:r>
      <w:r w:rsidR="00CE3F53" w:rsidRPr="0070292F">
        <w:rPr>
          <w:rFonts w:eastAsia="Cambria"/>
          <w:lang w:val="fr-FR"/>
        </w:rPr>
        <w:t>onstitutionnelle</w:t>
      </w:r>
      <w:r w:rsidRPr="0070292F">
        <w:rPr>
          <w:rFonts w:eastAsia="Cambria"/>
          <w:lang w:val="fr-FR"/>
        </w:rPr>
        <w:t>, la Cour</w:t>
      </w:r>
      <w:r w:rsidR="00186E84" w:rsidRPr="0070292F">
        <w:rPr>
          <w:rFonts w:eastAsia="Cambria"/>
          <w:lang w:val="fr-FR"/>
        </w:rPr>
        <w:t xml:space="preserve"> s</w:t>
      </w:r>
      <w:r w:rsidR="0070292F" w:rsidRPr="0070292F">
        <w:rPr>
          <w:rFonts w:eastAsia="Cambria"/>
          <w:lang w:val="fr-FR"/>
        </w:rPr>
        <w:t>’</w:t>
      </w:r>
      <w:r w:rsidR="00186E84" w:rsidRPr="0070292F">
        <w:rPr>
          <w:rFonts w:eastAsia="Cambria"/>
          <w:lang w:val="fr-FR"/>
        </w:rPr>
        <w:t>exprim</w:t>
      </w:r>
      <w:r w:rsidR="00E6145B" w:rsidRPr="0070292F">
        <w:rPr>
          <w:rFonts w:eastAsia="Cambria"/>
          <w:lang w:val="fr-FR"/>
        </w:rPr>
        <w:t>a</w:t>
      </w:r>
      <w:r w:rsidR="00186E84" w:rsidRPr="0070292F">
        <w:rPr>
          <w:rFonts w:eastAsia="Cambria"/>
          <w:lang w:val="fr-FR"/>
        </w:rPr>
        <w:t xml:space="preserve"> ainsi :</w:t>
      </w:r>
    </w:p>
    <w:p w:rsidR="00186E84" w:rsidRPr="0070292F" w:rsidRDefault="00186E84" w:rsidP="0070292F">
      <w:pPr>
        <w:pStyle w:val="ECHRParaQuote"/>
        <w:rPr>
          <w:rFonts w:eastAsia="Calibri"/>
          <w:lang w:val="fr-FR"/>
        </w:rPr>
      </w:pPr>
      <w:r w:rsidRPr="0070292F">
        <w:rPr>
          <w:rFonts w:eastAsia="Calibri"/>
          <w:lang w:val="fr-FR"/>
        </w:rPr>
        <w:t>« 3)</w:t>
      </w:r>
      <w:r w:rsidR="00DB1ACC" w:rsidRPr="0070292F">
        <w:rPr>
          <w:lang w:val="fr-FR"/>
        </w:rPr>
        <w:t>  </w:t>
      </w:r>
      <w:r w:rsidRPr="0070292F">
        <w:rPr>
          <w:rFonts w:eastAsia="Calibri"/>
          <w:lang w:val="fr-FR"/>
        </w:rPr>
        <w:t xml:space="preserve">La question des mesures de prévention et les problèmes </w:t>
      </w:r>
      <w:r w:rsidR="00ED57FC" w:rsidRPr="0070292F">
        <w:rPr>
          <w:rFonts w:eastAsia="Calibri"/>
          <w:lang w:val="fr-FR"/>
        </w:rPr>
        <w:t>associés</w:t>
      </w:r>
      <w:r w:rsidRPr="0070292F">
        <w:rPr>
          <w:rFonts w:eastAsia="Calibri"/>
          <w:lang w:val="fr-FR"/>
        </w:rPr>
        <w:t xml:space="preserve"> ont été soumis à l</w:t>
      </w:r>
      <w:r w:rsidR="0070292F" w:rsidRPr="0070292F">
        <w:rPr>
          <w:rFonts w:eastAsia="Calibri"/>
          <w:lang w:val="fr-FR"/>
        </w:rPr>
        <w:t>’</w:t>
      </w:r>
      <w:r w:rsidRPr="0070292F">
        <w:rPr>
          <w:rFonts w:eastAsia="Calibri"/>
          <w:lang w:val="fr-FR"/>
        </w:rPr>
        <w:t xml:space="preserve">attention de cette Cour dès le </w:t>
      </w:r>
      <w:r w:rsidR="00ED57FC" w:rsidRPr="0070292F">
        <w:rPr>
          <w:rFonts w:eastAsia="Calibri"/>
          <w:lang w:val="fr-FR"/>
        </w:rPr>
        <w:t xml:space="preserve">début </w:t>
      </w:r>
      <w:r w:rsidRPr="0070292F">
        <w:rPr>
          <w:rFonts w:eastAsia="Calibri"/>
          <w:lang w:val="fr-FR"/>
        </w:rPr>
        <w:t>de son activité.</w:t>
      </w:r>
    </w:p>
    <w:p w:rsidR="00186E84" w:rsidRPr="0070292F" w:rsidRDefault="00ED57FC" w:rsidP="0070292F">
      <w:pPr>
        <w:pStyle w:val="ECHRParaQuote"/>
        <w:rPr>
          <w:rFonts w:eastAsia="Calibri"/>
          <w:lang w:val="fr-FR"/>
        </w:rPr>
      </w:pPr>
      <w:r w:rsidRPr="0070292F">
        <w:rPr>
          <w:rFonts w:eastAsia="Calibri"/>
          <w:lang w:val="fr-FR"/>
        </w:rPr>
        <w:t xml:space="preserve">Dès </w:t>
      </w:r>
      <w:r w:rsidR="00186E84" w:rsidRPr="0070292F">
        <w:rPr>
          <w:rFonts w:eastAsia="Calibri"/>
          <w:lang w:val="fr-FR"/>
        </w:rPr>
        <w:t>l</w:t>
      </w:r>
      <w:r w:rsidR="0070292F" w:rsidRPr="0070292F">
        <w:rPr>
          <w:rFonts w:eastAsia="Calibri"/>
          <w:lang w:val="fr-FR"/>
        </w:rPr>
        <w:t>’</w:t>
      </w:r>
      <w:r w:rsidR="00186E84" w:rsidRPr="0070292F">
        <w:rPr>
          <w:rFonts w:eastAsia="Calibri"/>
          <w:lang w:val="fr-FR"/>
        </w:rPr>
        <w:t>arrêt n</w:t>
      </w:r>
      <w:r w:rsidR="008C1E94" w:rsidRPr="0070292F">
        <w:rPr>
          <w:rFonts w:eastAsia="Calibri"/>
          <w:vertAlign w:val="superscript"/>
          <w:lang w:val="fr-FR"/>
        </w:rPr>
        <w:t>o</w:t>
      </w:r>
      <w:r w:rsidR="00186E84" w:rsidRPr="0070292F">
        <w:rPr>
          <w:rFonts w:eastAsia="Calibri"/>
          <w:lang w:val="fr-FR"/>
        </w:rPr>
        <w:t xml:space="preserve"> 2 de 1956, la Cour </w:t>
      </w:r>
      <w:r w:rsidRPr="0070292F">
        <w:rPr>
          <w:rFonts w:eastAsia="Calibri"/>
          <w:lang w:val="fr-FR"/>
        </w:rPr>
        <w:t>énonça</w:t>
      </w:r>
      <w:r w:rsidR="00186E84" w:rsidRPr="0070292F">
        <w:rPr>
          <w:rFonts w:eastAsia="Calibri"/>
          <w:lang w:val="fr-FR"/>
        </w:rPr>
        <w:t xml:space="preserve"> certains principes importants tels que l</w:t>
      </w:r>
      <w:r w:rsidR="0070292F" w:rsidRPr="0070292F">
        <w:rPr>
          <w:rFonts w:eastAsia="Calibri"/>
          <w:lang w:val="fr-FR"/>
        </w:rPr>
        <w:t>’</w:t>
      </w:r>
      <w:r w:rsidR="00186E84" w:rsidRPr="0070292F">
        <w:rPr>
          <w:rFonts w:eastAsia="Calibri"/>
          <w:lang w:val="fr-FR"/>
        </w:rPr>
        <w:t>obligation de la garantie juridictionnelle pour toute mesure limitant la liberté personnelle et le refus net du soupçon comme condition pour l</w:t>
      </w:r>
      <w:r w:rsidR="0070292F" w:rsidRPr="0070292F">
        <w:rPr>
          <w:rFonts w:eastAsia="Calibri"/>
          <w:lang w:val="fr-FR"/>
        </w:rPr>
        <w:t>’</w:t>
      </w:r>
      <w:r w:rsidR="00186E84" w:rsidRPr="0070292F">
        <w:rPr>
          <w:rFonts w:eastAsia="Calibri"/>
          <w:lang w:val="fr-FR"/>
        </w:rPr>
        <w:t xml:space="preserve">application de telles mesures, </w:t>
      </w:r>
      <w:r w:rsidRPr="0070292F">
        <w:rPr>
          <w:rFonts w:eastAsia="Calibri"/>
          <w:lang w:val="fr-FR"/>
        </w:rPr>
        <w:t xml:space="preserve">qui sont </w:t>
      </w:r>
      <w:r w:rsidR="00186E84" w:rsidRPr="0070292F">
        <w:rPr>
          <w:rFonts w:eastAsia="Calibri"/>
          <w:lang w:val="fr-FR"/>
        </w:rPr>
        <w:t xml:space="preserve">légitimes à condition </w:t>
      </w:r>
      <w:r w:rsidRPr="0070292F">
        <w:rPr>
          <w:rFonts w:eastAsia="Calibri"/>
          <w:lang w:val="fr-FR"/>
        </w:rPr>
        <w:t>d</w:t>
      </w:r>
      <w:r w:rsidR="0070292F" w:rsidRPr="0070292F">
        <w:rPr>
          <w:rFonts w:eastAsia="Calibri"/>
          <w:lang w:val="fr-FR"/>
        </w:rPr>
        <w:t>’</w:t>
      </w:r>
      <w:r w:rsidRPr="0070292F">
        <w:rPr>
          <w:rFonts w:eastAsia="Calibri"/>
          <w:lang w:val="fr-FR"/>
        </w:rPr>
        <w:t>être</w:t>
      </w:r>
      <w:r w:rsidR="00186E84" w:rsidRPr="0070292F">
        <w:rPr>
          <w:rFonts w:eastAsia="Calibri"/>
          <w:lang w:val="fr-FR"/>
        </w:rPr>
        <w:t xml:space="preserve"> motivées par des faits spécifiques.</w:t>
      </w:r>
    </w:p>
    <w:p w:rsidR="00186E84" w:rsidRPr="0070292F" w:rsidRDefault="00186E84" w:rsidP="0070292F">
      <w:pPr>
        <w:pStyle w:val="ECHRParaQuote"/>
        <w:rPr>
          <w:rFonts w:eastAsia="Calibri"/>
          <w:lang w:val="fr-FR"/>
        </w:rPr>
      </w:pPr>
      <w:r w:rsidRPr="0070292F">
        <w:rPr>
          <w:rFonts w:eastAsia="Calibri"/>
          <w:lang w:val="fr-FR"/>
        </w:rPr>
        <w:t>Dans l</w:t>
      </w:r>
      <w:r w:rsidR="0070292F" w:rsidRPr="0070292F">
        <w:rPr>
          <w:rFonts w:eastAsia="Calibri"/>
          <w:lang w:val="fr-FR"/>
        </w:rPr>
        <w:t>’</w:t>
      </w:r>
      <w:r w:rsidRPr="0070292F">
        <w:rPr>
          <w:rFonts w:eastAsia="Calibri"/>
          <w:lang w:val="fr-FR"/>
        </w:rPr>
        <w:t>arrêt n</w:t>
      </w:r>
      <w:r w:rsidR="008C1E94" w:rsidRPr="0070292F">
        <w:rPr>
          <w:rFonts w:eastAsia="Calibri"/>
          <w:vertAlign w:val="superscript"/>
          <w:lang w:val="fr-FR"/>
        </w:rPr>
        <w:t>o</w:t>
      </w:r>
      <w:r w:rsidR="00E36453" w:rsidRPr="0070292F">
        <w:rPr>
          <w:lang w:val="fr-FR"/>
        </w:rPr>
        <w:t> </w:t>
      </w:r>
      <w:r w:rsidRPr="0070292F">
        <w:rPr>
          <w:rFonts w:eastAsia="Calibri"/>
          <w:lang w:val="fr-FR"/>
        </w:rPr>
        <w:t xml:space="preserve">11 de la même année 1956, la Cour </w:t>
      </w:r>
      <w:r w:rsidR="00ED57FC" w:rsidRPr="0070292F">
        <w:rPr>
          <w:rFonts w:eastAsia="Calibri"/>
          <w:lang w:val="fr-FR"/>
        </w:rPr>
        <w:t>déclara</w:t>
      </w:r>
      <w:r w:rsidRPr="0070292F">
        <w:rPr>
          <w:rFonts w:eastAsia="Calibri"/>
          <w:lang w:val="fr-FR"/>
        </w:rPr>
        <w:t xml:space="preserve"> que « </w:t>
      </w:r>
      <w:r w:rsidR="00ED57FC" w:rsidRPr="0070292F">
        <w:rPr>
          <w:rFonts w:eastAsia="Calibri"/>
          <w:lang w:val="fr-FR"/>
        </w:rPr>
        <w:t>la grande difficulté</w:t>
      </w:r>
      <w:r w:rsidRPr="0070292F">
        <w:rPr>
          <w:rFonts w:eastAsia="Calibri"/>
          <w:lang w:val="fr-FR"/>
        </w:rPr>
        <w:t xml:space="preserve"> d</w:t>
      </w:r>
      <w:r w:rsidR="0070292F" w:rsidRPr="0070292F">
        <w:rPr>
          <w:rFonts w:eastAsia="Calibri"/>
          <w:lang w:val="fr-FR"/>
        </w:rPr>
        <w:t>’</w:t>
      </w:r>
      <w:r w:rsidRPr="0070292F">
        <w:rPr>
          <w:rFonts w:eastAsia="Calibri"/>
          <w:lang w:val="fr-FR"/>
        </w:rPr>
        <w:t>assurer l</w:t>
      </w:r>
      <w:r w:rsidR="0070292F" w:rsidRPr="0070292F">
        <w:rPr>
          <w:rFonts w:eastAsia="Calibri"/>
          <w:lang w:val="fr-FR"/>
        </w:rPr>
        <w:t>’</w:t>
      </w:r>
      <w:r w:rsidRPr="0070292F">
        <w:rPr>
          <w:rFonts w:eastAsia="Calibri"/>
          <w:lang w:val="fr-FR"/>
        </w:rPr>
        <w:t xml:space="preserve">équilibre entre les deux exigences fondamentales </w:t>
      </w:r>
      <w:r w:rsidR="00ED57FC" w:rsidRPr="0070292F">
        <w:rPr>
          <w:rFonts w:eastAsia="Calibri"/>
          <w:lang w:val="fr-FR"/>
        </w:rPr>
        <w:t>– </w:t>
      </w:r>
      <w:r w:rsidRPr="0070292F">
        <w:rPr>
          <w:rFonts w:eastAsia="Calibri"/>
          <w:lang w:val="fr-FR"/>
        </w:rPr>
        <w:t>ne pas entraver l</w:t>
      </w:r>
      <w:r w:rsidR="0070292F" w:rsidRPr="0070292F">
        <w:rPr>
          <w:rFonts w:eastAsia="Calibri"/>
          <w:lang w:val="fr-FR"/>
        </w:rPr>
        <w:t>’</w:t>
      </w:r>
      <w:r w:rsidRPr="0070292F">
        <w:rPr>
          <w:rFonts w:eastAsia="Calibri"/>
          <w:lang w:val="fr-FR"/>
        </w:rPr>
        <w:t>activité de prévention des infractions et garantir le respect des droits inviolable</w:t>
      </w:r>
      <w:r w:rsidR="00945691" w:rsidRPr="0070292F">
        <w:rPr>
          <w:rFonts w:eastAsia="Calibri"/>
          <w:lang w:val="fr-FR"/>
        </w:rPr>
        <w:t>s de la personne humaine</w:t>
      </w:r>
      <w:r w:rsidR="00374B0A" w:rsidRPr="0070292F">
        <w:rPr>
          <w:rFonts w:eastAsia="Calibri"/>
          <w:lang w:val="fr-FR"/>
        </w:rPr>
        <w:t> –</w:t>
      </w:r>
      <w:r w:rsidR="00945691" w:rsidRPr="0070292F">
        <w:rPr>
          <w:rFonts w:eastAsia="Calibri"/>
          <w:lang w:val="fr-FR"/>
        </w:rPr>
        <w:t xml:space="preserve"> </w:t>
      </w:r>
      <w:r w:rsidR="00ED57FC" w:rsidRPr="0070292F">
        <w:rPr>
          <w:rFonts w:eastAsia="Calibri"/>
          <w:lang w:val="fr-FR"/>
        </w:rPr>
        <w:t xml:space="preserve">semblait </w:t>
      </w:r>
      <w:r w:rsidRPr="0070292F">
        <w:rPr>
          <w:rFonts w:eastAsia="Calibri"/>
          <w:lang w:val="fr-FR"/>
        </w:rPr>
        <w:t>résolu</w:t>
      </w:r>
      <w:r w:rsidR="00ED57FC" w:rsidRPr="0070292F">
        <w:rPr>
          <w:rFonts w:eastAsia="Calibri"/>
          <w:lang w:val="fr-FR"/>
        </w:rPr>
        <w:t>e</w:t>
      </w:r>
      <w:r w:rsidRPr="0070292F">
        <w:rPr>
          <w:rFonts w:eastAsia="Calibri"/>
          <w:lang w:val="fr-FR"/>
        </w:rPr>
        <w:t xml:space="preserve"> à travers la reconnaissance des droits traditionnels de l</w:t>
      </w:r>
      <w:r w:rsidR="0070292F" w:rsidRPr="0070292F">
        <w:rPr>
          <w:rFonts w:eastAsia="Calibri"/>
          <w:lang w:val="fr-FR"/>
        </w:rPr>
        <w:t>’</w:t>
      </w:r>
      <w:r w:rsidRPr="0070292F">
        <w:rPr>
          <w:rFonts w:eastAsia="Calibri"/>
          <w:i/>
          <w:lang w:val="fr-FR"/>
        </w:rPr>
        <w:t>habeas corpus</w:t>
      </w:r>
      <w:r w:rsidRPr="0070292F">
        <w:rPr>
          <w:rFonts w:eastAsia="Calibri"/>
          <w:lang w:val="fr-FR"/>
        </w:rPr>
        <w:t xml:space="preserve"> dans le domaine du principe de la stricte légalité ».</w:t>
      </w:r>
      <w:r w:rsidR="00374B0A" w:rsidRPr="0070292F">
        <w:rPr>
          <w:rFonts w:eastAsia="Calibri"/>
          <w:lang w:val="fr-FR"/>
        </w:rPr>
        <w:t xml:space="preserve"> </w:t>
      </w:r>
      <w:r w:rsidRPr="0070292F">
        <w:rPr>
          <w:rFonts w:eastAsia="Calibri"/>
          <w:lang w:val="fr-FR"/>
        </w:rPr>
        <w:t>Dans l</w:t>
      </w:r>
      <w:r w:rsidR="0070292F" w:rsidRPr="0070292F">
        <w:rPr>
          <w:rFonts w:eastAsia="Calibri"/>
          <w:lang w:val="fr-FR"/>
        </w:rPr>
        <w:t>’</w:t>
      </w:r>
      <w:r w:rsidRPr="0070292F">
        <w:rPr>
          <w:rFonts w:eastAsia="Calibri"/>
          <w:lang w:val="fr-FR"/>
        </w:rPr>
        <w:t>arrêt susmentionné, la Cour poursui</w:t>
      </w:r>
      <w:r w:rsidR="00ED57FC" w:rsidRPr="0070292F">
        <w:rPr>
          <w:rFonts w:eastAsia="Calibri"/>
          <w:lang w:val="fr-FR"/>
        </w:rPr>
        <w:t>vi</w:t>
      </w:r>
      <w:r w:rsidRPr="0070292F">
        <w:rPr>
          <w:rFonts w:eastAsia="Calibri"/>
          <w:lang w:val="fr-FR"/>
        </w:rPr>
        <w:t>t</w:t>
      </w:r>
      <w:r w:rsidR="00ED57FC" w:rsidRPr="0070292F">
        <w:rPr>
          <w:rFonts w:eastAsia="Calibri"/>
          <w:lang w:val="fr-FR"/>
        </w:rPr>
        <w:t xml:space="preserve"> ainsi</w:t>
      </w:r>
      <w:r w:rsidRPr="0070292F">
        <w:rPr>
          <w:rFonts w:eastAsia="Calibri"/>
          <w:lang w:val="fr-FR"/>
        </w:rPr>
        <w:t> : « </w:t>
      </w:r>
      <w:r w:rsidR="00ED57FC" w:rsidRPr="0070292F">
        <w:rPr>
          <w:rFonts w:eastAsia="Calibri"/>
          <w:lang w:val="fr-FR"/>
        </w:rPr>
        <w:t>De façon c</w:t>
      </w:r>
      <w:r w:rsidRPr="0070292F">
        <w:rPr>
          <w:rFonts w:eastAsia="Calibri"/>
          <w:lang w:val="fr-FR"/>
        </w:rPr>
        <w:t xml:space="preserve">orrélative, </w:t>
      </w:r>
      <w:r w:rsidR="00ED57FC" w:rsidRPr="0070292F">
        <w:rPr>
          <w:rFonts w:eastAsia="Calibri"/>
          <w:lang w:val="fr-FR"/>
        </w:rPr>
        <w:t>l</w:t>
      </w:r>
      <w:r w:rsidR="0070292F" w:rsidRPr="0070292F">
        <w:rPr>
          <w:rFonts w:eastAsia="Calibri"/>
          <w:lang w:val="fr-FR"/>
        </w:rPr>
        <w:t>’</w:t>
      </w:r>
      <w:r w:rsidR="00ED57FC" w:rsidRPr="0070292F">
        <w:rPr>
          <w:rFonts w:eastAsia="Calibri"/>
          <w:lang w:val="fr-FR"/>
        </w:rPr>
        <w:t xml:space="preserve">intéressé ne peut </w:t>
      </w:r>
      <w:r w:rsidRPr="0070292F">
        <w:rPr>
          <w:rFonts w:eastAsia="Calibri"/>
          <w:lang w:val="fr-FR"/>
        </w:rPr>
        <w:t xml:space="preserve">en aucun cas </w:t>
      </w:r>
      <w:r w:rsidR="00ED57FC" w:rsidRPr="0070292F">
        <w:rPr>
          <w:rFonts w:eastAsia="Calibri"/>
          <w:lang w:val="fr-FR"/>
        </w:rPr>
        <w:t>être soumis à une privation ou restriction de</w:t>
      </w:r>
      <w:r w:rsidRPr="0070292F">
        <w:rPr>
          <w:rFonts w:eastAsia="Calibri"/>
          <w:lang w:val="fr-FR"/>
        </w:rPr>
        <w:t xml:space="preserve"> sa liberté (personnelle) si cette privation ou restriction n</w:t>
      </w:r>
      <w:r w:rsidR="0070292F" w:rsidRPr="0070292F">
        <w:rPr>
          <w:rFonts w:eastAsia="Calibri"/>
          <w:lang w:val="fr-FR"/>
        </w:rPr>
        <w:t>’</w:t>
      </w:r>
      <w:r w:rsidRPr="0070292F">
        <w:rPr>
          <w:rFonts w:eastAsia="Calibri"/>
          <w:lang w:val="fr-FR"/>
        </w:rPr>
        <w:t xml:space="preserve">est pas prévue </w:t>
      </w:r>
      <w:r w:rsidR="00ED57FC" w:rsidRPr="0070292F">
        <w:rPr>
          <w:rFonts w:eastAsia="Calibri"/>
          <w:lang w:val="fr-FR"/>
        </w:rPr>
        <w:t>dans l</w:t>
      </w:r>
      <w:r w:rsidR="0070292F" w:rsidRPr="0070292F">
        <w:rPr>
          <w:rFonts w:eastAsia="Calibri"/>
          <w:lang w:val="fr-FR"/>
        </w:rPr>
        <w:t>’</w:t>
      </w:r>
      <w:r w:rsidR="00ED57FC" w:rsidRPr="0070292F">
        <w:rPr>
          <w:rFonts w:eastAsia="Calibri"/>
          <w:lang w:val="fr-FR"/>
        </w:rPr>
        <w:t xml:space="preserve">abstrait </w:t>
      </w:r>
      <w:r w:rsidRPr="0070292F">
        <w:rPr>
          <w:rFonts w:eastAsia="Calibri"/>
          <w:lang w:val="fr-FR"/>
        </w:rPr>
        <w:t xml:space="preserve">par la loi, si une </w:t>
      </w:r>
      <w:r w:rsidR="00ED57FC" w:rsidRPr="0070292F">
        <w:rPr>
          <w:rFonts w:eastAsia="Calibri"/>
          <w:lang w:val="fr-FR"/>
        </w:rPr>
        <w:t xml:space="preserve">procédure </w:t>
      </w:r>
      <w:r w:rsidRPr="0070292F">
        <w:rPr>
          <w:rFonts w:eastAsia="Calibri"/>
          <w:lang w:val="fr-FR"/>
        </w:rPr>
        <w:t>régulière n</w:t>
      </w:r>
      <w:r w:rsidR="0070292F" w:rsidRPr="0070292F">
        <w:rPr>
          <w:rFonts w:eastAsia="Calibri"/>
          <w:lang w:val="fr-FR"/>
        </w:rPr>
        <w:t>’</w:t>
      </w:r>
      <w:r w:rsidRPr="0070292F">
        <w:rPr>
          <w:rFonts w:eastAsia="Calibri"/>
          <w:lang w:val="fr-FR"/>
        </w:rPr>
        <w:t xml:space="preserve">a pas été </w:t>
      </w:r>
      <w:r w:rsidR="00ED57FC" w:rsidRPr="0070292F">
        <w:rPr>
          <w:rFonts w:eastAsia="Calibri"/>
          <w:lang w:val="fr-FR"/>
        </w:rPr>
        <w:t xml:space="preserve">ouverte </w:t>
      </w:r>
      <w:r w:rsidRPr="0070292F">
        <w:rPr>
          <w:rFonts w:eastAsia="Calibri"/>
          <w:lang w:val="fr-FR"/>
        </w:rPr>
        <w:t>à cette fin, s</w:t>
      </w:r>
      <w:r w:rsidR="0070292F" w:rsidRPr="0070292F">
        <w:rPr>
          <w:rFonts w:eastAsia="Calibri"/>
          <w:lang w:val="fr-FR"/>
        </w:rPr>
        <w:t>’</w:t>
      </w:r>
      <w:r w:rsidRPr="0070292F">
        <w:rPr>
          <w:rFonts w:eastAsia="Calibri"/>
          <w:lang w:val="fr-FR"/>
        </w:rPr>
        <w:t>il n</w:t>
      </w:r>
      <w:r w:rsidR="0070292F" w:rsidRPr="0070292F">
        <w:rPr>
          <w:rFonts w:eastAsia="Calibri"/>
          <w:lang w:val="fr-FR"/>
        </w:rPr>
        <w:t>’</w:t>
      </w:r>
      <w:r w:rsidRPr="0070292F">
        <w:rPr>
          <w:rFonts w:eastAsia="Calibri"/>
          <w:lang w:val="fr-FR"/>
        </w:rPr>
        <w:t xml:space="preserve">y a pas de décision </w:t>
      </w:r>
      <w:r w:rsidR="00ED57FC" w:rsidRPr="0070292F">
        <w:rPr>
          <w:rFonts w:eastAsia="Calibri"/>
          <w:lang w:val="fr-FR"/>
        </w:rPr>
        <w:t xml:space="preserve">motivée </w:t>
      </w:r>
      <w:r w:rsidRPr="0070292F">
        <w:rPr>
          <w:rFonts w:eastAsia="Calibri"/>
          <w:lang w:val="fr-FR"/>
        </w:rPr>
        <w:t>de l</w:t>
      </w:r>
      <w:r w:rsidR="0070292F" w:rsidRPr="0070292F">
        <w:rPr>
          <w:rFonts w:eastAsia="Calibri"/>
          <w:lang w:val="fr-FR"/>
        </w:rPr>
        <w:t>’</w:t>
      </w:r>
      <w:r w:rsidRPr="0070292F">
        <w:rPr>
          <w:rFonts w:eastAsia="Calibri"/>
          <w:lang w:val="fr-FR"/>
        </w:rPr>
        <w:t>autorité judiciaire ».</w:t>
      </w:r>
    </w:p>
    <w:p w:rsidR="00186E84" w:rsidRPr="0070292F" w:rsidRDefault="00186E84" w:rsidP="0070292F">
      <w:pPr>
        <w:pStyle w:val="ECHRParaQuote"/>
        <w:rPr>
          <w:rFonts w:eastAsia="Calibri"/>
          <w:lang w:val="fr-FR"/>
        </w:rPr>
      </w:pPr>
      <w:r w:rsidRPr="0070292F">
        <w:rPr>
          <w:rFonts w:eastAsia="Calibri"/>
          <w:lang w:val="fr-FR"/>
        </w:rPr>
        <w:t>La constitutionnalité d</w:t>
      </w:r>
      <w:r w:rsidR="0070292F" w:rsidRPr="0070292F">
        <w:rPr>
          <w:rFonts w:eastAsia="Calibri"/>
          <w:lang w:val="fr-FR"/>
        </w:rPr>
        <w:t>’</w:t>
      </w:r>
      <w:r w:rsidRPr="0070292F">
        <w:rPr>
          <w:rFonts w:eastAsia="Calibri"/>
          <w:lang w:val="fr-FR"/>
        </w:rPr>
        <w:t xml:space="preserve">« un système de mesures de prévention des </w:t>
      </w:r>
      <w:r w:rsidR="00ED57FC" w:rsidRPr="0070292F">
        <w:rPr>
          <w:rFonts w:eastAsia="Calibri"/>
          <w:lang w:val="fr-FR"/>
        </w:rPr>
        <w:t xml:space="preserve">actes </w:t>
      </w:r>
      <w:r w:rsidRPr="0070292F">
        <w:rPr>
          <w:rFonts w:eastAsia="Calibri"/>
          <w:lang w:val="fr-FR"/>
        </w:rPr>
        <w:t xml:space="preserve">illégaux » </w:t>
      </w:r>
      <w:r w:rsidR="00ED57FC" w:rsidRPr="0070292F">
        <w:rPr>
          <w:rFonts w:eastAsia="Calibri"/>
          <w:lang w:val="fr-FR"/>
        </w:rPr>
        <w:t xml:space="preserve">destiné à </w:t>
      </w:r>
      <w:r w:rsidRPr="0070292F">
        <w:rPr>
          <w:rFonts w:eastAsia="Calibri"/>
          <w:lang w:val="fr-FR"/>
        </w:rPr>
        <w:t xml:space="preserve">garantir « des relations ordonnées et pacifiques entre les citoyens » a été confirmée par les arrêts </w:t>
      </w:r>
      <w:r w:rsidR="00ED57FC" w:rsidRPr="0070292F">
        <w:rPr>
          <w:rFonts w:eastAsia="Calibri"/>
          <w:lang w:val="fr-FR"/>
        </w:rPr>
        <w:t xml:space="preserve">ultérieurs </w:t>
      </w:r>
      <w:r w:rsidRPr="0070292F">
        <w:rPr>
          <w:rFonts w:eastAsia="Calibri"/>
          <w:lang w:val="fr-FR"/>
        </w:rPr>
        <w:t>de la Cour (arrêts n</w:t>
      </w:r>
      <w:r w:rsidR="008C1E94" w:rsidRPr="0070292F">
        <w:rPr>
          <w:rFonts w:eastAsia="Calibri"/>
          <w:vertAlign w:val="superscript"/>
          <w:lang w:val="fr-FR"/>
        </w:rPr>
        <w:t>o</w:t>
      </w:r>
      <w:r w:rsidRPr="0070292F">
        <w:rPr>
          <w:rFonts w:eastAsia="Calibri"/>
          <w:lang w:val="fr-FR"/>
        </w:rPr>
        <w:t> 27 de 1959 ; n</w:t>
      </w:r>
      <w:r w:rsidR="008C1E94" w:rsidRPr="0070292F">
        <w:rPr>
          <w:rFonts w:eastAsia="Calibri"/>
          <w:vertAlign w:val="superscript"/>
          <w:lang w:val="fr-FR"/>
        </w:rPr>
        <w:t>o</w:t>
      </w:r>
      <w:r w:rsidRPr="0070292F">
        <w:rPr>
          <w:rFonts w:eastAsia="Calibri"/>
          <w:lang w:val="fr-FR"/>
        </w:rPr>
        <w:t xml:space="preserve"> 45 </w:t>
      </w:r>
      <w:r w:rsidR="00ED57FC" w:rsidRPr="0070292F">
        <w:rPr>
          <w:rFonts w:eastAsia="Calibri"/>
          <w:lang w:val="fr-FR"/>
        </w:rPr>
        <w:t xml:space="preserve">de </w:t>
      </w:r>
      <w:r w:rsidRPr="0070292F">
        <w:rPr>
          <w:rFonts w:eastAsia="Calibri"/>
          <w:lang w:val="fr-FR"/>
        </w:rPr>
        <w:t>1960 ; n</w:t>
      </w:r>
      <w:r w:rsidR="008C1E94" w:rsidRPr="0070292F">
        <w:rPr>
          <w:rFonts w:eastAsia="Calibri"/>
          <w:vertAlign w:val="superscript"/>
          <w:lang w:val="fr-FR"/>
        </w:rPr>
        <w:t>o</w:t>
      </w:r>
      <w:r w:rsidRPr="0070292F">
        <w:rPr>
          <w:rFonts w:eastAsia="Calibri"/>
          <w:lang w:val="fr-FR"/>
        </w:rPr>
        <w:t> 126 de 1962 ; n</w:t>
      </w:r>
      <w:r w:rsidR="00ED57FC" w:rsidRPr="0070292F">
        <w:rPr>
          <w:rFonts w:eastAsia="Calibri"/>
          <w:vertAlign w:val="superscript"/>
          <w:lang w:val="fr-FR"/>
        </w:rPr>
        <w:t>os</w:t>
      </w:r>
      <w:r w:rsidRPr="0070292F">
        <w:rPr>
          <w:rFonts w:eastAsia="Calibri"/>
          <w:lang w:val="fr-FR"/>
        </w:rPr>
        <w:t> 23 et 68 de 1964 ; n</w:t>
      </w:r>
      <w:r w:rsidR="008C1E94" w:rsidRPr="0070292F">
        <w:rPr>
          <w:rFonts w:eastAsia="Calibri"/>
          <w:vertAlign w:val="superscript"/>
          <w:lang w:val="fr-FR"/>
        </w:rPr>
        <w:t>o</w:t>
      </w:r>
      <w:r w:rsidRPr="0070292F">
        <w:rPr>
          <w:rFonts w:eastAsia="Calibri"/>
          <w:lang w:val="fr-FR"/>
        </w:rPr>
        <w:t> 32 de 1969 et n</w:t>
      </w:r>
      <w:r w:rsidR="008C1E94" w:rsidRPr="0070292F">
        <w:rPr>
          <w:rFonts w:eastAsia="Calibri"/>
          <w:vertAlign w:val="superscript"/>
          <w:lang w:val="fr-FR"/>
        </w:rPr>
        <w:t>o</w:t>
      </w:r>
      <w:r w:rsidRPr="0070292F">
        <w:rPr>
          <w:rFonts w:eastAsia="Calibri"/>
          <w:lang w:val="fr-FR"/>
        </w:rPr>
        <w:t xml:space="preserve"> 76 de 1970) </w:t>
      </w:r>
      <w:r w:rsidR="00ED57FC" w:rsidRPr="0070292F">
        <w:rPr>
          <w:rFonts w:eastAsia="Calibri"/>
          <w:lang w:val="fr-FR"/>
        </w:rPr>
        <w:t>concernant les</w:t>
      </w:r>
      <w:r w:rsidRPr="0070292F">
        <w:rPr>
          <w:rFonts w:eastAsia="Calibri"/>
          <w:lang w:val="fr-FR"/>
        </w:rPr>
        <w:t xml:space="preserve"> articles 13, 16, 17 et 25, alinéa 3, de la Constitution ; tantôt la Cour a souligné le parallélisme avec les mesures de sûreté (visées à l</w:t>
      </w:r>
      <w:r w:rsidR="0070292F" w:rsidRPr="0070292F">
        <w:rPr>
          <w:rFonts w:eastAsia="Calibri"/>
          <w:lang w:val="fr-FR"/>
        </w:rPr>
        <w:t>’</w:t>
      </w:r>
      <w:r w:rsidRPr="0070292F">
        <w:rPr>
          <w:rFonts w:eastAsia="Calibri"/>
          <w:lang w:val="fr-FR"/>
        </w:rPr>
        <w:t>article 25, alinéa 3, de la Constitution), tantôt elle l</w:t>
      </w:r>
      <w:r w:rsidR="0070292F" w:rsidRPr="0070292F">
        <w:rPr>
          <w:rFonts w:eastAsia="Calibri"/>
          <w:lang w:val="fr-FR"/>
        </w:rPr>
        <w:t>’</w:t>
      </w:r>
      <w:r w:rsidRPr="0070292F">
        <w:rPr>
          <w:rFonts w:eastAsia="Calibri"/>
          <w:lang w:val="fr-FR"/>
        </w:rPr>
        <w:t xml:space="preserve">a atténué ; tantôt elle a confirmé que ces deux </w:t>
      </w:r>
      <w:r w:rsidR="00ED57FC" w:rsidRPr="0070292F">
        <w:rPr>
          <w:rFonts w:eastAsia="Calibri"/>
          <w:lang w:val="fr-FR"/>
        </w:rPr>
        <w:t xml:space="preserve">types de </w:t>
      </w:r>
      <w:r w:rsidRPr="0070292F">
        <w:rPr>
          <w:rFonts w:eastAsia="Calibri"/>
          <w:lang w:val="fr-FR"/>
        </w:rPr>
        <w:t>mesures, qui ont pour objet la dangerosité sociale de l</w:t>
      </w:r>
      <w:r w:rsidR="0070292F" w:rsidRPr="0070292F">
        <w:rPr>
          <w:rFonts w:eastAsia="Calibri"/>
          <w:lang w:val="fr-FR"/>
        </w:rPr>
        <w:t>’</w:t>
      </w:r>
      <w:r w:rsidRPr="0070292F">
        <w:rPr>
          <w:rFonts w:eastAsia="Calibri"/>
          <w:lang w:val="fr-FR"/>
        </w:rPr>
        <w:t>individu, poursuivent la même finalité –</w:t>
      </w:r>
      <w:r w:rsidR="00ED57FC" w:rsidRPr="0070292F">
        <w:rPr>
          <w:rFonts w:eastAsia="Calibri"/>
          <w:lang w:val="fr-FR"/>
        </w:rPr>
        <w:t> </w:t>
      </w:r>
      <w:r w:rsidRPr="0070292F">
        <w:rPr>
          <w:rFonts w:eastAsia="Calibri"/>
          <w:lang w:val="fr-FR"/>
        </w:rPr>
        <w:t>la prévention des infractions</w:t>
      </w:r>
      <w:r w:rsidR="00ED57FC" w:rsidRPr="0070292F">
        <w:rPr>
          <w:rFonts w:eastAsia="Calibri"/>
          <w:lang w:val="fr-FR"/>
        </w:rPr>
        <w:t> </w:t>
      </w:r>
      <w:r w:rsidRPr="0070292F">
        <w:rPr>
          <w:rFonts w:eastAsia="Calibri"/>
          <w:lang w:val="fr-FR"/>
        </w:rPr>
        <w:t>–</w:t>
      </w:r>
      <w:r w:rsidR="00ED57FC" w:rsidRPr="0070292F">
        <w:rPr>
          <w:rFonts w:eastAsia="Calibri"/>
          <w:lang w:val="fr-FR"/>
        </w:rPr>
        <w:t>,</w:t>
      </w:r>
      <w:r w:rsidRPr="0070292F">
        <w:rPr>
          <w:rFonts w:eastAsia="Calibri"/>
          <w:lang w:val="fr-FR"/>
        </w:rPr>
        <w:t xml:space="preserve"> tantôt elle a au contraire souligné les différences entre </w:t>
      </w:r>
      <w:r w:rsidR="00ED57FC" w:rsidRPr="0070292F">
        <w:rPr>
          <w:rFonts w:eastAsia="Calibri"/>
          <w:lang w:val="fr-FR"/>
        </w:rPr>
        <w:t>ces deux types</w:t>
      </w:r>
      <w:r w:rsidRPr="0070292F">
        <w:rPr>
          <w:rFonts w:eastAsia="Calibri"/>
          <w:lang w:val="fr-FR"/>
        </w:rPr>
        <w:t>.</w:t>
      </w:r>
    </w:p>
    <w:p w:rsidR="00186E84" w:rsidRPr="0070292F" w:rsidRDefault="00186E84" w:rsidP="0070292F">
      <w:pPr>
        <w:pStyle w:val="ECHRParaQuote"/>
        <w:rPr>
          <w:rFonts w:eastAsia="Calibri"/>
          <w:lang w:val="fr-FR"/>
        </w:rPr>
      </w:pPr>
      <w:r w:rsidRPr="0070292F">
        <w:rPr>
          <w:rFonts w:eastAsia="Calibri"/>
          <w:lang w:val="fr-FR"/>
        </w:rPr>
        <w:lastRenderedPageBreak/>
        <w:t>Il convient surtout de rappeler ici non seulement l</w:t>
      </w:r>
      <w:r w:rsidR="0070292F" w:rsidRPr="0070292F">
        <w:rPr>
          <w:rFonts w:eastAsia="Calibri"/>
          <w:lang w:val="fr-FR"/>
        </w:rPr>
        <w:t>’</w:t>
      </w:r>
      <w:r w:rsidRPr="0070292F">
        <w:rPr>
          <w:rFonts w:eastAsia="Calibri"/>
          <w:lang w:val="fr-FR"/>
        </w:rPr>
        <w:t>affirmation contenue dans l</w:t>
      </w:r>
      <w:r w:rsidR="0070292F" w:rsidRPr="0070292F">
        <w:rPr>
          <w:rFonts w:eastAsia="Calibri"/>
          <w:lang w:val="fr-FR"/>
        </w:rPr>
        <w:t>’</w:t>
      </w:r>
      <w:r w:rsidRPr="0070292F">
        <w:rPr>
          <w:rFonts w:eastAsia="Calibri"/>
          <w:lang w:val="fr-FR"/>
        </w:rPr>
        <w:t>arrêt n</w:t>
      </w:r>
      <w:r w:rsidR="008C1E94" w:rsidRPr="0070292F">
        <w:rPr>
          <w:rFonts w:eastAsia="Calibri"/>
          <w:vertAlign w:val="superscript"/>
          <w:lang w:val="fr-FR"/>
        </w:rPr>
        <w:t>o</w:t>
      </w:r>
      <w:r w:rsidRPr="0070292F">
        <w:rPr>
          <w:rFonts w:eastAsia="Calibri"/>
          <w:lang w:val="fr-FR"/>
        </w:rPr>
        <w:t xml:space="preserve"> 27 de 1959, qui </w:t>
      </w:r>
      <w:r w:rsidR="00374B0A" w:rsidRPr="0070292F">
        <w:rPr>
          <w:rFonts w:eastAsia="Calibri"/>
          <w:lang w:val="fr-FR"/>
        </w:rPr>
        <w:t>décrit comme</w:t>
      </w:r>
      <w:r w:rsidRPr="0070292F">
        <w:rPr>
          <w:rFonts w:eastAsia="Calibri"/>
          <w:lang w:val="fr-FR"/>
        </w:rPr>
        <w:t xml:space="preserve"> « restreintes et qualifiées » les « catégories d</w:t>
      </w:r>
      <w:r w:rsidR="0070292F" w:rsidRPr="0070292F">
        <w:rPr>
          <w:rFonts w:eastAsia="Calibri"/>
          <w:lang w:val="fr-FR"/>
        </w:rPr>
        <w:t>’</w:t>
      </w:r>
      <w:r w:rsidRPr="0070292F">
        <w:rPr>
          <w:rFonts w:eastAsia="Calibri"/>
          <w:lang w:val="fr-FR"/>
        </w:rPr>
        <w:t>individus auxquels la surveillance spéciale peut être appliquée (article 1 de la loi) » (n</w:t>
      </w:r>
      <w:r w:rsidR="008C1E94" w:rsidRPr="0070292F">
        <w:rPr>
          <w:rFonts w:eastAsia="Calibri"/>
          <w:vertAlign w:val="superscript"/>
          <w:lang w:val="fr-FR"/>
        </w:rPr>
        <w:t>o</w:t>
      </w:r>
      <w:r w:rsidRPr="0070292F">
        <w:rPr>
          <w:rFonts w:eastAsia="Calibri"/>
          <w:lang w:val="fr-FR"/>
        </w:rPr>
        <w:t> 1423 de 1956), mais aussi et surtout l</w:t>
      </w:r>
      <w:r w:rsidR="0070292F" w:rsidRPr="0070292F">
        <w:rPr>
          <w:rFonts w:eastAsia="Calibri"/>
          <w:lang w:val="fr-FR"/>
        </w:rPr>
        <w:t>’</w:t>
      </w:r>
      <w:r w:rsidRPr="0070292F">
        <w:rPr>
          <w:rFonts w:eastAsia="Calibri"/>
          <w:lang w:val="fr-FR"/>
        </w:rPr>
        <w:t>arrêt n</w:t>
      </w:r>
      <w:r w:rsidR="008C1E94" w:rsidRPr="0070292F">
        <w:rPr>
          <w:rFonts w:eastAsia="Calibri"/>
          <w:vertAlign w:val="superscript"/>
          <w:lang w:val="fr-FR"/>
        </w:rPr>
        <w:t>o</w:t>
      </w:r>
      <w:r w:rsidRPr="0070292F">
        <w:rPr>
          <w:rFonts w:eastAsia="Calibri"/>
          <w:lang w:val="fr-FR"/>
        </w:rPr>
        <w:t> 23 de 1964 de cette Cour qui a déclaré non fondée « la question de la constitutionnalité de l</w:t>
      </w:r>
      <w:r w:rsidR="0070292F" w:rsidRPr="0070292F">
        <w:rPr>
          <w:rFonts w:eastAsia="Calibri"/>
          <w:lang w:val="fr-FR"/>
        </w:rPr>
        <w:t>’</w:t>
      </w:r>
      <w:r w:rsidRPr="0070292F">
        <w:rPr>
          <w:rFonts w:eastAsia="Calibri"/>
          <w:lang w:val="fr-FR"/>
        </w:rPr>
        <w:t>article 1 de la loi n</w:t>
      </w:r>
      <w:r w:rsidR="008C1E94" w:rsidRPr="0070292F">
        <w:rPr>
          <w:rFonts w:eastAsia="Calibri"/>
          <w:vertAlign w:val="superscript"/>
          <w:lang w:val="fr-FR"/>
        </w:rPr>
        <w:t>o</w:t>
      </w:r>
      <w:r w:rsidRPr="0070292F">
        <w:rPr>
          <w:rFonts w:eastAsia="Calibri"/>
          <w:lang w:val="fr-FR"/>
        </w:rPr>
        <w:t> 1423 du 27</w:t>
      </w:r>
      <w:r w:rsidR="00E36453" w:rsidRPr="0070292F">
        <w:rPr>
          <w:lang w:val="fr-FR"/>
        </w:rPr>
        <w:t> </w:t>
      </w:r>
      <w:r w:rsidRPr="0070292F">
        <w:rPr>
          <w:rFonts w:eastAsia="Calibri"/>
          <w:lang w:val="fr-FR"/>
        </w:rPr>
        <w:t xml:space="preserve">décembre 1956, </w:t>
      </w:r>
      <w:r w:rsidR="00AA25F1" w:rsidRPr="0070292F">
        <w:rPr>
          <w:rFonts w:eastAsia="Calibri"/>
          <w:lang w:val="fr-FR"/>
        </w:rPr>
        <w:t xml:space="preserve">eu égard </w:t>
      </w:r>
      <w:r w:rsidRPr="0070292F">
        <w:rPr>
          <w:rFonts w:eastAsia="Calibri"/>
          <w:lang w:val="fr-FR"/>
        </w:rPr>
        <w:t>aux articles 13, 25 et 27 de la Constitution ». Dans la motivation de cet arrêt, on peut lire que « pour décrire les cas (de prévention), le législateur doit normalement employer des critères différents de ceux qu</w:t>
      </w:r>
      <w:r w:rsidR="0070292F" w:rsidRPr="0070292F">
        <w:rPr>
          <w:rFonts w:eastAsia="Calibri"/>
          <w:lang w:val="fr-FR"/>
        </w:rPr>
        <w:t>’</w:t>
      </w:r>
      <w:r w:rsidRPr="0070292F">
        <w:rPr>
          <w:rFonts w:eastAsia="Calibri"/>
          <w:lang w:val="fr-FR"/>
        </w:rPr>
        <w:t>il emploie pour définir les éléments constitutifs d</w:t>
      </w:r>
      <w:r w:rsidR="0070292F" w:rsidRPr="0070292F">
        <w:rPr>
          <w:rFonts w:eastAsia="Calibri"/>
          <w:lang w:val="fr-FR"/>
        </w:rPr>
        <w:t>’</w:t>
      </w:r>
      <w:r w:rsidRPr="0070292F">
        <w:rPr>
          <w:rFonts w:eastAsia="Calibri"/>
          <w:lang w:val="fr-FR"/>
        </w:rPr>
        <w:t xml:space="preserve">une infraction ; il peut également faire référence à des éléments de présomption, qui doivent toutefois toujours correspondre à des comportements objectivement identifiables. Ce qui ne veut pas dire moins de rigueur, mais une rigueur différente dans la </w:t>
      </w:r>
      <w:r w:rsidR="00F20813" w:rsidRPr="0070292F">
        <w:rPr>
          <w:rFonts w:eastAsia="Calibri"/>
          <w:lang w:val="fr-FR"/>
        </w:rPr>
        <w:t xml:space="preserve">définition </w:t>
      </w:r>
      <w:r w:rsidRPr="0070292F">
        <w:rPr>
          <w:rFonts w:eastAsia="Calibri"/>
          <w:lang w:val="fr-FR"/>
        </w:rPr>
        <w:t>et l</w:t>
      </w:r>
      <w:r w:rsidR="0070292F" w:rsidRPr="0070292F">
        <w:rPr>
          <w:rFonts w:eastAsia="Calibri"/>
          <w:lang w:val="fr-FR"/>
        </w:rPr>
        <w:t>’</w:t>
      </w:r>
      <w:r w:rsidRPr="0070292F">
        <w:rPr>
          <w:rFonts w:eastAsia="Calibri"/>
          <w:lang w:val="fr-FR"/>
        </w:rPr>
        <w:t xml:space="preserve">adoption des mesures de prévention par rapport à la </w:t>
      </w:r>
      <w:r w:rsidR="00F20813" w:rsidRPr="0070292F">
        <w:rPr>
          <w:rFonts w:eastAsia="Calibri"/>
          <w:lang w:val="fr-FR"/>
        </w:rPr>
        <w:t xml:space="preserve">définition </w:t>
      </w:r>
      <w:r w:rsidRPr="0070292F">
        <w:rPr>
          <w:rFonts w:eastAsia="Calibri"/>
          <w:lang w:val="fr-FR"/>
        </w:rPr>
        <w:t>des infractions et à l</w:t>
      </w:r>
      <w:r w:rsidR="0070292F" w:rsidRPr="0070292F">
        <w:rPr>
          <w:rFonts w:eastAsia="Calibri"/>
          <w:lang w:val="fr-FR"/>
        </w:rPr>
        <w:t>’</w:t>
      </w:r>
      <w:r w:rsidRPr="0070292F">
        <w:rPr>
          <w:rFonts w:eastAsia="Calibri"/>
          <w:lang w:val="fr-FR"/>
        </w:rPr>
        <w:t>infliction des peines ». Concernant spécifiquement les paragraphes 2, 3 et 4 de l</w:t>
      </w:r>
      <w:r w:rsidR="0070292F" w:rsidRPr="0070292F">
        <w:rPr>
          <w:rFonts w:eastAsia="Calibri"/>
          <w:lang w:val="fr-FR"/>
        </w:rPr>
        <w:t>’</w:t>
      </w:r>
      <w:r w:rsidRPr="0070292F">
        <w:rPr>
          <w:rFonts w:eastAsia="Calibri"/>
          <w:lang w:val="fr-FR"/>
        </w:rPr>
        <w:t>article 1 de la loi n</w:t>
      </w:r>
      <w:r w:rsidR="008C1E94" w:rsidRPr="0070292F">
        <w:rPr>
          <w:rFonts w:eastAsia="Calibri"/>
          <w:vertAlign w:val="superscript"/>
          <w:lang w:val="fr-FR"/>
        </w:rPr>
        <w:t>o</w:t>
      </w:r>
      <w:r w:rsidRPr="0070292F">
        <w:rPr>
          <w:rFonts w:eastAsia="Calibri"/>
          <w:lang w:val="fr-FR"/>
        </w:rPr>
        <w:t> 1423 de 1956, la Cour a exclu que « les mesures de prévention puissent être adoptées sur la base de simples soupçons », exigeant au contraire « une appréciation objective des faits qui fasse ressortir la conduite habituelle et le niveau de vie de la personne ou des manifestations concrètes de sa propension à la délinquance, lesquelles doivent avoir été établies de manière à exclure des appréciations purement subjectives et incontrôlables par celui qui prononce ou applique les mesures de prévention ».</w:t>
      </w:r>
    </w:p>
    <w:p w:rsidR="00186E84" w:rsidRPr="0070292F" w:rsidRDefault="00186E84" w:rsidP="0070292F">
      <w:pPr>
        <w:pStyle w:val="ECHRParaQuote"/>
        <w:rPr>
          <w:rFonts w:eastAsia="Calibri"/>
          <w:lang w:val="fr-FR"/>
        </w:rPr>
      </w:pPr>
      <w:r w:rsidRPr="0070292F">
        <w:rPr>
          <w:rFonts w:eastAsia="Calibri"/>
          <w:lang w:val="fr-FR"/>
        </w:rPr>
        <w:t>4)</w:t>
      </w:r>
      <w:r w:rsidR="00DB1ACC" w:rsidRPr="0070292F">
        <w:rPr>
          <w:lang w:val="fr-FR"/>
        </w:rPr>
        <w:t>  </w:t>
      </w:r>
      <w:r w:rsidRPr="0070292F">
        <w:rPr>
          <w:rFonts w:eastAsia="Calibri"/>
          <w:lang w:val="fr-FR"/>
        </w:rPr>
        <w:t>Conformément aux précédentes décisions de cette Cour, il faut rappeler que la constitutionnalité des mesures de prévention – en ce qu</w:t>
      </w:r>
      <w:r w:rsidR="0070292F" w:rsidRPr="0070292F">
        <w:rPr>
          <w:rFonts w:eastAsia="Calibri"/>
          <w:lang w:val="fr-FR"/>
        </w:rPr>
        <w:t>’</w:t>
      </w:r>
      <w:r w:rsidRPr="0070292F">
        <w:rPr>
          <w:rFonts w:eastAsia="Calibri"/>
          <w:lang w:val="fr-FR"/>
        </w:rPr>
        <w:t>elles restreignent, à différents degrés, la liberté personnelle – est nécessairement subordonnée au respect du principe de légalité et à l</w:t>
      </w:r>
      <w:r w:rsidR="0070292F" w:rsidRPr="0070292F">
        <w:rPr>
          <w:rFonts w:eastAsia="Calibri"/>
          <w:lang w:val="fr-FR"/>
        </w:rPr>
        <w:t>’</w:t>
      </w:r>
      <w:r w:rsidRPr="0070292F">
        <w:rPr>
          <w:rFonts w:eastAsia="Calibri"/>
          <w:lang w:val="fr-FR"/>
        </w:rPr>
        <w:t>existence de la garantie juridictionnelle (arrêt n</w:t>
      </w:r>
      <w:r w:rsidR="008C1E94" w:rsidRPr="0070292F">
        <w:rPr>
          <w:rFonts w:eastAsia="Calibri"/>
          <w:vertAlign w:val="superscript"/>
          <w:lang w:val="fr-FR"/>
        </w:rPr>
        <w:t>o</w:t>
      </w:r>
      <w:r w:rsidRPr="0070292F">
        <w:rPr>
          <w:rFonts w:eastAsia="Calibri"/>
          <w:lang w:val="fr-FR"/>
        </w:rPr>
        <w:t> 11 de 1956). Il s</w:t>
      </w:r>
      <w:r w:rsidR="0070292F" w:rsidRPr="0070292F">
        <w:rPr>
          <w:rFonts w:eastAsia="Calibri"/>
          <w:lang w:val="fr-FR"/>
        </w:rPr>
        <w:t>’</w:t>
      </w:r>
      <w:r w:rsidRPr="0070292F">
        <w:rPr>
          <w:rFonts w:eastAsia="Calibri"/>
          <w:lang w:val="fr-FR"/>
        </w:rPr>
        <w:t xml:space="preserve">agit de deux conditions également essentielles et intimement liées </w:t>
      </w:r>
      <w:r w:rsidR="00AA25F1" w:rsidRPr="0070292F">
        <w:rPr>
          <w:rFonts w:eastAsia="Calibri"/>
          <w:lang w:val="fr-FR"/>
        </w:rPr>
        <w:t xml:space="preserve">dès lors </w:t>
      </w:r>
      <w:r w:rsidRPr="0070292F">
        <w:rPr>
          <w:rFonts w:eastAsia="Calibri"/>
          <w:lang w:val="fr-FR"/>
        </w:rPr>
        <w:t>que l</w:t>
      </w:r>
      <w:r w:rsidR="0070292F" w:rsidRPr="0070292F">
        <w:rPr>
          <w:rFonts w:eastAsia="Calibri"/>
          <w:lang w:val="fr-FR"/>
        </w:rPr>
        <w:t>’</w:t>
      </w:r>
      <w:r w:rsidRPr="0070292F">
        <w:rPr>
          <w:rFonts w:eastAsia="Calibri"/>
          <w:lang w:val="fr-FR"/>
        </w:rPr>
        <w:t>absence de l</w:t>
      </w:r>
      <w:r w:rsidR="0070292F" w:rsidRPr="0070292F">
        <w:rPr>
          <w:rFonts w:eastAsia="Calibri"/>
          <w:lang w:val="fr-FR"/>
        </w:rPr>
        <w:t>’</w:t>
      </w:r>
      <w:r w:rsidRPr="0070292F">
        <w:rPr>
          <w:rFonts w:eastAsia="Calibri"/>
          <w:lang w:val="fr-FR"/>
        </w:rPr>
        <w:t>une rend l</w:t>
      </w:r>
      <w:r w:rsidR="0070292F" w:rsidRPr="0070292F">
        <w:rPr>
          <w:rFonts w:eastAsia="Calibri"/>
          <w:lang w:val="fr-FR"/>
        </w:rPr>
        <w:t>’</w:t>
      </w:r>
      <w:r w:rsidRPr="0070292F">
        <w:rPr>
          <w:rFonts w:eastAsia="Calibri"/>
          <w:lang w:val="fr-FR"/>
        </w:rPr>
        <w:t>autre inefficace, en la rendant purement illusoire.</w:t>
      </w:r>
    </w:p>
    <w:p w:rsidR="00186E84" w:rsidRPr="0070292F" w:rsidRDefault="00186E84" w:rsidP="0070292F">
      <w:pPr>
        <w:pStyle w:val="ECHRParaQuote"/>
        <w:rPr>
          <w:rFonts w:eastAsia="Calibri"/>
          <w:lang w:val="fr-FR"/>
        </w:rPr>
      </w:pPr>
      <w:r w:rsidRPr="0070292F">
        <w:rPr>
          <w:rFonts w:eastAsia="Calibri"/>
          <w:lang w:val="fr-FR"/>
        </w:rPr>
        <w:t>Le principe de légalité en matière de prévention</w:t>
      </w:r>
      <w:r w:rsidR="00374B0A" w:rsidRPr="0070292F">
        <w:rPr>
          <w:rFonts w:eastAsia="Calibri"/>
          <w:lang w:val="fr-FR"/>
        </w:rPr>
        <w:t xml:space="preserve"> – </w:t>
      </w:r>
      <w:r w:rsidRPr="0070292F">
        <w:rPr>
          <w:rFonts w:eastAsia="Calibri"/>
          <w:lang w:val="fr-FR"/>
        </w:rPr>
        <w:t>à savoir la référence aux « cas prévus par la loi »</w:t>
      </w:r>
      <w:r w:rsidR="00374B0A" w:rsidRPr="0070292F">
        <w:rPr>
          <w:rFonts w:eastAsia="Calibri"/>
          <w:lang w:val="fr-FR"/>
        </w:rPr>
        <w:t> </w:t>
      </w:r>
      <w:r w:rsidR="00AA25F1" w:rsidRPr="0070292F">
        <w:rPr>
          <w:rFonts w:eastAsia="Calibri"/>
          <w:lang w:val="fr-FR"/>
        </w:rPr>
        <w:t>–</w:t>
      </w:r>
      <w:r w:rsidR="00374B0A" w:rsidRPr="0070292F">
        <w:rPr>
          <w:rFonts w:eastAsia="Calibri"/>
          <w:lang w:val="fr-FR"/>
        </w:rPr>
        <w:t xml:space="preserve">, </w:t>
      </w:r>
      <w:r w:rsidRPr="0070292F">
        <w:rPr>
          <w:rFonts w:eastAsia="Calibri"/>
          <w:lang w:val="fr-FR"/>
        </w:rPr>
        <w:t>qu</w:t>
      </w:r>
      <w:r w:rsidR="0070292F" w:rsidRPr="0070292F">
        <w:rPr>
          <w:rFonts w:eastAsia="Calibri"/>
          <w:lang w:val="fr-FR"/>
        </w:rPr>
        <w:t>’</w:t>
      </w:r>
      <w:r w:rsidRPr="0070292F">
        <w:rPr>
          <w:rFonts w:eastAsia="Calibri"/>
          <w:lang w:val="fr-FR"/>
        </w:rPr>
        <w:t>il découle de l</w:t>
      </w:r>
      <w:r w:rsidR="0070292F" w:rsidRPr="0070292F">
        <w:rPr>
          <w:rFonts w:eastAsia="Calibri"/>
          <w:lang w:val="fr-FR"/>
        </w:rPr>
        <w:t>’</w:t>
      </w:r>
      <w:r w:rsidRPr="0070292F">
        <w:rPr>
          <w:rFonts w:eastAsia="Calibri"/>
          <w:lang w:val="fr-FR"/>
        </w:rPr>
        <w:t>article 13 ou de l</w:t>
      </w:r>
      <w:r w:rsidR="0070292F" w:rsidRPr="0070292F">
        <w:rPr>
          <w:rFonts w:eastAsia="Calibri"/>
          <w:lang w:val="fr-FR"/>
        </w:rPr>
        <w:t>’</w:t>
      </w:r>
      <w:r w:rsidRPr="0070292F">
        <w:rPr>
          <w:rFonts w:eastAsia="Calibri"/>
          <w:lang w:val="fr-FR"/>
        </w:rPr>
        <w:t>article 25, alinéa 3, de la Constitution, implique que l</w:t>
      </w:r>
      <w:r w:rsidR="0070292F" w:rsidRPr="0070292F">
        <w:rPr>
          <w:rFonts w:eastAsia="Calibri"/>
          <w:lang w:val="fr-FR"/>
        </w:rPr>
        <w:t>’</w:t>
      </w:r>
      <w:r w:rsidRPr="0070292F">
        <w:rPr>
          <w:rFonts w:eastAsia="Calibri"/>
          <w:lang w:val="fr-FR"/>
        </w:rPr>
        <w:t>application de la mesure, même si elle est liée dans la majeure partie des cas à une appréciation pronostique, doit reposer sur des « cas de dangerosité » prévus – décrits – par la loi</w:t>
      </w:r>
      <w:r w:rsidR="00AA25F1" w:rsidRPr="0070292F">
        <w:rPr>
          <w:rFonts w:eastAsia="Calibri"/>
          <w:lang w:val="fr-FR"/>
        </w:rPr>
        <w:t xml:space="preserve">, </w:t>
      </w:r>
      <w:r w:rsidRPr="0070292F">
        <w:rPr>
          <w:rFonts w:eastAsia="Calibri"/>
          <w:lang w:val="fr-FR"/>
        </w:rPr>
        <w:t>des cas destinés à constituer le paramètre de l</w:t>
      </w:r>
      <w:r w:rsidR="0070292F" w:rsidRPr="0070292F">
        <w:rPr>
          <w:rFonts w:eastAsia="Calibri"/>
          <w:lang w:val="fr-FR"/>
        </w:rPr>
        <w:t>’</w:t>
      </w:r>
      <w:r w:rsidRPr="0070292F">
        <w:rPr>
          <w:rFonts w:eastAsia="Calibri"/>
          <w:lang w:val="fr-FR"/>
        </w:rPr>
        <w:t>examen judiciaire, mais aussi le fondement d</w:t>
      </w:r>
      <w:r w:rsidR="0070292F" w:rsidRPr="0070292F">
        <w:rPr>
          <w:rFonts w:eastAsia="Calibri"/>
          <w:lang w:val="fr-FR"/>
        </w:rPr>
        <w:t>’</w:t>
      </w:r>
      <w:r w:rsidRPr="0070292F">
        <w:rPr>
          <w:rFonts w:eastAsia="Calibri"/>
          <w:lang w:val="fr-FR"/>
        </w:rPr>
        <w:t>un pronostic de dangerosité, qui ne peut être légalement fondé que sur cette base.</w:t>
      </w:r>
    </w:p>
    <w:p w:rsidR="00186E84" w:rsidRPr="0070292F" w:rsidRDefault="00186E84" w:rsidP="0070292F">
      <w:pPr>
        <w:pStyle w:val="ECHRParaQuote"/>
        <w:rPr>
          <w:rFonts w:eastAsia="Calibri"/>
          <w:lang w:val="fr-FR"/>
        </w:rPr>
      </w:pPr>
      <w:r w:rsidRPr="0070292F">
        <w:rPr>
          <w:rFonts w:eastAsia="Calibri"/>
          <w:lang w:val="fr-FR"/>
        </w:rPr>
        <w:t>En effet, si juridiction en matière pénale signifie application de la loi par l</w:t>
      </w:r>
      <w:r w:rsidR="0070292F" w:rsidRPr="0070292F">
        <w:rPr>
          <w:rFonts w:eastAsia="Calibri"/>
          <w:lang w:val="fr-FR"/>
        </w:rPr>
        <w:t>’</w:t>
      </w:r>
      <w:r w:rsidRPr="0070292F">
        <w:rPr>
          <w:rFonts w:eastAsia="Calibri"/>
          <w:lang w:val="fr-FR"/>
        </w:rPr>
        <w:t>examen des conditions de fait à travers une procédure entourée des garanties nécessaires, entre autres de sérieux probatoire, on ne peut douter que, même dans la procédure de prévention, le pronostic de dangerosité (confié au juge et dans la formulation duquel sont certainement présents des éléments discrétionnaires) s</w:t>
      </w:r>
      <w:r w:rsidR="0070292F" w:rsidRPr="0070292F">
        <w:rPr>
          <w:rFonts w:eastAsia="Calibri"/>
          <w:lang w:val="fr-FR"/>
        </w:rPr>
        <w:t>’</w:t>
      </w:r>
      <w:r w:rsidRPr="0070292F">
        <w:rPr>
          <w:rFonts w:eastAsia="Calibri"/>
          <w:lang w:val="fr-FR"/>
        </w:rPr>
        <w:t>appu</w:t>
      </w:r>
      <w:r w:rsidR="00AA25F1" w:rsidRPr="0070292F">
        <w:rPr>
          <w:rFonts w:eastAsia="Calibri"/>
          <w:lang w:val="fr-FR"/>
        </w:rPr>
        <w:t>ie forcément</w:t>
      </w:r>
      <w:r w:rsidRPr="0070292F">
        <w:rPr>
          <w:rFonts w:eastAsia="Calibri"/>
          <w:lang w:val="fr-FR"/>
        </w:rPr>
        <w:t xml:space="preserve"> sur les conditions de fait « prévues par la loi » et donc susceptibles d</w:t>
      </w:r>
      <w:r w:rsidR="0070292F" w:rsidRPr="0070292F">
        <w:rPr>
          <w:rFonts w:eastAsia="Calibri"/>
          <w:lang w:val="fr-FR"/>
        </w:rPr>
        <w:t>’</w:t>
      </w:r>
      <w:r w:rsidRPr="0070292F">
        <w:rPr>
          <w:rFonts w:eastAsia="Calibri"/>
          <w:lang w:val="fr-FR"/>
        </w:rPr>
        <w:t>un examen judiciaire.</w:t>
      </w:r>
    </w:p>
    <w:p w:rsidR="00186E84" w:rsidRPr="0070292F" w:rsidRDefault="00186E84" w:rsidP="0070292F">
      <w:pPr>
        <w:pStyle w:val="ECHRParaQuote"/>
        <w:rPr>
          <w:rFonts w:eastAsia="Calibri"/>
          <w:lang w:val="fr-FR"/>
        </w:rPr>
      </w:pPr>
      <w:r w:rsidRPr="0070292F">
        <w:rPr>
          <w:rFonts w:eastAsia="Calibri"/>
          <w:lang w:val="fr-FR"/>
        </w:rPr>
        <w:t>L</w:t>
      </w:r>
      <w:r w:rsidR="0070292F" w:rsidRPr="0070292F">
        <w:rPr>
          <w:rFonts w:eastAsia="Calibri"/>
          <w:lang w:val="fr-FR"/>
        </w:rPr>
        <w:t>’</w:t>
      </w:r>
      <w:r w:rsidRPr="0070292F">
        <w:rPr>
          <w:rFonts w:eastAsia="Calibri"/>
          <w:lang w:val="fr-FR"/>
        </w:rPr>
        <w:t>intervention du juge (</w:t>
      </w:r>
      <w:r w:rsidR="00AA25F1" w:rsidRPr="0070292F">
        <w:rPr>
          <w:rFonts w:eastAsia="Calibri"/>
          <w:lang w:val="fr-FR"/>
        </w:rPr>
        <w:t xml:space="preserve">de même que </w:t>
      </w:r>
      <w:r w:rsidRPr="0070292F">
        <w:rPr>
          <w:rFonts w:eastAsia="Calibri"/>
          <w:lang w:val="fr-FR"/>
        </w:rPr>
        <w:t xml:space="preserve">la présence de la défense, dont la nécessité a été affirmée sans réserve) dans la procédure </w:t>
      </w:r>
      <w:r w:rsidR="00AA25F1" w:rsidRPr="0070292F">
        <w:rPr>
          <w:rFonts w:eastAsia="Calibri"/>
          <w:lang w:val="fr-FR"/>
        </w:rPr>
        <w:t>d</w:t>
      </w:r>
      <w:r w:rsidR="0070292F" w:rsidRPr="0070292F">
        <w:rPr>
          <w:rFonts w:eastAsia="Calibri"/>
          <w:lang w:val="fr-FR"/>
        </w:rPr>
        <w:t>’</w:t>
      </w:r>
      <w:r w:rsidRPr="0070292F">
        <w:rPr>
          <w:rFonts w:eastAsia="Calibri"/>
          <w:lang w:val="fr-FR"/>
        </w:rPr>
        <w:t>application des mesures de prévention n</w:t>
      </w:r>
      <w:r w:rsidR="0070292F" w:rsidRPr="0070292F">
        <w:rPr>
          <w:rFonts w:eastAsia="Calibri"/>
          <w:lang w:val="fr-FR"/>
        </w:rPr>
        <w:t>’</w:t>
      </w:r>
      <w:r w:rsidRPr="0070292F">
        <w:rPr>
          <w:rFonts w:eastAsia="Calibri"/>
          <w:lang w:val="fr-FR"/>
        </w:rPr>
        <w:t xml:space="preserve">aurait pas </w:t>
      </w:r>
      <w:r w:rsidR="00AA25F1" w:rsidRPr="0070292F">
        <w:rPr>
          <w:rFonts w:eastAsia="Calibri"/>
          <w:lang w:val="fr-FR"/>
        </w:rPr>
        <w:t>beaucoup de sens</w:t>
      </w:r>
      <w:r w:rsidRPr="0070292F">
        <w:rPr>
          <w:rFonts w:eastAsia="Calibri"/>
          <w:lang w:val="fr-FR"/>
        </w:rPr>
        <w:t xml:space="preserve"> (ou </w:t>
      </w:r>
      <w:r w:rsidR="00374B0A" w:rsidRPr="0070292F">
        <w:rPr>
          <w:rFonts w:eastAsia="Calibri"/>
          <w:lang w:val="fr-FR"/>
        </w:rPr>
        <w:t>bien</w:t>
      </w:r>
      <w:r w:rsidR="00AA25F1" w:rsidRPr="0070292F">
        <w:rPr>
          <w:rFonts w:eastAsia="Calibri"/>
          <w:lang w:val="fr-FR"/>
        </w:rPr>
        <w:t xml:space="preserve"> dénaturerait</w:t>
      </w:r>
      <w:r w:rsidRPr="0070292F">
        <w:rPr>
          <w:rFonts w:eastAsia="Calibri"/>
          <w:lang w:val="fr-FR"/>
        </w:rPr>
        <w:t xml:space="preserve"> dangereusement la fonction juridictionnelle dans le domaine de la liberté personnelle) si elle ne servait à garantir, dans le cadre du contradictoire entre les parties, l</w:t>
      </w:r>
      <w:r w:rsidR="0070292F" w:rsidRPr="0070292F">
        <w:rPr>
          <w:rFonts w:eastAsia="Calibri"/>
          <w:lang w:val="fr-FR"/>
        </w:rPr>
        <w:t>’</w:t>
      </w:r>
      <w:r w:rsidRPr="0070292F">
        <w:rPr>
          <w:rFonts w:eastAsia="Calibri"/>
          <w:lang w:val="fr-FR"/>
        </w:rPr>
        <w:t>examen des cas prédéfinis par la loi.</w:t>
      </w:r>
    </w:p>
    <w:p w:rsidR="00186E84" w:rsidRPr="0070292F" w:rsidRDefault="00186E84" w:rsidP="0070292F">
      <w:pPr>
        <w:pStyle w:val="ECHRParaQuote"/>
        <w:rPr>
          <w:rFonts w:eastAsia="Calibri"/>
          <w:lang w:val="fr-FR"/>
        </w:rPr>
      </w:pPr>
      <w:r w:rsidRPr="0070292F">
        <w:rPr>
          <w:rFonts w:eastAsia="Calibri"/>
          <w:lang w:val="fr-FR"/>
        </w:rPr>
        <w:t xml:space="preserve">On </w:t>
      </w:r>
      <w:r w:rsidR="00374B0A" w:rsidRPr="0070292F">
        <w:rPr>
          <w:rFonts w:eastAsia="Calibri"/>
          <w:lang w:val="fr-FR"/>
        </w:rPr>
        <w:t>rappellera</w:t>
      </w:r>
      <w:r w:rsidRPr="0070292F">
        <w:rPr>
          <w:rFonts w:eastAsia="Calibri"/>
          <w:lang w:val="fr-FR"/>
        </w:rPr>
        <w:t xml:space="preserve"> enfin que l</w:t>
      </w:r>
      <w:r w:rsidR="0070292F" w:rsidRPr="0070292F">
        <w:rPr>
          <w:rFonts w:eastAsia="Calibri"/>
          <w:lang w:val="fr-FR"/>
        </w:rPr>
        <w:t>’</w:t>
      </w:r>
      <w:r w:rsidRPr="0070292F">
        <w:rPr>
          <w:rFonts w:eastAsia="Calibri"/>
          <w:lang w:val="fr-FR"/>
        </w:rPr>
        <w:t xml:space="preserve">application des mesures de </w:t>
      </w:r>
      <w:r w:rsidR="00B97F40" w:rsidRPr="0070292F">
        <w:rPr>
          <w:rFonts w:eastAsia="Calibri"/>
          <w:lang w:val="fr-FR"/>
        </w:rPr>
        <w:t xml:space="preserve">prévention </w:t>
      </w:r>
      <w:r w:rsidRPr="0070292F">
        <w:rPr>
          <w:rFonts w:eastAsia="Calibri"/>
          <w:lang w:val="fr-FR"/>
        </w:rPr>
        <w:t>personnelles, tendant elles aussi à prévenir la commission d</w:t>
      </w:r>
      <w:r w:rsidR="0070292F" w:rsidRPr="0070292F">
        <w:rPr>
          <w:rFonts w:eastAsia="Calibri"/>
          <w:lang w:val="fr-FR"/>
        </w:rPr>
        <w:t>’</w:t>
      </w:r>
      <w:r w:rsidRPr="0070292F">
        <w:rPr>
          <w:rFonts w:eastAsia="Calibri"/>
          <w:lang w:val="fr-FR"/>
        </w:rPr>
        <w:t>(autres) infractions (et qui ne supposent pas toujours la commission d</w:t>
      </w:r>
      <w:r w:rsidR="0070292F" w:rsidRPr="0070292F">
        <w:rPr>
          <w:rFonts w:eastAsia="Calibri"/>
          <w:lang w:val="fr-FR"/>
        </w:rPr>
        <w:t>’</w:t>
      </w:r>
      <w:r w:rsidRPr="0070292F">
        <w:rPr>
          <w:rFonts w:eastAsia="Calibri"/>
          <w:lang w:val="fr-FR"/>
        </w:rPr>
        <w:t xml:space="preserve">une – précédente – infraction ; article 49, alinéas 2 et 4, et article 115, alinéas 2 et 4, du code pénal), </w:t>
      </w:r>
      <w:r w:rsidR="00AA25F1" w:rsidRPr="0070292F">
        <w:rPr>
          <w:rFonts w:eastAsia="Calibri"/>
          <w:lang w:val="fr-FR"/>
        </w:rPr>
        <w:t>au</w:t>
      </w:r>
      <w:r w:rsidRPr="0070292F">
        <w:rPr>
          <w:rFonts w:eastAsia="Calibri"/>
          <w:lang w:val="fr-FR"/>
        </w:rPr>
        <w:t xml:space="preserve"> point qu</w:t>
      </w:r>
      <w:r w:rsidR="0070292F" w:rsidRPr="0070292F">
        <w:rPr>
          <w:rFonts w:eastAsia="Calibri"/>
          <w:lang w:val="fr-FR"/>
        </w:rPr>
        <w:t>’</w:t>
      </w:r>
      <w:r w:rsidRPr="0070292F">
        <w:rPr>
          <w:rFonts w:eastAsia="Calibri"/>
          <w:lang w:val="fr-FR"/>
        </w:rPr>
        <w:t>elles peuvent être considérées comme l</w:t>
      </w:r>
      <w:r w:rsidR="0070292F" w:rsidRPr="0070292F">
        <w:rPr>
          <w:rFonts w:eastAsia="Calibri"/>
          <w:lang w:val="fr-FR"/>
        </w:rPr>
        <w:t>’</w:t>
      </w:r>
      <w:r w:rsidRPr="0070292F">
        <w:rPr>
          <w:rFonts w:eastAsia="Calibri"/>
          <w:lang w:val="fr-FR"/>
        </w:rPr>
        <w:t>une des deux espèces d</w:t>
      </w:r>
      <w:r w:rsidR="0070292F" w:rsidRPr="0070292F">
        <w:rPr>
          <w:rFonts w:eastAsia="Calibri"/>
          <w:lang w:val="fr-FR"/>
        </w:rPr>
        <w:t>’</w:t>
      </w:r>
      <w:r w:rsidRPr="0070292F">
        <w:rPr>
          <w:rFonts w:eastAsia="Calibri"/>
          <w:lang w:val="fr-FR"/>
        </w:rPr>
        <w:t>un même genre, est liée à l</w:t>
      </w:r>
      <w:r w:rsidR="0070292F" w:rsidRPr="0070292F">
        <w:rPr>
          <w:rFonts w:eastAsia="Calibri"/>
          <w:lang w:val="fr-FR"/>
        </w:rPr>
        <w:t>’</w:t>
      </w:r>
      <w:r w:rsidRPr="0070292F">
        <w:rPr>
          <w:rFonts w:eastAsia="Calibri"/>
          <w:lang w:val="fr-FR"/>
        </w:rPr>
        <w:t xml:space="preserve">examen des cas définis </w:t>
      </w:r>
      <w:r w:rsidRPr="0070292F">
        <w:rPr>
          <w:rFonts w:eastAsia="Calibri"/>
          <w:lang w:val="fr-FR"/>
        </w:rPr>
        <w:lastRenderedPageBreak/>
        <w:t>par la loi</w:t>
      </w:r>
      <w:r w:rsidR="00AA25F1" w:rsidRPr="0070292F">
        <w:rPr>
          <w:rFonts w:eastAsia="Calibri"/>
          <w:lang w:val="fr-FR"/>
        </w:rPr>
        <w:t>, examen</w:t>
      </w:r>
      <w:r w:rsidRPr="0070292F">
        <w:rPr>
          <w:rFonts w:eastAsia="Calibri"/>
          <w:lang w:val="fr-FR"/>
        </w:rPr>
        <w:t xml:space="preserve"> dont dépend l</w:t>
      </w:r>
      <w:r w:rsidR="0070292F" w:rsidRPr="0070292F">
        <w:rPr>
          <w:rFonts w:eastAsia="Calibri"/>
          <w:lang w:val="fr-FR"/>
        </w:rPr>
        <w:t>’</w:t>
      </w:r>
      <w:r w:rsidRPr="0070292F">
        <w:rPr>
          <w:rFonts w:eastAsia="Calibri"/>
          <w:lang w:val="fr-FR"/>
        </w:rPr>
        <w:t xml:space="preserve">appréciation de la dangerosité, que </w:t>
      </w:r>
      <w:r w:rsidR="00AA25F1" w:rsidRPr="0070292F">
        <w:rPr>
          <w:rFonts w:eastAsia="Calibri"/>
          <w:lang w:val="fr-FR"/>
        </w:rPr>
        <w:t xml:space="preserve">cette </w:t>
      </w:r>
      <w:r w:rsidRPr="0070292F">
        <w:rPr>
          <w:rFonts w:eastAsia="Calibri"/>
          <w:lang w:val="fr-FR"/>
        </w:rPr>
        <w:t>dangerosité soit présumée ou doive être établie dans le cas concret.</w:t>
      </w:r>
    </w:p>
    <w:p w:rsidR="00186E84" w:rsidRPr="0070292F" w:rsidRDefault="00186E84" w:rsidP="0070292F">
      <w:pPr>
        <w:pStyle w:val="ECHRParaQuote"/>
        <w:rPr>
          <w:rFonts w:eastAsia="Calibri"/>
          <w:lang w:val="fr-FR"/>
        </w:rPr>
      </w:pPr>
      <w:r w:rsidRPr="0070292F">
        <w:rPr>
          <w:rFonts w:eastAsia="Calibri"/>
          <w:lang w:val="fr-FR"/>
        </w:rPr>
        <w:t>5)</w:t>
      </w:r>
      <w:r w:rsidR="00DB1ACC" w:rsidRPr="0070292F">
        <w:rPr>
          <w:lang w:val="fr-FR"/>
        </w:rPr>
        <w:t>  </w:t>
      </w:r>
      <w:r w:rsidR="00315C92" w:rsidRPr="0070292F">
        <w:rPr>
          <w:lang w:val="fr-FR"/>
        </w:rPr>
        <w:t xml:space="preserve">Ainsi, </w:t>
      </w:r>
      <w:r w:rsidR="00315C92" w:rsidRPr="0070292F">
        <w:rPr>
          <w:rFonts w:eastAsia="Calibri"/>
          <w:lang w:val="fr-FR"/>
        </w:rPr>
        <w:t>p</w:t>
      </w:r>
      <w:r w:rsidRPr="0070292F">
        <w:rPr>
          <w:rFonts w:eastAsia="Calibri"/>
          <w:lang w:val="fr-FR"/>
        </w:rPr>
        <w:t>our les mesures de prévention également</w:t>
      </w:r>
      <w:r w:rsidR="00315C92" w:rsidRPr="0070292F">
        <w:rPr>
          <w:rFonts w:eastAsia="Calibri"/>
          <w:lang w:val="fr-FR"/>
        </w:rPr>
        <w:t>,</w:t>
      </w:r>
      <w:r w:rsidRPr="0070292F">
        <w:rPr>
          <w:rFonts w:eastAsia="Calibri"/>
          <w:lang w:val="fr-FR"/>
        </w:rPr>
        <w:t xml:space="preserve"> l</w:t>
      </w:r>
      <w:r w:rsidR="0070292F" w:rsidRPr="0070292F">
        <w:rPr>
          <w:rFonts w:eastAsia="Calibri"/>
          <w:lang w:val="fr-FR"/>
        </w:rPr>
        <w:t>’</w:t>
      </w:r>
      <w:r w:rsidRPr="0070292F">
        <w:rPr>
          <w:rFonts w:eastAsia="Calibri"/>
          <w:lang w:val="fr-FR"/>
        </w:rPr>
        <w:t xml:space="preserve">accent est </w:t>
      </w:r>
      <w:r w:rsidR="00315C92" w:rsidRPr="0070292F">
        <w:rPr>
          <w:rFonts w:eastAsia="Calibri"/>
          <w:lang w:val="fr-FR"/>
        </w:rPr>
        <w:t xml:space="preserve">mis </w:t>
      </w:r>
      <w:r w:rsidRPr="0070292F">
        <w:rPr>
          <w:rFonts w:eastAsia="Calibri"/>
          <w:lang w:val="fr-FR"/>
        </w:rPr>
        <w:t>sur le degré suffisant ou insuffisant de</w:t>
      </w:r>
      <w:r w:rsidR="003D59C2" w:rsidRPr="0070292F">
        <w:rPr>
          <w:rFonts w:eastAsia="Calibri"/>
          <w:lang w:val="fr-FR"/>
        </w:rPr>
        <w:t xml:space="preserve"> </w:t>
      </w:r>
      <w:r w:rsidR="00315C92" w:rsidRPr="0070292F">
        <w:rPr>
          <w:rFonts w:eastAsia="Calibri"/>
          <w:lang w:val="fr-FR"/>
        </w:rPr>
        <w:t>précision</w:t>
      </w:r>
      <w:r w:rsidRPr="0070292F">
        <w:rPr>
          <w:rFonts w:eastAsia="Calibri"/>
          <w:lang w:val="fr-FR"/>
        </w:rPr>
        <w:t xml:space="preserve"> de la description législative des conditions de fait, dont l</w:t>
      </w:r>
      <w:r w:rsidR="0070292F" w:rsidRPr="0070292F">
        <w:rPr>
          <w:rFonts w:eastAsia="Calibri"/>
          <w:lang w:val="fr-FR"/>
        </w:rPr>
        <w:t>’</w:t>
      </w:r>
      <w:r w:rsidRPr="0070292F">
        <w:rPr>
          <w:rFonts w:eastAsia="Calibri"/>
          <w:lang w:val="fr-FR"/>
        </w:rPr>
        <w:t xml:space="preserve">examen permet </w:t>
      </w:r>
      <w:r w:rsidR="00315C92" w:rsidRPr="0070292F">
        <w:rPr>
          <w:rFonts w:eastAsia="Calibri"/>
          <w:lang w:val="fr-FR"/>
        </w:rPr>
        <w:t>d</w:t>
      </w:r>
      <w:r w:rsidR="0070292F" w:rsidRPr="0070292F">
        <w:rPr>
          <w:rFonts w:eastAsia="Calibri"/>
          <w:lang w:val="fr-FR"/>
        </w:rPr>
        <w:t>’</w:t>
      </w:r>
      <w:r w:rsidR="00315C92" w:rsidRPr="0070292F">
        <w:rPr>
          <w:rFonts w:eastAsia="Calibri"/>
          <w:lang w:val="fr-FR"/>
        </w:rPr>
        <w:t>apprécier</w:t>
      </w:r>
      <w:r w:rsidRPr="0070292F">
        <w:rPr>
          <w:rFonts w:eastAsia="Calibri"/>
          <w:lang w:val="fr-FR"/>
        </w:rPr>
        <w:t xml:space="preserve">, </w:t>
      </w:r>
      <w:r w:rsidR="00315C92" w:rsidRPr="0070292F">
        <w:rPr>
          <w:rFonts w:eastAsia="Calibri"/>
          <w:lang w:val="fr-FR"/>
        </w:rPr>
        <w:t xml:space="preserve">de façon </w:t>
      </w:r>
      <w:r w:rsidRPr="0070292F">
        <w:rPr>
          <w:rFonts w:eastAsia="Calibri"/>
          <w:lang w:val="fr-FR"/>
        </w:rPr>
        <w:t>pronostique, la dangerosité sociale de l</w:t>
      </w:r>
      <w:r w:rsidR="0070292F" w:rsidRPr="0070292F">
        <w:rPr>
          <w:rFonts w:eastAsia="Calibri"/>
          <w:lang w:val="fr-FR"/>
        </w:rPr>
        <w:t>’</w:t>
      </w:r>
      <w:r w:rsidRPr="0070292F">
        <w:rPr>
          <w:rFonts w:eastAsia="Calibri"/>
          <w:lang w:val="fr-FR"/>
        </w:rPr>
        <w:t>individu.</w:t>
      </w:r>
    </w:p>
    <w:p w:rsidR="00186E84" w:rsidRPr="0070292F" w:rsidRDefault="00186E84" w:rsidP="0070292F">
      <w:pPr>
        <w:pStyle w:val="ECHRParaQuote"/>
        <w:rPr>
          <w:rFonts w:eastAsia="Calibri"/>
          <w:lang w:val="fr-FR"/>
        </w:rPr>
      </w:pPr>
      <w:r w:rsidRPr="0070292F">
        <w:rPr>
          <w:rFonts w:eastAsia="Calibri"/>
          <w:lang w:val="fr-FR"/>
        </w:rPr>
        <w:t xml:space="preserve">Les questions posées </w:t>
      </w:r>
      <w:r w:rsidR="00315C92" w:rsidRPr="0070292F">
        <w:rPr>
          <w:rFonts w:eastAsia="Calibri"/>
          <w:lang w:val="fr-FR"/>
        </w:rPr>
        <w:t>appellent</w:t>
      </w:r>
      <w:r w:rsidRPr="0070292F">
        <w:rPr>
          <w:rFonts w:eastAsia="Calibri"/>
          <w:lang w:val="fr-FR"/>
        </w:rPr>
        <w:t xml:space="preserve"> cette Cour </w:t>
      </w:r>
      <w:r w:rsidR="00315C92" w:rsidRPr="0070292F">
        <w:rPr>
          <w:rFonts w:eastAsia="Calibri"/>
          <w:lang w:val="fr-FR"/>
        </w:rPr>
        <w:t xml:space="preserve">à </w:t>
      </w:r>
      <w:r w:rsidRPr="0070292F">
        <w:rPr>
          <w:rFonts w:eastAsia="Calibri"/>
          <w:lang w:val="fr-FR"/>
        </w:rPr>
        <w:t>vérifie</w:t>
      </w:r>
      <w:r w:rsidR="00315C92" w:rsidRPr="0070292F">
        <w:rPr>
          <w:rFonts w:eastAsia="Calibri"/>
          <w:lang w:val="fr-FR"/>
        </w:rPr>
        <w:t>r</w:t>
      </w:r>
      <w:r w:rsidRPr="0070292F">
        <w:rPr>
          <w:rFonts w:eastAsia="Calibri"/>
          <w:lang w:val="fr-FR"/>
        </w:rPr>
        <w:t xml:space="preserve"> que les « indices de dangerosité sociale »</w:t>
      </w:r>
      <w:r w:rsidR="00315C92" w:rsidRPr="0070292F">
        <w:rPr>
          <w:rFonts w:eastAsia="Calibri"/>
          <w:lang w:val="fr-FR"/>
        </w:rPr>
        <w:t xml:space="preserve"> – </w:t>
      </w:r>
      <w:r w:rsidRPr="0070292F">
        <w:rPr>
          <w:rFonts w:eastAsia="Calibri"/>
          <w:lang w:val="fr-FR"/>
        </w:rPr>
        <w:t xml:space="preserve">pour </w:t>
      </w:r>
      <w:r w:rsidR="00315C92" w:rsidRPr="0070292F">
        <w:rPr>
          <w:rFonts w:eastAsia="Calibri"/>
          <w:lang w:val="fr-FR"/>
        </w:rPr>
        <w:t xml:space="preserve">reprendre </w:t>
      </w:r>
      <w:r w:rsidRPr="0070292F">
        <w:rPr>
          <w:rFonts w:eastAsia="Calibri"/>
          <w:lang w:val="fr-FR"/>
        </w:rPr>
        <w:t>la terminologie coura</w:t>
      </w:r>
      <w:r w:rsidR="00315C92" w:rsidRPr="0070292F">
        <w:rPr>
          <w:rFonts w:eastAsia="Calibri"/>
          <w:lang w:val="fr-FR"/>
        </w:rPr>
        <w:t>mment employée</w:t>
      </w:r>
      <w:r w:rsidRPr="0070292F">
        <w:rPr>
          <w:rFonts w:eastAsia="Calibri"/>
          <w:lang w:val="fr-FR"/>
        </w:rPr>
        <w:t xml:space="preserve"> dans la doctrine</w:t>
      </w:r>
      <w:r w:rsidR="00315C92" w:rsidRPr="0070292F">
        <w:rPr>
          <w:rFonts w:eastAsia="Calibri"/>
          <w:lang w:val="fr-FR"/>
        </w:rPr>
        <w:t> –</w:t>
      </w:r>
      <w:r w:rsidRPr="0070292F">
        <w:rPr>
          <w:rFonts w:eastAsia="Calibri"/>
          <w:lang w:val="fr-FR"/>
        </w:rPr>
        <w:t xml:space="preserve"> </w:t>
      </w:r>
      <w:r w:rsidR="00315C92" w:rsidRPr="0070292F">
        <w:rPr>
          <w:rFonts w:eastAsia="Calibri"/>
          <w:lang w:val="fr-FR"/>
        </w:rPr>
        <w:t xml:space="preserve">qui sont </w:t>
      </w:r>
      <w:r w:rsidRPr="0070292F">
        <w:rPr>
          <w:rFonts w:eastAsia="Calibri"/>
          <w:lang w:val="fr-FR"/>
        </w:rPr>
        <w:t>décrits dans les dispositions législatives contestées</w:t>
      </w:r>
      <w:r w:rsidR="00315C92" w:rsidRPr="0070292F">
        <w:rPr>
          <w:rFonts w:eastAsia="Calibri"/>
          <w:lang w:val="fr-FR"/>
        </w:rPr>
        <w:t xml:space="preserve"> sont </w:t>
      </w:r>
      <w:r w:rsidRPr="0070292F">
        <w:rPr>
          <w:rFonts w:eastAsia="Calibri"/>
          <w:lang w:val="fr-FR"/>
        </w:rPr>
        <w:t>suffisants</w:t>
      </w:r>
      <w:r w:rsidR="00315C92" w:rsidRPr="0070292F">
        <w:rPr>
          <w:rFonts w:eastAsia="Calibri"/>
          <w:lang w:val="fr-FR"/>
        </w:rPr>
        <w:t>,</w:t>
      </w:r>
      <w:r w:rsidRPr="0070292F">
        <w:rPr>
          <w:rFonts w:eastAsia="Calibri"/>
          <w:lang w:val="fr-FR"/>
        </w:rPr>
        <w:t xml:space="preserve"> au sens de ce qui vient d</w:t>
      </w:r>
      <w:r w:rsidR="0070292F" w:rsidRPr="0070292F">
        <w:rPr>
          <w:rFonts w:eastAsia="Calibri"/>
          <w:lang w:val="fr-FR"/>
        </w:rPr>
        <w:t>’</w:t>
      </w:r>
      <w:r w:rsidRPr="0070292F">
        <w:rPr>
          <w:rFonts w:eastAsia="Calibri"/>
          <w:lang w:val="fr-FR"/>
        </w:rPr>
        <w:t>être exposé.</w:t>
      </w:r>
    </w:p>
    <w:p w:rsidR="00186E84" w:rsidRPr="0070292F" w:rsidRDefault="00186E84" w:rsidP="0070292F">
      <w:pPr>
        <w:pStyle w:val="ECHRParaQuote"/>
        <w:rPr>
          <w:rFonts w:eastAsia="Calibri"/>
          <w:lang w:val="fr-FR"/>
        </w:rPr>
      </w:pPr>
      <w:r w:rsidRPr="0070292F">
        <w:rPr>
          <w:rFonts w:eastAsia="Calibri"/>
          <w:lang w:val="fr-FR"/>
        </w:rPr>
        <w:t xml:space="preserve">À cet égard, il convient de mentionner que, du point de vue de la </w:t>
      </w:r>
      <w:r w:rsidR="003D59C2" w:rsidRPr="0070292F">
        <w:rPr>
          <w:rFonts w:eastAsia="Calibri"/>
          <w:lang w:val="fr-FR"/>
        </w:rPr>
        <w:t>précision</w:t>
      </w:r>
      <w:r w:rsidRPr="0070292F">
        <w:rPr>
          <w:rFonts w:eastAsia="Calibri"/>
          <w:lang w:val="fr-FR"/>
        </w:rPr>
        <w:t xml:space="preserve">, le fait que la description normative ait </w:t>
      </w:r>
      <w:r w:rsidR="00315C92" w:rsidRPr="0070292F">
        <w:rPr>
          <w:rFonts w:eastAsia="Calibri"/>
          <w:lang w:val="fr-FR"/>
        </w:rPr>
        <w:t xml:space="preserve">pour </w:t>
      </w:r>
      <w:r w:rsidRPr="0070292F">
        <w:rPr>
          <w:rFonts w:eastAsia="Calibri"/>
          <w:lang w:val="fr-FR"/>
        </w:rPr>
        <w:t>objet une seule conduite ou une pluralité de conduites n</w:t>
      </w:r>
      <w:r w:rsidR="0070292F" w:rsidRPr="0070292F">
        <w:rPr>
          <w:rFonts w:eastAsia="Calibri"/>
          <w:lang w:val="fr-FR"/>
        </w:rPr>
        <w:t>’</w:t>
      </w:r>
      <w:r w:rsidRPr="0070292F">
        <w:rPr>
          <w:rFonts w:eastAsia="Calibri"/>
          <w:lang w:val="fr-FR"/>
        </w:rPr>
        <w:t xml:space="preserve">est pas déterminant, </w:t>
      </w:r>
      <w:r w:rsidR="00315C92" w:rsidRPr="0070292F">
        <w:rPr>
          <w:rFonts w:eastAsia="Calibri"/>
          <w:lang w:val="fr-FR"/>
        </w:rPr>
        <w:t>car</w:t>
      </w:r>
      <w:r w:rsidRPr="0070292F">
        <w:rPr>
          <w:rFonts w:eastAsia="Calibri"/>
          <w:lang w:val="fr-FR"/>
        </w:rPr>
        <w:t xml:space="preserve"> seul </w:t>
      </w:r>
      <w:r w:rsidR="00315C92" w:rsidRPr="0070292F">
        <w:rPr>
          <w:rFonts w:eastAsia="Calibri"/>
          <w:lang w:val="fr-FR"/>
        </w:rPr>
        <w:t xml:space="preserve">peut être apprécié </w:t>
      </w:r>
      <w:r w:rsidRPr="0070292F">
        <w:rPr>
          <w:rFonts w:eastAsia="Calibri"/>
          <w:lang w:val="fr-FR"/>
        </w:rPr>
        <w:t>le comportement ou la conduite d</w:t>
      </w:r>
      <w:r w:rsidR="0070292F" w:rsidRPr="0070292F">
        <w:rPr>
          <w:rFonts w:eastAsia="Calibri"/>
          <w:lang w:val="fr-FR"/>
        </w:rPr>
        <w:t>’</w:t>
      </w:r>
      <w:r w:rsidRPr="0070292F">
        <w:rPr>
          <w:rFonts w:eastAsia="Calibri"/>
          <w:lang w:val="fr-FR"/>
        </w:rPr>
        <w:t xml:space="preserve">un individu </w:t>
      </w:r>
      <w:r w:rsidR="00315C92" w:rsidRPr="0070292F">
        <w:rPr>
          <w:rFonts w:eastAsia="Calibri"/>
          <w:lang w:val="fr-FR"/>
        </w:rPr>
        <w:t>vis-à-vis</w:t>
      </w:r>
      <w:r w:rsidRPr="0070292F">
        <w:rPr>
          <w:rFonts w:eastAsia="Calibri"/>
          <w:lang w:val="fr-FR"/>
        </w:rPr>
        <w:t xml:space="preserve"> du monde extérieur, tel qu</w:t>
      </w:r>
      <w:r w:rsidR="0070292F" w:rsidRPr="0070292F">
        <w:rPr>
          <w:rFonts w:eastAsia="Calibri"/>
          <w:lang w:val="fr-FR"/>
        </w:rPr>
        <w:t>’</w:t>
      </w:r>
      <w:r w:rsidRPr="0070292F">
        <w:rPr>
          <w:rFonts w:eastAsia="Calibri"/>
          <w:lang w:val="fr-FR"/>
        </w:rPr>
        <w:t>il s</w:t>
      </w:r>
      <w:r w:rsidR="0070292F" w:rsidRPr="0070292F">
        <w:rPr>
          <w:rFonts w:eastAsia="Calibri"/>
          <w:lang w:val="fr-FR"/>
        </w:rPr>
        <w:t>’</w:t>
      </w:r>
      <w:r w:rsidRPr="0070292F">
        <w:rPr>
          <w:rFonts w:eastAsia="Calibri"/>
          <w:lang w:val="fr-FR"/>
        </w:rPr>
        <w:t>exprime à travers ses actions et ses omissions.</w:t>
      </w:r>
    </w:p>
    <w:p w:rsidR="00186E84" w:rsidRPr="0070292F" w:rsidRDefault="00186E84" w:rsidP="0070292F">
      <w:pPr>
        <w:pStyle w:val="ECHRParaQuote"/>
        <w:rPr>
          <w:rFonts w:eastAsia="Calibri"/>
          <w:lang w:val="fr-FR"/>
        </w:rPr>
      </w:pPr>
      <w:r w:rsidRPr="0070292F">
        <w:rPr>
          <w:rFonts w:eastAsia="Calibri"/>
          <w:lang w:val="fr-FR"/>
        </w:rPr>
        <w:t>De même, pour les mesures de prévention il est également décisif que la description législative</w:t>
      </w:r>
      <w:r w:rsidR="00315C92" w:rsidRPr="0070292F">
        <w:rPr>
          <w:rFonts w:eastAsia="Calibri"/>
          <w:lang w:val="fr-FR"/>
        </w:rPr>
        <w:t xml:space="preserve"> – </w:t>
      </w:r>
      <w:r w:rsidRPr="0070292F">
        <w:rPr>
          <w:rFonts w:eastAsia="Calibri"/>
          <w:lang w:val="fr-FR"/>
        </w:rPr>
        <w:t>les cas définis par la loi</w:t>
      </w:r>
      <w:r w:rsidR="00315C92" w:rsidRPr="0070292F">
        <w:rPr>
          <w:rFonts w:eastAsia="Calibri"/>
          <w:lang w:val="fr-FR"/>
        </w:rPr>
        <w:t> –</w:t>
      </w:r>
      <w:r w:rsidRPr="0070292F">
        <w:rPr>
          <w:rFonts w:eastAsia="Calibri"/>
          <w:lang w:val="fr-FR"/>
        </w:rPr>
        <w:t xml:space="preserve"> permette d</w:t>
      </w:r>
      <w:r w:rsidR="0070292F" w:rsidRPr="0070292F">
        <w:rPr>
          <w:rFonts w:eastAsia="Calibri"/>
          <w:lang w:val="fr-FR"/>
        </w:rPr>
        <w:t>’</w:t>
      </w:r>
      <w:r w:rsidRPr="0070292F">
        <w:rPr>
          <w:rFonts w:eastAsia="Calibri"/>
          <w:lang w:val="fr-FR"/>
        </w:rPr>
        <w:t xml:space="preserve">identifier la ou les conduites </w:t>
      </w:r>
      <w:r w:rsidR="00315C92" w:rsidRPr="0070292F">
        <w:rPr>
          <w:rFonts w:eastAsia="Calibri"/>
          <w:lang w:val="fr-FR"/>
        </w:rPr>
        <w:t xml:space="preserve">qui, si elles sont </w:t>
      </w:r>
      <w:r w:rsidRPr="0070292F">
        <w:rPr>
          <w:rFonts w:eastAsia="Calibri"/>
          <w:lang w:val="fr-FR"/>
        </w:rPr>
        <w:t>constat</w:t>
      </w:r>
      <w:r w:rsidR="00315C92" w:rsidRPr="0070292F">
        <w:rPr>
          <w:rFonts w:eastAsia="Calibri"/>
          <w:lang w:val="fr-FR"/>
        </w:rPr>
        <w:t>ées</w:t>
      </w:r>
      <w:r w:rsidRPr="0070292F">
        <w:rPr>
          <w:rFonts w:eastAsia="Calibri"/>
          <w:lang w:val="fr-FR"/>
        </w:rPr>
        <w:t xml:space="preserve"> dans le cas concret</w:t>
      </w:r>
      <w:r w:rsidR="00315C92" w:rsidRPr="0070292F">
        <w:rPr>
          <w:rFonts w:eastAsia="Calibri"/>
          <w:lang w:val="fr-FR"/>
        </w:rPr>
        <w:t>,</w:t>
      </w:r>
      <w:r w:rsidRPr="0070292F">
        <w:rPr>
          <w:rFonts w:eastAsia="Calibri"/>
          <w:lang w:val="fr-FR"/>
        </w:rPr>
        <w:t xml:space="preserve"> peu</w:t>
      </w:r>
      <w:r w:rsidR="00315C92" w:rsidRPr="0070292F">
        <w:rPr>
          <w:rFonts w:eastAsia="Calibri"/>
          <w:lang w:val="fr-FR"/>
        </w:rPr>
        <w:t>ven</w:t>
      </w:r>
      <w:r w:rsidRPr="0070292F">
        <w:rPr>
          <w:rFonts w:eastAsia="Calibri"/>
          <w:lang w:val="fr-FR"/>
        </w:rPr>
        <w:t>t fonder une appréciation pronostique, donc orientée vers l</w:t>
      </w:r>
      <w:r w:rsidR="0070292F" w:rsidRPr="0070292F">
        <w:rPr>
          <w:rFonts w:eastAsia="Calibri"/>
          <w:lang w:val="fr-FR"/>
        </w:rPr>
        <w:t>’</w:t>
      </w:r>
      <w:r w:rsidRPr="0070292F">
        <w:rPr>
          <w:rFonts w:eastAsia="Calibri"/>
          <w:lang w:val="fr-FR"/>
        </w:rPr>
        <w:t>avenir.</w:t>
      </w:r>
    </w:p>
    <w:p w:rsidR="00186E84" w:rsidRPr="0070292F" w:rsidRDefault="00186E84" w:rsidP="0070292F">
      <w:pPr>
        <w:pStyle w:val="ECHRParaQuote"/>
        <w:rPr>
          <w:rFonts w:eastAsia="Calibri"/>
          <w:lang w:val="fr-FR"/>
        </w:rPr>
      </w:pPr>
      <w:r w:rsidRPr="0070292F">
        <w:rPr>
          <w:rFonts w:eastAsia="Calibri"/>
          <w:lang w:val="fr-FR"/>
        </w:rPr>
        <w:t>Il faut encore observer que les conduites requises pour l</w:t>
      </w:r>
      <w:r w:rsidR="0070292F" w:rsidRPr="0070292F">
        <w:rPr>
          <w:rFonts w:eastAsia="Calibri"/>
          <w:lang w:val="fr-FR"/>
        </w:rPr>
        <w:t>’</w:t>
      </w:r>
      <w:r w:rsidRPr="0070292F">
        <w:rPr>
          <w:rFonts w:eastAsia="Calibri"/>
          <w:lang w:val="fr-FR"/>
        </w:rPr>
        <w:t xml:space="preserve">application de mesures de prévention, </w:t>
      </w:r>
      <w:r w:rsidR="00ED1CCB" w:rsidRPr="0070292F">
        <w:rPr>
          <w:rFonts w:eastAsia="Calibri"/>
          <w:lang w:val="fr-FR"/>
        </w:rPr>
        <w:t>puisqu</w:t>
      </w:r>
      <w:r w:rsidR="0070292F" w:rsidRPr="0070292F">
        <w:rPr>
          <w:rFonts w:eastAsia="Calibri"/>
          <w:lang w:val="fr-FR"/>
        </w:rPr>
        <w:t>’</w:t>
      </w:r>
      <w:r w:rsidRPr="0070292F">
        <w:rPr>
          <w:rFonts w:eastAsia="Calibri"/>
          <w:lang w:val="fr-FR"/>
        </w:rPr>
        <w:t>il s</w:t>
      </w:r>
      <w:r w:rsidR="0070292F" w:rsidRPr="0070292F">
        <w:rPr>
          <w:rFonts w:eastAsia="Calibri"/>
          <w:lang w:val="fr-FR"/>
        </w:rPr>
        <w:t>’</w:t>
      </w:r>
      <w:r w:rsidRPr="0070292F">
        <w:rPr>
          <w:rFonts w:eastAsia="Calibri"/>
          <w:lang w:val="fr-FR"/>
        </w:rPr>
        <w:t xml:space="preserve">agit de prévenir des infractions, ne peuvent pas </w:t>
      </w:r>
      <w:r w:rsidR="00ED1CCB" w:rsidRPr="0070292F">
        <w:rPr>
          <w:rFonts w:eastAsia="Calibri"/>
          <w:lang w:val="fr-FR"/>
        </w:rPr>
        <w:t>se passer de</w:t>
      </w:r>
      <w:r w:rsidRPr="0070292F">
        <w:rPr>
          <w:rFonts w:eastAsia="Calibri"/>
          <w:lang w:val="fr-FR"/>
        </w:rPr>
        <w:t xml:space="preserve"> référence, explicite ou implicite, à l</w:t>
      </w:r>
      <w:r w:rsidR="0070292F" w:rsidRPr="0070292F">
        <w:rPr>
          <w:rFonts w:eastAsia="Calibri"/>
          <w:lang w:val="fr-FR"/>
        </w:rPr>
        <w:t>’</w:t>
      </w:r>
      <w:r w:rsidRPr="0070292F">
        <w:rPr>
          <w:rFonts w:eastAsia="Calibri"/>
          <w:lang w:val="fr-FR"/>
        </w:rPr>
        <w:t>infraction ou aux infractions ou catégories d</w:t>
      </w:r>
      <w:r w:rsidR="0070292F" w:rsidRPr="0070292F">
        <w:rPr>
          <w:rFonts w:eastAsia="Calibri"/>
          <w:lang w:val="fr-FR"/>
        </w:rPr>
        <w:t>’</w:t>
      </w:r>
      <w:r w:rsidRPr="0070292F">
        <w:rPr>
          <w:rFonts w:eastAsia="Calibri"/>
          <w:lang w:val="fr-FR"/>
        </w:rPr>
        <w:t xml:space="preserve">infractions </w:t>
      </w:r>
      <w:r w:rsidR="00ED1CCB" w:rsidRPr="0070292F">
        <w:rPr>
          <w:rFonts w:eastAsia="Calibri"/>
          <w:lang w:val="fr-FR"/>
        </w:rPr>
        <w:t xml:space="preserve">visées </w:t>
      </w:r>
      <w:r w:rsidRPr="0070292F">
        <w:rPr>
          <w:rFonts w:eastAsia="Calibri"/>
          <w:lang w:val="fr-FR"/>
        </w:rPr>
        <w:t>par la prévention, afin que la description de la ou des conduites considér</w:t>
      </w:r>
      <w:r w:rsidR="00ED1CCB" w:rsidRPr="0070292F">
        <w:rPr>
          <w:rFonts w:eastAsia="Calibri"/>
          <w:lang w:val="fr-FR"/>
        </w:rPr>
        <w:t>ées</w:t>
      </w:r>
      <w:r w:rsidRPr="0070292F">
        <w:rPr>
          <w:rFonts w:eastAsia="Calibri"/>
          <w:lang w:val="fr-FR"/>
        </w:rPr>
        <w:t xml:space="preserve"> acqui</w:t>
      </w:r>
      <w:r w:rsidR="00ED1CCB" w:rsidRPr="0070292F">
        <w:rPr>
          <w:rFonts w:eastAsia="Calibri"/>
          <w:lang w:val="fr-FR"/>
        </w:rPr>
        <w:t>ère</w:t>
      </w:r>
      <w:r w:rsidRPr="0070292F">
        <w:rPr>
          <w:rFonts w:eastAsia="Calibri"/>
          <w:lang w:val="fr-FR"/>
        </w:rPr>
        <w:t xml:space="preserve"> d</w:t>
      </w:r>
      <w:r w:rsidR="0070292F" w:rsidRPr="0070292F">
        <w:rPr>
          <w:rFonts w:eastAsia="Calibri"/>
          <w:lang w:val="fr-FR"/>
        </w:rPr>
        <w:t>’</w:t>
      </w:r>
      <w:r w:rsidRPr="0070292F">
        <w:rPr>
          <w:rFonts w:eastAsia="Calibri"/>
          <w:lang w:val="fr-FR"/>
        </w:rPr>
        <w:t>autant plus de détermination qu</w:t>
      </w:r>
      <w:r w:rsidR="0070292F" w:rsidRPr="0070292F">
        <w:rPr>
          <w:rFonts w:eastAsia="Calibri"/>
          <w:lang w:val="fr-FR"/>
        </w:rPr>
        <w:t>’</w:t>
      </w:r>
      <w:r w:rsidRPr="0070292F">
        <w:rPr>
          <w:rFonts w:eastAsia="Calibri"/>
          <w:lang w:val="fr-FR"/>
        </w:rPr>
        <w:t>elle permet de déduire de leur survenance dans le cas concret la prévision raisonnable (du risque) que ces infractions soient consommées par ces individus.</w:t>
      </w:r>
    </w:p>
    <w:p w:rsidR="00186E84" w:rsidRPr="0070292F" w:rsidRDefault="00186E84" w:rsidP="0070292F">
      <w:pPr>
        <w:pStyle w:val="ECHRParaQuote"/>
        <w:rPr>
          <w:rFonts w:eastAsia="Calibri"/>
          <w:lang w:val="fr-FR"/>
        </w:rPr>
      </w:pPr>
      <w:r w:rsidRPr="0070292F">
        <w:rPr>
          <w:rFonts w:eastAsia="Calibri"/>
          <w:lang w:val="fr-FR"/>
        </w:rPr>
        <w:t>6)</w:t>
      </w:r>
      <w:r w:rsidR="00DB1ACC" w:rsidRPr="0070292F">
        <w:rPr>
          <w:lang w:val="fr-FR"/>
        </w:rPr>
        <w:t>  </w:t>
      </w:r>
      <w:r w:rsidRPr="0070292F">
        <w:rPr>
          <w:rFonts w:eastAsia="Calibri"/>
          <w:lang w:val="fr-FR"/>
        </w:rPr>
        <w:t>Au vu des considérations qui précèdent, la question de la constitutionnalité de l</w:t>
      </w:r>
      <w:r w:rsidR="0070292F" w:rsidRPr="0070292F">
        <w:rPr>
          <w:rFonts w:eastAsia="Calibri"/>
          <w:lang w:val="fr-FR"/>
        </w:rPr>
        <w:t>’</w:t>
      </w:r>
      <w:r w:rsidRPr="0070292F">
        <w:rPr>
          <w:rFonts w:eastAsia="Calibri"/>
          <w:lang w:val="fr-FR"/>
        </w:rPr>
        <w:t>article 1, paragraphe 3, dernière hypothèse, de la loi n</w:t>
      </w:r>
      <w:r w:rsidR="008C1E94" w:rsidRPr="0070292F">
        <w:rPr>
          <w:rFonts w:eastAsia="Calibri"/>
          <w:vertAlign w:val="superscript"/>
          <w:lang w:val="fr-FR"/>
        </w:rPr>
        <w:t>o</w:t>
      </w:r>
      <w:r w:rsidRPr="0070292F">
        <w:rPr>
          <w:rFonts w:eastAsia="Calibri"/>
          <w:lang w:val="fr-FR"/>
        </w:rPr>
        <w:t> 1423 de 1956 doit être déclarée fondée.</w:t>
      </w:r>
    </w:p>
    <w:p w:rsidR="00186E84" w:rsidRPr="0070292F" w:rsidRDefault="00186E84" w:rsidP="0070292F">
      <w:pPr>
        <w:pStyle w:val="ECHRParaQuote"/>
        <w:rPr>
          <w:rFonts w:eastAsia="Calibri"/>
          <w:lang w:val="fr-FR"/>
        </w:rPr>
      </w:pPr>
      <w:r w:rsidRPr="0070292F">
        <w:rPr>
          <w:rFonts w:eastAsia="Calibri"/>
          <w:lang w:val="fr-FR"/>
        </w:rPr>
        <w:t xml:space="preserve">En effet, la disposition examinée (contrairement, par exemple, à celle du premier paragraphe du même article 1) ne décrit ni une ou plusieurs conduites, ni aucune « manifestation » sur laquelle pourrait </w:t>
      </w:r>
      <w:r w:rsidR="00ED1CCB" w:rsidRPr="0070292F">
        <w:rPr>
          <w:rFonts w:eastAsia="Calibri"/>
          <w:lang w:val="fr-FR"/>
        </w:rPr>
        <w:t>reposer</w:t>
      </w:r>
      <w:r w:rsidRPr="0070292F">
        <w:rPr>
          <w:rFonts w:eastAsia="Calibri"/>
          <w:lang w:val="fr-FR"/>
        </w:rPr>
        <w:t xml:space="preserve">, </w:t>
      </w:r>
      <w:r w:rsidR="003D59C2" w:rsidRPr="0070292F">
        <w:rPr>
          <w:rFonts w:eastAsia="Calibri"/>
          <w:lang w:val="fr-FR"/>
        </w:rPr>
        <w:t>d</w:t>
      </w:r>
      <w:r w:rsidR="0070292F" w:rsidRPr="0070292F">
        <w:rPr>
          <w:rFonts w:eastAsia="Calibri"/>
          <w:lang w:val="fr-FR"/>
        </w:rPr>
        <w:t>’</w:t>
      </w:r>
      <w:r w:rsidR="003D59C2" w:rsidRPr="0070292F">
        <w:rPr>
          <w:rFonts w:eastAsia="Calibri"/>
          <w:lang w:val="fr-FR"/>
        </w:rPr>
        <w:t>emblée</w:t>
      </w:r>
      <w:r w:rsidRPr="0070292F">
        <w:rPr>
          <w:rFonts w:eastAsia="Calibri"/>
          <w:lang w:val="fr-FR"/>
        </w:rPr>
        <w:t xml:space="preserve">, un examen judiciaire. La question de savoir quelles « manifestations » sont pertinentes est renvoyée au juge (et avant lui au </w:t>
      </w:r>
      <w:r w:rsidR="00ED1CCB" w:rsidRPr="0070292F">
        <w:rPr>
          <w:rFonts w:eastAsia="Calibri"/>
          <w:lang w:val="fr-FR"/>
        </w:rPr>
        <w:t>parquet</w:t>
      </w:r>
      <w:r w:rsidRPr="0070292F">
        <w:rPr>
          <w:rFonts w:eastAsia="Calibri"/>
          <w:lang w:val="fr-FR"/>
        </w:rPr>
        <w:t xml:space="preserve"> et à l</w:t>
      </w:r>
      <w:r w:rsidR="0070292F" w:rsidRPr="0070292F">
        <w:rPr>
          <w:rFonts w:eastAsia="Calibri"/>
          <w:lang w:val="fr-FR"/>
        </w:rPr>
        <w:t>’</w:t>
      </w:r>
      <w:r w:rsidRPr="0070292F">
        <w:rPr>
          <w:rFonts w:eastAsia="Calibri"/>
          <w:lang w:val="fr-FR"/>
        </w:rPr>
        <w:t>autorité de police compétents) sur le plan même de la définition du cas, avant même d</w:t>
      </w:r>
      <w:r w:rsidR="0070292F" w:rsidRPr="0070292F">
        <w:rPr>
          <w:rFonts w:eastAsia="Calibri"/>
          <w:lang w:val="fr-FR"/>
        </w:rPr>
        <w:t>’</w:t>
      </w:r>
      <w:r w:rsidRPr="0070292F">
        <w:rPr>
          <w:rFonts w:eastAsia="Calibri"/>
          <w:lang w:val="fr-FR"/>
        </w:rPr>
        <w:t>arriver à celui de l</w:t>
      </w:r>
      <w:r w:rsidR="0070292F" w:rsidRPr="0070292F">
        <w:rPr>
          <w:rFonts w:eastAsia="Calibri"/>
          <w:lang w:val="fr-FR"/>
        </w:rPr>
        <w:t>’</w:t>
      </w:r>
      <w:r w:rsidRPr="0070292F">
        <w:rPr>
          <w:rFonts w:eastAsia="Calibri"/>
          <w:lang w:val="fr-FR"/>
        </w:rPr>
        <w:t>examen. Les conditions de l</w:t>
      </w:r>
      <w:r w:rsidR="0070292F" w:rsidRPr="0070292F">
        <w:rPr>
          <w:rFonts w:eastAsia="Calibri"/>
          <w:lang w:val="fr-FR"/>
        </w:rPr>
        <w:t>’</w:t>
      </w:r>
      <w:r w:rsidRPr="0070292F">
        <w:rPr>
          <w:rFonts w:eastAsia="Calibri"/>
          <w:lang w:val="fr-FR"/>
        </w:rPr>
        <w:t>appréciation de la « propension à la délinquance » n</w:t>
      </w:r>
      <w:r w:rsidR="0070292F" w:rsidRPr="0070292F">
        <w:rPr>
          <w:rFonts w:eastAsia="Calibri"/>
          <w:lang w:val="fr-FR"/>
        </w:rPr>
        <w:t>’</w:t>
      </w:r>
      <w:r w:rsidRPr="0070292F">
        <w:rPr>
          <w:rFonts w:eastAsia="Calibri"/>
          <w:lang w:val="fr-FR"/>
        </w:rPr>
        <w:t>ont aucune autonomie conceptuelle par rapport à l</w:t>
      </w:r>
      <w:r w:rsidR="0070292F" w:rsidRPr="0070292F">
        <w:rPr>
          <w:rFonts w:eastAsia="Calibri"/>
          <w:lang w:val="fr-FR"/>
        </w:rPr>
        <w:t>’</w:t>
      </w:r>
      <w:r w:rsidRPr="0070292F">
        <w:rPr>
          <w:rFonts w:eastAsia="Calibri"/>
          <w:lang w:val="fr-FR"/>
        </w:rPr>
        <w:t>appréciation elle-même. La formule légale n</w:t>
      </w:r>
      <w:r w:rsidR="0070292F" w:rsidRPr="0070292F">
        <w:rPr>
          <w:rFonts w:eastAsia="Calibri"/>
          <w:lang w:val="fr-FR"/>
        </w:rPr>
        <w:t>’</w:t>
      </w:r>
      <w:r w:rsidR="00ED1CCB" w:rsidRPr="0070292F">
        <w:rPr>
          <w:rFonts w:eastAsia="Calibri"/>
          <w:lang w:val="fr-FR"/>
        </w:rPr>
        <w:t>a</w:t>
      </w:r>
      <w:r w:rsidRPr="0070292F">
        <w:rPr>
          <w:rFonts w:eastAsia="Calibri"/>
          <w:lang w:val="fr-FR"/>
        </w:rPr>
        <w:t xml:space="preserve"> donc pas la fonction d</w:t>
      </w:r>
      <w:r w:rsidR="0070292F" w:rsidRPr="0070292F">
        <w:rPr>
          <w:rFonts w:eastAsia="Calibri"/>
          <w:lang w:val="fr-FR"/>
        </w:rPr>
        <w:t>’</w:t>
      </w:r>
      <w:r w:rsidRPr="0070292F">
        <w:rPr>
          <w:rFonts w:eastAsia="Calibri"/>
          <w:lang w:val="fr-FR"/>
        </w:rPr>
        <w:t>une véritable définition du cas, c</w:t>
      </w:r>
      <w:r w:rsidR="0070292F" w:rsidRPr="0070292F">
        <w:rPr>
          <w:rFonts w:eastAsia="Calibri"/>
          <w:lang w:val="fr-FR"/>
        </w:rPr>
        <w:t>’</w:t>
      </w:r>
      <w:r w:rsidRPr="0070292F">
        <w:rPr>
          <w:rFonts w:eastAsia="Calibri"/>
          <w:lang w:val="fr-FR"/>
        </w:rPr>
        <w:t>est-à-dire d</w:t>
      </w:r>
      <w:r w:rsidR="0070292F" w:rsidRPr="0070292F">
        <w:rPr>
          <w:rFonts w:eastAsia="Calibri"/>
          <w:lang w:val="fr-FR"/>
        </w:rPr>
        <w:t>’</w:t>
      </w:r>
      <w:r w:rsidR="00ED1CCB" w:rsidRPr="0070292F">
        <w:rPr>
          <w:rFonts w:eastAsia="Calibri"/>
          <w:lang w:val="fr-FR"/>
        </w:rPr>
        <w:t xml:space="preserve">une </w:t>
      </w:r>
      <w:r w:rsidRPr="0070292F">
        <w:rPr>
          <w:rFonts w:eastAsia="Calibri"/>
          <w:lang w:val="fr-FR"/>
        </w:rPr>
        <w:t>identification des « cas » (ce qu</w:t>
      </w:r>
      <w:r w:rsidR="0070292F" w:rsidRPr="0070292F">
        <w:rPr>
          <w:rFonts w:eastAsia="Calibri"/>
          <w:lang w:val="fr-FR"/>
        </w:rPr>
        <w:t>’</w:t>
      </w:r>
      <w:r w:rsidRPr="0070292F">
        <w:rPr>
          <w:rFonts w:eastAsia="Calibri"/>
          <w:lang w:val="fr-FR"/>
        </w:rPr>
        <w:t>exigent tant l</w:t>
      </w:r>
      <w:r w:rsidR="0070292F" w:rsidRPr="0070292F">
        <w:rPr>
          <w:rFonts w:eastAsia="Calibri"/>
          <w:lang w:val="fr-FR"/>
        </w:rPr>
        <w:t>’</w:t>
      </w:r>
      <w:r w:rsidRPr="0070292F">
        <w:rPr>
          <w:rFonts w:eastAsia="Calibri"/>
          <w:lang w:val="fr-FR"/>
        </w:rPr>
        <w:t>article 13 que l</w:t>
      </w:r>
      <w:r w:rsidR="0070292F" w:rsidRPr="0070292F">
        <w:rPr>
          <w:rFonts w:eastAsia="Calibri"/>
          <w:lang w:val="fr-FR"/>
        </w:rPr>
        <w:t>’</w:t>
      </w:r>
      <w:r w:rsidRPr="0070292F">
        <w:rPr>
          <w:rFonts w:eastAsia="Calibri"/>
          <w:lang w:val="fr-FR"/>
        </w:rPr>
        <w:t xml:space="preserve">article 25, alinéa 3, de la Constitution), mais elle laisse aux </w:t>
      </w:r>
      <w:r w:rsidR="00ED1CCB" w:rsidRPr="0070292F">
        <w:rPr>
          <w:rFonts w:eastAsia="Calibri"/>
          <w:lang w:val="fr-FR"/>
        </w:rPr>
        <w:t xml:space="preserve">acteurs </w:t>
      </w:r>
      <w:r w:rsidRPr="0070292F">
        <w:rPr>
          <w:rFonts w:eastAsia="Calibri"/>
          <w:lang w:val="fr-FR"/>
        </w:rPr>
        <w:t>une marge discrétionnaire incontrôlable.</w:t>
      </w:r>
    </w:p>
    <w:p w:rsidR="00186E84" w:rsidRPr="0070292F" w:rsidRDefault="003D59C2" w:rsidP="0070292F">
      <w:pPr>
        <w:pStyle w:val="ECHRParaQuote"/>
        <w:rPr>
          <w:rFonts w:eastAsia="Calibri"/>
          <w:lang w:val="fr-FR"/>
        </w:rPr>
      </w:pPr>
      <w:r w:rsidRPr="0070292F">
        <w:rPr>
          <w:rFonts w:eastAsia="Calibri"/>
          <w:lang w:val="fr-FR"/>
        </w:rPr>
        <w:t>(...)</w:t>
      </w:r>
      <w:r w:rsidR="00186E84" w:rsidRPr="0070292F">
        <w:rPr>
          <w:rFonts w:eastAsia="Calibri"/>
          <w:lang w:val="fr-FR"/>
        </w:rPr>
        <w:t xml:space="preserve"> L</w:t>
      </w:r>
      <w:r w:rsidR="0070292F" w:rsidRPr="0070292F">
        <w:rPr>
          <w:rFonts w:eastAsia="Calibri"/>
          <w:lang w:val="fr-FR"/>
        </w:rPr>
        <w:t>’</w:t>
      </w:r>
      <w:r w:rsidR="00186E84" w:rsidRPr="0070292F">
        <w:rPr>
          <w:rFonts w:eastAsia="Calibri"/>
          <w:lang w:val="fr-FR"/>
        </w:rPr>
        <w:t xml:space="preserve">expression « enclin à la délinquance » employée par le législateur de 1956 semblerait rappeler </w:t>
      </w:r>
      <w:r w:rsidR="000B6E03" w:rsidRPr="0070292F">
        <w:rPr>
          <w:rFonts w:eastAsia="Calibri"/>
          <w:lang w:val="fr-FR"/>
        </w:rPr>
        <w:t>la notion de</w:t>
      </w:r>
      <w:r w:rsidR="00186E84" w:rsidRPr="0070292F">
        <w:rPr>
          <w:rFonts w:eastAsia="Calibri"/>
          <w:lang w:val="fr-FR"/>
        </w:rPr>
        <w:t xml:space="preserve"> « tendance à la délinquance » de l</w:t>
      </w:r>
      <w:r w:rsidR="0070292F" w:rsidRPr="0070292F">
        <w:rPr>
          <w:rFonts w:eastAsia="Calibri"/>
          <w:lang w:val="fr-FR"/>
        </w:rPr>
        <w:t>’</w:t>
      </w:r>
      <w:r w:rsidR="00186E84" w:rsidRPr="0070292F">
        <w:rPr>
          <w:rFonts w:eastAsia="Calibri"/>
          <w:lang w:val="fr-FR"/>
        </w:rPr>
        <w:t xml:space="preserve">article 108 du code pénal, mais le rapprochement ne tient pas sur le plan </w:t>
      </w:r>
      <w:r w:rsidR="000B6E03" w:rsidRPr="0070292F">
        <w:rPr>
          <w:rFonts w:eastAsia="Calibri"/>
          <w:lang w:val="fr-FR"/>
        </w:rPr>
        <w:t>matériel car la formulation de</w:t>
      </w:r>
      <w:r w:rsidR="00186E84" w:rsidRPr="0070292F">
        <w:rPr>
          <w:rFonts w:eastAsia="Calibri"/>
          <w:lang w:val="fr-FR"/>
        </w:rPr>
        <w:t xml:space="preserve"> cette dernière disposition suppose que soi</w:t>
      </w:r>
      <w:r w:rsidR="00374B0A" w:rsidRPr="0070292F">
        <w:rPr>
          <w:rFonts w:eastAsia="Calibri"/>
          <w:lang w:val="fr-FR"/>
        </w:rPr>
        <w:t>en</w:t>
      </w:r>
      <w:r w:rsidR="00186E84" w:rsidRPr="0070292F">
        <w:rPr>
          <w:rFonts w:eastAsia="Calibri"/>
          <w:lang w:val="fr-FR"/>
        </w:rPr>
        <w:t>t constaté</w:t>
      </w:r>
      <w:r w:rsidR="00374B0A" w:rsidRPr="0070292F">
        <w:rPr>
          <w:rFonts w:eastAsia="Calibri"/>
          <w:lang w:val="fr-FR"/>
        </w:rPr>
        <w:t>s :</w:t>
      </w:r>
      <w:r w:rsidR="00186E84" w:rsidRPr="0070292F">
        <w:rPr>
          <w:rFonts w:eastAsia="Calibri"/>
          <w:lang w:val="fr-FR"/>
        </w:rPr>
        <w:t xml:space="preserve"> un</w:t>
      </w:r>
      <w:r w:rsidR="00374B0A" w:rsidRPr="0070292F">
        <w:rPr>
          <w:rFonts w:eastAsia="Calibri"/>
          <w:lang w:val="fr-FR"/>
        </w:rPr>
        <w:t>e atteinte</w:t>
      </w:r>
      <w:r w:rsidR="00186E84" w:rsidRPr="0070292F">
        <w:rPr>
          <w:rFonts w:eastAsia="Calibri"/>
          <w:lang w:val="fr-FR"/>
        </w:rPr>
        <w:t xml:space="preserve"> volontaire </w:t>
      </w:r>
      <w:r w:rsidR="00374B0A" w:rsidRPr="0070292F">
        <w:rPr>
          <w:rFonts w:eastAsia="Calibri"/>
          <w:lang w:val="fr-FR"/>
        </w:rPr>
        <w:t xml:space="preserve">à </w:t>
      </w:r>
      <w:r w:rsidR="00186E84" w:rsidRPr="0070292F">
        <w:rPr>
          <w:rFonts w:eastAsia="Calibri"/>
          <w:lang w:val="fr-FR"/>
        </w:rPr>
        <w:t xml:space="preserve">la vie ou </w:t>
      </w:r>
      <w:r w:rsidR="00374B0A" w:rsidRPr="0070292F">
        <w:rPr>
          <w:rFonts w:eastAsia="Calibri"/>
          <w:lang w:val="fr-FR"/>
        </w:rPr>
        <w:t xml:space="preserve">à </w:t>
      </w:r>
      <w:r w:rsidR="00186E84" w:rsidRPr="0070292F">
        <w:rPr>
          <w:rFonts w:eastAsia="Calibri"/>
          <w:lang w:val="fr-FR"/>
        </w:rPr>
        <w:t>l</w:t>
      </w:r>
      <w:r w:rsidR="0070292F" w:rsidRPr="0070292F">
        <w:rPr>
          <w:rFonts w:eastAsia="Calibri"/>
          <w:lang w:val="fr-FR"/>
        </w:rPr>
        <w:t>’</w:t>
      </w:r>
      <w:r w:rsidR="00186E84" w:rsidRPr="0070292F">
        <w:rPr>
          <w:rFonts w:eastAsia="Calibri"/>
          <w:lang w:val="fr-FR"/>
        </w:rPr>
        <w:t>intégrité individuelle</w:t>
      </w:r>
      <w:r w:rsidR="000B6E03" w:rsidRPr="0070292F">
        <w:rPr>
          <w:rFonts w:eastAsia="Calibri"/>
          <w:lang w:val="fr-FR"/>
        </w:rPr>
        <w:t>, des mobiles propres à révéler</w:t>
      </w:r>
      <w:r w:rsidR="00186E84" w:rsidRPr="0070292F">
        <w:rPr>
          <w:rFonts w:eastAsia="Calibri"/>
          <w:lang w:val="fr-FR"/>
        </w:rPr>
        <w:t xml:space="preserve"> une propension particulière à la délinquance</w:t>
      </w:r>
      <w:r w:rsidR="000B6E03" w:rsidRPr="0070292F">
        <w:rPr>
          <w:rFonts w:eastAsia="Calibri"/>
          <w:lang w:val="fr-FR"/>
        </w:rPr>
        <w:t xml:space="preserve">, </w:t>
      </w:r>
      <w:r w:rsidR="00186E84" w:rsidRPr="0070292F">
        <w:rPr>
          <w:rFonts w:eastAsia="Calibri"/>
          <w:lang w:val="fr-FR"/>
        </w:rPr>
        <w:t xml:space="preserve">et le tempérament particulièrement mauvais du coupable. Dans le cas examiné, la « propension à la délinquance » doit au contraire être entendue comme synonyme de dangerosité sociale, ce qui </w:t>
      </w:r>
      <w:r w:rsidR="000B6E03" w:rsidRPr="0070292F">
        <w:rPr>
          <w:rFonts w:eastAsia="Calibri"/>
          <w:lang w:val="fr-FR"/>
        </w:rPr>
        <w:t>implique</w:t>
      </w:r>
      <w:r w:rsidR="00186E84" w:rsidRPr="0070292F">
        <w:rPr>
          <w:rFonts w:eastAsia="Calibri"/>
          <w:lang w:val="fr-FR"/>
        </w:rPr>
        <w:t xml:space="preserve"> que </w:t>
      </w:r>
      <w:r w:rsidR="000B6E03" w:rsidRPr="0070292F">
        <w:rPr>
          <w:rFonts w:eastAsia="Calibri"/>
          <w:lang w:val="fr-FR"/>
        </w:rPr>
        <w:t>l</w:t>
      </w:r>
      <w:r w:rsidR="0070292F" w:rsidRPr="0070292F">
        <w:rPr>
          <w:rFonts w:eastAsia="Calibri"/>
          <w:lang w:val="fr-FR"/>
        </w:rPr>
        <w:t>’</w:t>
      </w:r>
      <w:r w:rsidR="000B6E03" w:rsidRPr="0070292F">
        <w:rPr>
          <w:rFonts w:eastAsia="Calibri"/>
          <w:lang w:val="fr-FR"/>
        </w:rPr>
        <w:t xml:space="preserve">ensemble de </w:t>
      </w:r>
      <w:r w:rsidR="00186E84" w:rsidRPr="0070292F">
        <w:rPr>
          <w:rFonts w:eastAsia="Calibri"/>
          <w:lang w:val="fr-FR"/>
        </w:rPr>
        <w:t xml:space="preserve">la disposition normative, </w:t>
      </w:r>
      <w:r w:rsidR="002C0304" w:rsidRPr="0070292F">
        <w:rPr>
          <w:rFonts w:eastAsia="Calibri"/>
          <w:lang w:val="fr-FR"/>
        </w:rPr>
        <w:t xml:space="preserve">qui </w:t>
      </w:r>
      <w:r w:rsidR="00186E84" w:rsidRPr="0070292F">
        <w:rPr>
          <w:rFonts w:eastAsia="Calibri"/>
          <w:lang w:val="fr-FR"/>
        </w:rPr>
        <w:t>permet l</w:t>
      </w:r>
      <w:r w:rsidR="0070292F" w:rsidRPr="0070292F">
        <w:rPr>
          <w:rFonts w:eastAsia="Calibri"/>
          <w:lang w:val="fr-FR"/>
        </w:rPr>
        <w:t>’</w:t>
      </w:r>
      <w:r w:rsidR="00186E84" w:rsidRPr="0070292F">
        <w:rPr>
          <w:rFonts w:eastAsia="Calibri"/>
          <w:lang w:val="fr-FR"/>
        </w:rPr>
        <w:t xml:space="preserve">adoption de mesures restreignant la liberté </w:t>
      </w:r>
      <w:r w:rsidR="00186E84" w:rsidRPr="0070292F">
        <w:rPr>
          <w:rFonts w:eastAsia="Calibri"/>
          <w:lang w:val="fr-FR"/>
        </w:rPr>
        <w:lastRenderedPageBreak/>
        <w:t>personnelle sans que soient identifiées ni les conditions ni les finalités spécifiques qui les justifient, doit être considé</w:t>
      </w:r>
      <w:r w:rsidR="00346359" w:rsidRPr="0070292F">
        <w:rPr>
          <w:rFonts w:eastAsia="Calibri"/>
          <w:lang w:val="fr-FR"/>
        </w:rPr>
        <w:t>rée comme an</w:t>
      </w:r>
      <w:r w:rsidR="0070292F" w:rsidRPr="0070292F">
        <w:rPr>
          <w:rFonts w:eastAsia="Calibri"/>
          <w:lang w:val="fr-FR"/>
        </w:rPr>
        <w:t>ticonstitutionnelle. »</w:t>
      </w:r>
    </w:p>
    <w:bookmarkStart w:id="19" w:name="para56"/>
    <w:p w:rsidR="00186E84" w:rsidRPr="0070292F" w:rsidRDefault="00186E84" w:rsidP="0070292F">
      <w:pPr>
        <w:pStyle w:val="ECHRPara"/>
        <w:rPr>
          <w:rFonts w:eastAsia="Cambria"/>
          <w:lang w:val="fr-FR"/>
        </w:rPr>
      </w:pPr>
      <w:r w:rsidRPr="0070292F">
        <w:rPr>
          <w:rFonts w:eastAsia="Cambria"/>
          <w:lang w:val="fr-FR"/>
        </w:rPr>
        <w:fldChar w:fldCharType="begin"/>
      </w:r>
      <w:r w:rsidRPr="0070292F">
        <w:rPr>
          <w:rFonts w:eastAsia="Cambria"/>
          <w:lang w:val="fr-FR"/>
        </w:rPr>
        <w:instrText xml:space="preserve"> SEQ level0 \*arabic </w:instrText>
      </w:r>
      <w:r w:rsidRPr="0070292F">
        <w:rPr>
          <w:rFonts w:eastAsia="Cambria"/>
          <w:lang w:val="fr-FR"/>
        </w:rPr>
        <w:fldChar w:fldCharType="separate"/>
      </w:r>
      <w:r w:rsidR="0070292F" w:rsidRPr="0070292F">
        <w:rPr>
          <w:rFonts w:eastAsia="Cambria"/>
          <w:noProof/>
          <w:lang w:val="fr-FR"/>
        </w:rPr>
        <w:t>56</w:t>
      </w:r>
      <w:r w:rsidRPr="0070292F">
        <w:rPr>
          <w:rFonts w:eastAsia="Cambria"/>
          <w:lang w:val="fr-FR"/>
        </w:rPr>
        <w:fldChar w:fldCharType="end"/>
      </w:r>
      <w:bookmarkEnd w:id="19"/>
      <w:r w:rsidRPr="0070292F">
        <w:rPr>
          <w:rFonts w:eastAsia="Cambria"/>
          <w:lang w:val="fr-FR"/>
        </w:rPr>
        <w:t>.  Dans son arrêt nº 93 de 2010, s</w:t>
      </w:r>
      <w:r w:rsidR="0070292F" w:rsidRPr="0070292F">
        <w:rPr>
          <w:rFonts w:eastAsia="Cambria"/>
          <w:lang w:val="fr-FR"/>
        </w:rPr>
        <w:t>’</w:t>
      </w:r>
      <w:r w:rsidRPr="0070292F">
        <w:rPr>
          <w:rFonts w:eastAsia="Cambria"/>
          <w:lang w:val="fr-FR"/>
        </w:rPr>
        <w:t>appuyant sur l</w:t>
      </w:r>
      <w:r w:rsidR="0070292F" w:rsidRPr="0070292F">
        <w:rPr>
          <w:rFonts w:eastAsia="Cambria"/>
          <w:lang w:val="fr-FR"/>
        </w:rPr>
        <w:t>’</w:t>
      </w:r>
      <w:r w:rsidRPr="0070292F">
        <w:rPr>
          <w:rFonts w:eastAsia="Cambria"/>
          <w:lang w:val="fr-FR"/>
        </w:rPr>
        <w:t>article 6 de la Convention européenne des droits de l</w:t>
      </w:r>
      <w:r w:rsidR="0070292F" w:rsidRPr="0070292F">
        <w:rPr>
          <w:rFonts w:eastAsia="Cambria"/>
          <w:lang w:val="fr-FR"/>
        </w:rPr>
        <w:t>’</w:t>
      </w:r>
      <w:r w:rsidRPr="0070292F">
        <w:rPr>
          <w:rFonts w:eastAsia="Cambria"/>
          <w:lang w:val="fr-FR"/>
        </w:rPr>
        <w:t xml:space="preserve">homme et sur </w:t>
      </w:r>
      <w:r w:rsidR="002C0304" w:rsidRPr="0070292F">
        <w:rPr>
          <w:rFonts w:eastAsia="Cambria"/>
          <w:lang w:val="fr-FR"/>
        </w:rPr>
        <w:t>l</w:t>
      </w:r>
      <w:r w:rsidR="0070292F" w:rsidRPr="0070292F">
        <w:rPr>
          <w:rFonts w:eastAsia="Cambria"/>
          <w:lang w:val="fr-FR"/>
        </w:rPr>
        <w:t>’</w:t>
      </w:r>
      <w:r w:rsidR="002C0304" w:rsidRPr="0070292F">
        <w:rPr>
          <w:rFonts w:eastAsia="Cambria"/>
          <w:lang w:val="fr-FR"/>
        </w:rPr>
        <w:t>arrêt</w:t>
      </w:r>
      <w:r w:rsidRPr="0070292F">
        <w:rPr>
          <w:rFonts w:eastAsia="Cambria"/>
          <w:lang w:val="fr-FR"/>
        </w:rPr>
        <w:t xml:space="preserve"> </w:t>
      </w:r>
      <w:r w:rsidR="0070292F" w:rsidRPr="0070292F">
        <w:rPr>
          <w:rFonts w:eastAsia="Cambria"/>
          <w:i/>
          <w:lang w:val="fr-FR"/>
        </w:rPr>
        <w:t>Bocellari et </w:t>
      </w:r>
      <w:r w:rsidRPr="0070292F">
        <w:rPr>
          <w:rFonts w:eastAsia="Cambria"/>
          <w:i/>
          <w:lang w:val="fr-FR"/>
        </w:rPr>
        <w:t>Rizza c. Italie</w:t>
      </w:r>
      <w:r w:rsidR="00E474A3" w:rsidRPr="0070292F">
        <w:rPr>
          <w:rFonts w:eastAsia="Cambria"/>
          <w:lang w:val="fr-FR"/>
        </w:rPr>
        <w:t xml:space="preserve"> </w:t>
      </w:r>
      <w:r w:rsidR="009A7174" w:rsidRPr="0070292F">
        <w:rPr>
          <w:rFonts w:eastAsia="Cambria"/>
          <w:lang w:val="fr-FR"/>
        </w:rPr>
        <w:t>(</w:t>
      </w:r>
      <w:r w:rsidRPr="0070292F">
        <w:rPr>
          <w:rFonts w:eastAsia="Cambria"/>
          <w:lang w:val="fr-FR"/>
        </w:rPr>
        <w:t>nº 399/02, 13 novembre 2007</w:t>
      </w:r>
      <w:r w:rsidR="00E36453" w:rsidRPr="0070292F">
        <w:rPr>
          <w:rFonts w:eastAsia="Cambria"/>
          <w:lang w:val="fr-FR"/>
        </w:rPr>
        <w:t>)</w:t>
      </w:r>
      <w:r w:rsidRPr="0070292F">
        <w:rPr>
          <w:rFonts w:eastAsia="Cambria"/>
          <w:lang w:val="fr-FR"/>
        </w:rPr>
        <w:t xml:space="preserve">, </w:t>
      </w:r>
      <w:r w:rsidR="002C0304" w:rsidRPr="0070292F">
        <w:rPr>
          <w:rFonts w:eastAsia="Cambria"/>
          <w:lang w:val="fr-FR"/>
        </w:rPr>
        <w:t>dans lequel</w:t>
      </w:r>
      <w:r w:rsidR="002C0304" w:rsidRPr="0070292F">
        <w:rPr>
          <w:rFonts w:eastAsia="Cambria"/>
          <w:bCs/>
          <w:i/>
          <w:iCs/>
          <w:lang w:val="fr-FR"/>
        </w:rPr>
        <w:t xml:space="preserve"> </w:t>
      </w:r>
      <w:r w:rsidRPr="0070292F">
        <w:rPr>
          <w:rFonts w:eastAsia="Cambria"/>
          <w:lang w:val="fr-FR"/>
        </w:rPr>
        <w:t xml:space="preserve">la Cour </w:t>
      </w:r>
      <w:r w:rsidR="002C0304" w:rsidRPr="0070292F">
        <w:rPr>
          <w:rFonts w:eastAsia="Cambria"/>
          <w:lang w:val="fr-FR"/>
        </w:rPr>
        <w:t xml:space="preserve">européenne </w:t>
      </w:r>
      <w:r w:rsidRPr="0070292F">
        <w:rPr>
          <w:rFonts w:eastAsia="Cambria"/>
          <w:lang w:val="fr-FR"/>
        </w:rPr>
        <w:t>avait constaté une violation de l</w:t>
      </w:r>
      <w:r w:rsidR="0070292F" w:rsidRPr="0070292F">
        <w:rPr>
          <w:rFonts w:eastAsia="Cambria"/>
          <w:lang w:val="fr-FR"/>
        </w:rPr>
        <w:t>’</w:t>
      </w:r>
      <w:r w:rsidRPr="0070292F">
        <w:rPr>
          <w:rFonts w:eastAsia="Cambria"/>
          <w:lang w:val="fr-FR"/>
        </w:rPr>
        <w:t xml:space="preserve">article 6 </w:t>
      </w:r>
      <w:r w:rsidR="002C0304" w:rsidRPr="0070292F">
        <w:rPr>
          <w:rFonts w:eastAsia="Cambria"/>
          <w:lang w:val="fr-FR"/>
        </w:rPr>
        <w:t xml:space="preserve">en raison de </w:t>
      </w:r>
      <w:r w:rsidRPr="0070292F">
        <w:rPr>
          <w:rFonts w:eastAsia="Cambria"/>
          <w:lang w:val="fr-FR"/>
        </w:rPr>
        <w:t>la procédure d</w:t>
      </w:r>
      <w:r w:rsidR="0070292F" w:rsidRPr="0070292F">
        <w:rPr>
          <w:rFonts w:eastAsia="Cambria"/>
          <w:lang w:val="fr-FR"/>
        </w:rPr>
        <w:t>’</w:t>
      </w:r>
      <w:r w:rsidRPr="0070292F">
        <w:rPr>
          <w:rFonts w:eastAsia="Cambria"/>
          <w:lang w:val="fr-FR"/>
        </w:rPr>
        <w:t>application des mesures patrimoniales prévu</w:t>
      </w:r>
      <w:r w:rsidR="005661AF" w:rsidRPr="0070292F">
        <w:rPr>
          <w:rFonts w:eastAsia="Cambria"/>
          <w:lang w:val="fr-FR"/>
        </w:rPr>
        <w:t>es par la loi de 1956, la Cour c</w:t>
      </w:r>
      <w:r w:rsidRPr="0070292F">
        <w:rPr>
          <w:rFonts w:eastAsia="Cambria"/>
          <w:lang w:val="fr-FR"/>
        </w:rPr>
        <w:t>onstitutionnelle déclar</w:t>
      </w:r>
      <w:r w:rsidR="002C0304" w:rsidRPr="0070292F">
        <w:rPr>
          <w:rFonts w:eastAsia="Cambria"/>
          <w:lang w:val="fr-FR"/>
        </w:rPr>
        <w:t>a</w:t>
      </w:r>
      <w:r w:rsidRPr="0070292F">
        <w:rPr>
          <w:rFonts w:eastAsia="Cambria"/>
          <w:lang w:val="fr-FR"/>
        </w:rPr>
        <w:t xml:space="preserve"> </w:t>
      </w:r>
      <w:r w:rsidR="006603B9" w:rsidRPr="0070292F">
        <w:rPr>
          <w:rFonts w:eastAsia="Cambria"/>
          <w:lang w:val="fr-FR"/>
        </w:rPr>
        <w:t>inconstitutionnel</w:t>
      </w:r>
      <w:r w:rsidRPr="0070292F">
        <w:rPr>
          <w:rFonts w:eastAsia="Cambria"/>
          <w:lang w:val="fr-FR"/>
        </w:rPr>
        <w:t xml:space="preserve"> l</w:t>
      </w:r>
      <w:r w:rsidR="0070292F" w:rsidRPr="0070292F">
        <w:rPr>
          <w:rFonts w:eastAsia="Cambria"/>
          <w:lang w:val="fr-FR"/>
        </w:rPr>
        <w:t>’article 4 de la loi </w:t>
      </w:r>
      <w:r w:rsidRPr="0070292F">
        <w:rPr>
          <w:rFonts w:eastAsia="Cambria"/>
          <w:lang w:val="fr-FR"/>
        </w:rPr>
        <w:t>n</w:t>
      </w:r>
      <w:r w:rsidR="008C1E94" w:rsidRPr="0070292F">
        <w:rPr>
          <w:rFonts w:eastAsia="Cambria"/>
          <w:vertAlign w:val="superscript"/>
          <w:lang w:val="fr-FR"/>
        </w:rPr>
        <w:t>o</w:t>
      </w:r>
      <w:r w:rsidRPr="0070292F">
        <w:rPr>
          <w:rFonts w:eastAsia="Cambria"/>
          <w:lang w:val="fr-FR"/>
        </w:rPr>
        <w:t xml:space="preserve"> 1423 de 1956 </w:t>
      </w:r>
      <w:r w:rsidR="002C0304" w:rsidRPr="0070292F">
        <w:rPr>
          <w:rFonts w:eastAsia="Cambria"/>
          <w:lang w:val="fr-FR"/>
        </w:rPr>
        <w:t>au motif qu</w:t>
      </w:r>
      <w:r w:rsidR="0070292F" w:rsidRPr="0070292F">
        <w:rPr>
          <w:rFonts w:eastAsia="Cambria"/>
          <w:lang w:val="fr-FR"/>
        </w:rPr>
        <w:t>’</w:t>
      </w:r>
      <w:r w:rsidRPr="0070292F">
        <w:rPr>
          <w:rFonts w:eastAsia="Cambria"/>
          <w:lang w:val="fr-FR"/>
        </w:rPr>
        <w:t xml:space="preserve">il ne </w:t>
      </w:r>
      <w:r w:rsidR="002C0304" w:rsidRPr="0070292F">
        <w:rPr>
          <w:rFonts w:eastAsia="Cambria"/>
          <w:lang w:val="fr-FR"/>
        </w:rPr>
        <w:t xml:space="preserve">ménageait </w:t>
      </w:r>
      <w:r w:rsidRPr="0070292F">
        <w:rPr>
          <w:rFonts w:eastAsia="Cambria"/>
          <w:lang w:val="fr-FR"/>
        </w:rPr>
        <w:t>pas la possibilité pour l</w:t>
      </w:r>
      <w:r w:rsidR="0070292F" w:rsidRPr="0070292F">
        <w:rPr>
          <w:rFonts w:eastAsia="Cambria"/>
          <w:lang w:val="fr-FR"/>
        </w:rPr>
        <w:t>’</w:t>
      </w:r>
      <w:r w:rsidRPr="0070292F">
        <w:rPr>
          <w:rFonts w:eastAsia="Cambria"/>
          <w:lang w:val="fr-FR"/>
        </w:rPr>
        <w:t xml:space="preserve">intéressé de demander </w:t>
      </w:r>
      <w:r w:rsidR="002C0304" w:rsidRPr="0070292F">
        <w:rPr>
          <w:rFonts w:eastAsia="Cambria"/>
          <w:lang w:val="fr-FR"/>
        </w:rPr>
        <w:t>pendant la procédure</w:t>
      </w:r>
      <w:r w:rsidRPr="0070292F">
        <w:rPr>
          <w:rFonts w:eastAsia="Cambria"/>
          <w:lang w:val="fr-FR"/>
        </w:rPr>
        <w:t xml:space="preserve"> d</w:t>
      </w:r>
      <w:r w:rsidR="0070292F" w:rsidRPr="0070292F">
        <w:rPr>
          <w:rFonts w:eastAsia="Cambria"/>
          <w:lang w:val="fr-FR"/>
        </w:rPr>
        <w:t>’</w:t>
      </w:r>
      <w:r w:rsidRPr="0070292F">
        <w:rPr>
          <w:rFonts w:eastAsia="Cambria"/>
          <w:lang w:val="fr-FR"/>
        </w:rPr>
        <w:t xml:space="preserve">application des mesures de </w:t>
      </w:r>
      <w:r w:rsidRPr="0070292F">
        <w:rPr>
          <w:rFonts w:eastAsia="Cambria"/>
          <w:color w:val="000000"/>
          <w:lang w:val="fr-FR"/>
        </w:rPr>
        <w:t xml:space="preserve">prévention une audience </w:t>
      </w:r>
      <w:r w:rsidRPr="0070292F">
        <w:rPr>
          <w:rFonts w:eastAsia="Cambria"/>
          <w:lang w:val="fr-FR"/>
        </w:rPr>
        <w:t xml:space="preserve">publique, </w:t>
      </w:r>
      <w:r w:rsidR="002C0304" w:rsidRPr="0070292F">
        <w:rPr>
          <w:rFonts w:eastAsia="Cambria"/>
          <w:lang w:val="fr-FR"/>
        </w:rPr>
        <w:t xml:space="preserve">que ce </w:t>
      </w:r>
      <w:r w:rsidRPr="0070292F">
        <w:rPr>
          <w:rFonts w:eastAsia="Cambria"/>
          <w:lang w:val="fr-FR"/>
        </w:rPr>
        <w:t xml:space="preserve">soit en première instance </w:t>
      </w:r>
      <w:r w:rsidR="002C0304" w:rsidRPr="0070292F">
        <w:rPr>
          <w:rFonts w:eastAsia="Cambria"/>
          <w:lang w:val="fr-FR"/>
        </w:rPr>
        <w:t xml:space="preserve">ou </w:t>
      </w:r>
      <w:r w:rsidRPr="0070292F">
        <w:rPr>
          <w:rFonts w:eastAsia="Cambria"/>
          <w:lang w:val="fr-FR"/>
        </w:rPr>
        <w:t>en appel. Néanmoins, par l</w:t>
      </w:r>
      <w:r w:rsidR="0070292F" w:rsidRPr="0070292F">
        <w:rPr>
          <w:rFonts w:eastAsia="Cambria"/>
          <w:lang w:val="fr-FR"/>
        </w:rPr>
        <w:t>’</w:t>
      </w:r>
      <w:r w:rsidRPr="0070292F">
        <w:rPr>
          <w:rFonts w:eastAsia="Cambria"/>
          <w:lang w:val="fr-FR"/>
        </w:rPr>
        <w:t xml:space="preserve">arrêt nº 80 de 2011 la </w:t>
      </w:r>
      <w:r w:rsidR="002C0304" w:rsidRPr="0070292F">
        <w:rPr>
          <w:rFonts w:eastAsia="Cambria"/>
          <w:lang w:val="fr-FR"/>
        </w:rPr>
        <w:t>juridiction constitutionnelle précisa</w:t>
      </w:r>
      <w:r w:rsidRPr="0070292F">
        <w:rPr>
          <w:rFonts w:eastAsia="Cambria"/>
          <w:lang w:val="fr-FR"/>
        </w:rPr>
        <w:t xml:space="preserve"> que la possibilité de demander une audience publique ne s</w:t>
      </w:r>
      <w:r w:rsidR="0070292F" w:rsidRPr="0070292F">
        <w:rPr>
          <w:rFonts w:eastAsia="Cambria"/>
          <w:lang w:val="fr-FR"/>
        </w:rPr>
        <w:t>’</w:t>
      </w:r>
      <w:r w:rsidR="007B01CE" w:rsidRPr="0070292F">
        <w:rPr>
          <w:rFonts w:eastAsia="Cambria"/>
          <w:lang w:val="fr-FR"/>
        </w:rPr>
        <w:t>imposait pas devant la Cour de c</w:t>
      </w:r>
      <w:r w:rsidRPr="0070292F">
        <w:rPr>
          <w:rFonts w:eastAsia="Cambria"/>
          <w:lang w:val="fr-FR"/>
        </w:rPr>
        <w:t>assation.</w:t>
      </w:r>
    </w:p>
    <w:p w:rsidR="00EF54BC" w:rsidRPr="0070292F" w:rsidRDefault="00716F51" w:rsidP="0070292F">
      <w:pPr>
        <w:pStyle w:val="ECHRPara"/>
        <w:rPr>
          <w:rFonts w:eastAsia="Cambria"/>
          <w:lang w:val="fr-FR"/>
        </w:rPr>
      </w:pPr>
      <w:r w:rsidRPr="0070292F">
        <w:rPr>
          <w:rFonts w:eastAsia="Cambria"/>
          <w:lang w:val="fr-FR"/>
        </w:rPr>
        <w:fldChar w:fldCharType="begin"/>
      </w:r>
      <w:r w:rsidRPr="0070292F">
        <w:rPr>
          <w:rFonts w:eastAsia="Cambria"/>
          <w:lang w:val="fr-FR"/>
        </w:rPr>
        <w:instrText xml:space="preserve"> SEQ level0 \*arabic </w:instrText>
      </w:r>
      <w:r w:rsidRPr="0070292F">
        <w:rPr>
          <w:rFonts w:eastAsia="Cambria"/>
          <w:lang w:val="fr-FR"/>
        </w:rPr>
        <w:fldChar w:fldCharType="separate"/>
      </w:r>
      <w:r w:rsidR="0070292F" w:rsidRPr="0070292F">
        <w:rPr>
          <w:rFonts w:eastAsia="Cambria"/>
          <w:noProof/>
          <w:lang w:val="fr-FR"/>
        </w:rPr>
        <w:t>57</w:t>
      </w:r>
      <w:r w:rsidRPr="0070292F">
        <w:rPr>
          <w:rFonts w:eastAsia="Cambria"/>
          <w:lang w:val="fr-FR"/>
        </w:rPr>
        <w:fldChar w:fldCharType="end"/>
      </w:r>
      <w:r w:rsidRPr="0070292F">
        <w:rPr>
          <w:rFonts w:eastAsia="Cambria"/>
          <w:lang w:val="fr-FR"/>
        </w:rPr>
        <w:t>.  </w:t>
      </w:r>
      <w:r w:rsidR="00FA6A84" w:rsidRPr="0070292F">
        <w:rPr>
          <w:rFonts w:eastAsia="Cambria"/>
          <w:lang w:val="fr-FR"/>
        </w:rPr>
        <w:t>Dans</w:t>
      </w:r>
      <w:r w:rsidR="007E4B6A" w:rsidRPr="0070292F">
        <w:rPr>
          <w:rFonts w:eastAsia="Cambria"/>
          <w:lang w:val="fr-FR"/>
        </w:rPr>
        <w:t xml:space="preserve"> l</w:t>
      </w:r>
      <w:r w:rsidR="0070292F" w:rsidRPr="0070292F">
        <w:rPr>
          <w:rFonts w:eastAsia="Cambria"/>
          <w:lang w:val="fr-FR"/>
        </w:rPr>
        <w:t>’</w:t>
      </w:r>
      <w:r w:rsidR="007E4B6A" w:rsidRPr="0070292F">
        <w:rPr>
          <w:rFonts w:eastAsia="Cambria"/>
          <w:lang w:val="fr-FR"/>
        </w:rPr>
        <w:t>arrêt n</w:t>
      </w:r>
      <w:r w:rsidR="007E4B6A" w:rsidRPr="0070292F">
        <w:rPr>
          <w:rFonts w:eastAsia="Cambria"/>
          <w:vertAlign w:val="superscript"/>
          <w:lang w:val="fr-FR"/>
        </w:rPr>
        <w:t>o</w:t>
      </w:r>
      <w:r w:rsidR="007E4B6A" w:rsidRPr="0070292F">
        <w:rPr>
          <w:rFonts w:eastAsia="Cambria"/>
          <w:lang w:val="fr-FR"/>
        </w:rPr>
        <w:t xml:space="preserve"> 282 de 2010, la Cour constitutionnelle était appelée à </w:t>
      </w:r>
      <w:r w:rsidR="00B72772" w:rsidRPr="0070292F">
        <w:rPr>
          <w:rFonts w:eastAsia="Cambria"/>
          <w:lang w:val="fr-FR"/>
        </w:rPr>
        <w:t>déterminer</w:t>
      </w:r>
      <w:r w:rsidR="007E4B6A" w:rsidRPr="0070292F">
        <w:rPr>
          <w:rFonts w:eastAsia="Cambria"/>
          <w:lang w:val="fr-FR"/>
        </w:rPr>
        <w:t xml:space="preserve"> si l</w:t>
      </w:r>
      <w:r w:rsidR="0070292F" w:rsidRPr="0070292F">
        <w:rPr>
          <w:rFonts w:eastAsia="Cambria"/>
          <w:lang w:val="fr-FR"/>
        </w:rPr>
        <w:t>’</w:t>
      </w:r>
      <w:r w:rsidR="007E4B6A" w:rsidRPr="0070292F">
        <w:rPr>
          <w:rFonts w:eastAsia="Cambria"/>
          <w:lang w:val="fr-FR"/>
        </w:rPr>
        <w:t>article 9</w:t>
      </w:r>
      <w:r w:rsidR="009F7E18" w:rsidRPr="0070292F">
        <w:rPr>
          <w:rFonts w:eastAsia="Cambria"/>
          <w:lang w:val="fr-FR"/>
        </w:rPr>
        <w:t xml:space="preserve"> § 2</w:t>
      </w:r>
      <w:r w:rsidR="007E4B6A" w:rsidRPr="0070292F">
        <w:rPr>
          <w:rFonts w:eastAsia="Cambria"/>
          <w:lang w:val="fr-FR"/>
        </w:rPr>
        <w:t xml:space="preserve"> de la loi n</w:t>
      </w:r>
      <w:r w:rsidR="007E4B6A" w:rsidRPr="0070292F">
        <w:rPr>
          <w:rFonts w:eastAsia="Cambria"/>
          <w:vertAlign w:val="superscript"/>
          <w:lang w:val="fr-FR"/>
        </w:rPr>
        <w:t>o</w:t>
      </w:r>
      <w:r w:rsidR="007E4B6A" w:rsidRPr="0070292F">
        <w:rPr>
          <w:rFonts w:eastAsia="Cambria"/>
          <w:lang w:val="fr-FR"/>
        </w:rPr>
        <w:t xml:space="preserve"> 1423 </w:t>
      </w:r>
      <w:r w:rsidR="009F7E18" w:rsidRPr="0070292F">
        <w:rPr>
          <w:rFonts w:eastAsia="Cambria"/>
          <w:lang w:val="fr-FR"/>
        </w:rPr>
        <w:t xml:space="preserve">du 27 décembre </w:t>
      </w:r>
      <w:r w:rsidR="007E4B6A" w:rsidRPr="0070292F">
        <w:rPr>
          <w:rFonts w:eastAsia="Cambria"/>
          <w:lang w:val="fr-FR"/>
        </w:rPr>
        <w:t xml:space="preserve">1956 était </w:t>
      </w:r>
      <w:r w:rsidR="009F7E18" w:rsidRPr="0070292F">
        <w:rPr>
          <w:rFonts w:eastAsia="Cambria"/>
          <w:lang w:val="fr-FR"/>
        </w:rPr>
        <w:t xml:space="preserve">compatible avec </w:t>
      </w:r>
      <w:r w:rsidR="007E4B6A" w:rsidRPr="0070292F">
        <w:rPr>
          <w:rFonts w:eastAsia="Cambria"/>
          <w:lang w:val="fr-FR"/>
        </w:rPr>
        <w:t>l</w:t>
      </w:r>
      <w:r w:rsidR="0070292F" w:rsidRPr="0070292F">
        <w:rPr>
          <w:rFonts w:eastAsia="Cambria"/>
          <w:lang w:val="fr-FR"/>
        </w:rPr>
        <w:t>’</w:t>
      </w:r>
      <w:r w:rsidR="007E4B6A" w:rsidRPr="0070292F">
        <w:rPr>
          <w:rFonts w:eastAsia="Cambria"/>
          <w:lang w:val="fr-FR"/>
        </w:rPr>
        <w:t>article 25, alinéa 2, de la Constitution en ce qu</w:t>
      </w:r>
      <w:r w:rsidR="0070292F" w:rsidRPr="0070292F">
        <w:rPr>
          <w:rFonts w:eastAsia="Cambria"/>
          <w:lang w:val="fr-FR"/>
        </w:rPr>
        <w:t>’</w:t>
      </w:r>
      <w:r w:rsidR="007E4B6A" w:rsidRPr="0070292F">
        <w:rPr>
          <w:rFonts w:eastAsia="Cambria"/>
          <w:lang w:val="fr-FR"/>
        </w:rPr>
        <w:t xml:space="preserve">il sanctionnait pénalement le non-respect de </w:t>
      </w:r>
      <w:r w:rsidR="00B72772" w:rsidRPr="0070292F">
        <w:rPr>
          <w:rFonts w:eastAsia="Cambria"/>
          <w:lang w:val="fr-FR"/>
        </w:rPr>
        <w:t>l</w:t>
      </w:r>
      <w:r w:rsidR="0070292F" w:rsidRPr="0070292F">
        <w:rPr>
          <w:rFonts w:eastAsia="Cambria"/>
          <w:lang w:val="fr-FR"/>
        </w:rPr>
        <w:t>’</w:t>
      </w:r>
      <w:r w:rsidR="00B72772" w:rsidRPr="0070292F">
        <w:rPr>
          <w:rFonts w:eastAsia="Cambria"/>
          <w:lang w:val="fr-FR"/>
        </w:rPr>
        <w:t>obligation formulée à</w:t>
      </w:r>
      <w:r w:rsidR="007E4B6A" w:rsidRPr="0070292F">
        <w:rPr>
          <w:rFonts w:eastAsia="Cambria"/>
          <w:lang w:val="fr-FR"/>
        </w:rPr>
        <w:t xml:space="preserve"> l</w:t>
      </w:r>
      <w:r w:rsidR="0070292F" w:rsidRPr="0070292F">
        <w:rPr>
          <w:rFonts w:eastAsia="Cambria"/>
          <w:lang w:val="fr-FR"/>
        </w:rPr>
        <w:t>’</w:t>
      </w:r>
      <w:r w:rsidR="007E4B6A" w:rsidRPr="0070292F">
        <w:rPr>
          <w:rFonts w:eastAsia="Cambria"/>
          <w:lang w:val="fr-FR"/>
        </w:rPr>
        <w:t xml:space="preserve">article 5, alinéa 3, </w:t>
      </w:r>
      <w:r w:rsidR="009F7E18" w:rsidRPr="0070292F">
        <w:rPr>
          <w:rFonts w:eastAsia="Cambria"/>
          <w:lang w:val="fr-FR"/>
        </w:rPr>
        <w:t>première partie, de la</w:t>
      </w:r>
      <w:r w:rsidR="001D1830" w:rsidRPr="0070292F">
        <w:rPr>
          <w:rFonts w:eastAsia="Cambria"/>
          <w:lang w:val="fr-FR"/>
        </w:rPr>
        <w:t xml:space="preserve">dite </w:t>
      </w:r>
      <w:r w:rsidR="009F7E18" w:rsidRPr="0070292F">
        <w:rPr>
          <w:rFonts w:eastAsia="Cambria"/>
          <w:lang w:val="fr-FR"/>
        </w:rPr>
        <w:t xml:space="preserve">loi, </w:t>
      </w:r>
      <w:r w:rsidR="007E4B6A" w:rsidRPr="0070292F">
        <w:rPr>
          <w:rFonts w:eastAsia="Cambria"/>
          <w:lang w:val="fr-FR"/>
        </w:rPr>
        <w:t>à savoir de « vivre honnêtement</w:t>
      </w:r>
      <w:r w:rsidR="00B2003E" w:rsidRPr="0070292F">
        <w:rPr>
          <w:rFonts w:eastAsia="Cambria"/>
          <w:lang w:val="fr-FR"/>
        </w:rPr>
        <w:t xml:space="preserve"> et dans le </w:t>
      </w:r>
      <w:r w:rsidR="007E4B6A" w:rsidRPr="0070292F">
        <w:rPr>
          <w:rFonts w:eastAsia="Cambria"/>
          <w:lang w:val="fr-FR"/>
        </w:rPr>
        <w:t>respect</w:t>
      </w:r>
      <w:r w:rsidR="00B2003E" w:rsidRPr="0070292F">
        <w:rPr>
          <w:rFonts w:eastAsia="Cambria"/>
          <w:lang w:val="fr-FR"/>
        </w:rPr>
        <w:t xml:space="preserve"> des</w:t>
      </w:r>
      <w:r w:rsidR="007E4B6A" w:rsidRPr="0070292F">
        <w:rPr>
          <w:rFonts w:eastAsia="Cambria"/>
          <w:lang w:val="fr-FR"/>
        </w:rPr>
        <w:t xml:space="preserve"> lois et de ne pas prêter à soupçon », et </w:t>
      </w:r>
      <w:r w:rsidR="00FA6A84" w:rsidRPr="0070292F">
        <w:rPr>
          <w:rFonts w:eastAsia="Cambria"/>
          <w:lang w:val="fr-FR"/>
        </w:rPr>
        <w:t>s</w:t>
      </w:r>
      <w:r w:rsidR="0070292F" w:rsidRPr="0070292F">
        <w:rPr>
          <w:rFonts w:eastAsia="Cambria"/>
          <w:lang w:val="fr-FR"/>
        </w:rPr>
        <w:t>’</w:t>
      </w:r>
      <w:r w:rsidR="00FA6A84" w:rsidRPr="0070292F">
        <w:rPr>
          <w:rFonts w:eastAsia="Cambria"/>
          <w:lang w:val="fr-FR"/>
        </w:rPr>
        <w:t xml:space="preserve">il </w:t>
      </w:r>
      <w:r w:rsidR="007E4B6A" w:rsidRPr="0070292F">
        <w:rPr>
          <w:rFonts w:eastAsia="Cambria"/>
          <w:lang w:val="fr-FR"/>
        </w:rPr>
        <w:t xml:space="preserve">violait le principe de la prévision législative exhaustive des situations </w:t>
      </w:r>
      <w:r w:rsidR="003939C2" w:rsidRPr="0070292F">
        <w:rPr>
          <w:rFonts w:eastAsia="Cambria"/>
          <w:lang w:val="fr-FR"/>
        </w:rPr>
        <w:t xml:space="preserve">où </w:t>
      </w:r>
      <w:r w:rsidR="007E4B6A" w:rsidRPr="0070292F">
        <w:rPr>
          <w:rFonts w:eastAsia="Cambria"/>
          <w:lang w:val="fr-FR"/>
        </w:rPr>
        <w:t>la norme pénale trouve à s</w:t>
      </w:r>
      <w:r w:rsidR="0070292F" w:rsidRPr="0070292F">
        <w:rPr>
          <w:rFonts w:eastAsia="Cambria"/>
          <w:lang w:val="fr-FR"/>
        </w:rPr>
        <w:t>’</w:t>
      </w:r>
      <w:r w:rsidR="007E4B6A" w:rsidRPr="0070292F">
        <w:rPr>
          <w:rFonts w:eastAsia="Cambria"/>
          <w:lang w:val="fr-FR"/>
        </w:rPr>
        <w:t>appliquer</w:t>
      </w:r>
      <w:r w:rsidR="00EF54BC" w:rsidRPr="0070292F">
        <w:rPr>
          <w:rFonts w:eastAsia="Cambria"/>
          <w:lang w:val="fr-FR"/>
        </w:rPr>
        <w:t xml:space="preserve"> (</w:t>
      </w:r>
      <w:r w:rsidR="00EF54BC" w:rsidRPr="0070292F">
        <w:rPr>
          <w:rFonts w:eastAsia="Cambria"/>
          <w:i/>
          <w:lang w:val="fr-FR"/>
        </w:rPr>
        <w:t>principio di tassatività</w:t>
      </w:r>
      <w:r w:rsidR="00EF54BC" w:rsidRPr="0070292F">
        <w:rPr>
          <w:rFonts w:eastAsia="Cambria"/>
          <w:lang w:val="fr-FR"/>
        </w:rPr>
        <w:t>).</w:t>
      </w:r>
    </w:p>
    <w:p w:rsidR="00716F51" w:rsidRPr="0070292F" w:rsidRDefault="00716F51" w:rsidP="0070292F">
      <w:pPr>
        <w:pStyle w:val="ECHRPara"/>
        <w:rPr>
          <w:rFonts w:eastAsia="Cambria"/>
          <w:lang w:val="fr-FR"/>
        </w:rPr>
      </w:pPr>
      <w:r w:rsidRPr="0070292F">
        <w:rPr>
          <w:rFonts w:eastAsia="Cambria"/>
          <w:lang w:val="fr-FR"/>
        </w:rPr>
        <w:fldChar w:fldCharType="begin"/>
      </w:r>
      <w:r w:rsidRPr="0070292F">
        <w:rPr>
          <w:rFonts w:eastAsia="Cambria"/>
          <w:lang w:val="fr-FR"/>
        </w:rPr>
        <w:instrText xml:space="preserve"> SEQ level0 \*arabic </w:instrText>
      </w:r>
      <w:r w:rsidRPr="0070292F">
        <w:rPr>
          <w:rFonts w:eastAsia="Cambria"/>
          <w:lang w:val="fr-FR"/>
        </w:rPr>
        <w:fldChar w:fldCharType="separate"/>
      </w:r>
      <w:r w:rsidR="0070292F" w:rsidRPr="0070292F">
        <w:rPr>
          <w:rFonts w:eastAsia="Cambria"/>
          <w:noProof/>
          <w:lang w:val="fr-FR"/>
        </w:rPr>
        <w:t>58</w:t>
      </w:r>
      <w:r w:rsidRPr="0070292F">
        <w:rPr>
          <w:rFonts w:eastAsia="Cambria"/>
          <w:lang w:val="fr-FR"/>
        </w:rPr>
        <w:fldChar w:fldCharType="end"/>
      </w:r>
      <w:r w:rsidRPr="0070292F">
        <w:rPr>
          <w:rFonts w:eastAsia="Cambria"/>
          <w:lang w:val="fr-FR"/>
        </w:rPr>
        <w:t>.  </w:t>
      </w:r>
      <w:r w:rsidR="00965BF9" w:rsidRPr="0070292F">
        <w:rPr>
          <w:rFonts w:eastAsia="Cambria"/>
          <w:lang w:val="fr-FR"/>
        </w:rPr>
        <w:t>L</w:t>
      </w:r>
      <w:r w:rsidR="007E4B6A" w:rsidRPr="0070292F">
        <w:rPr>
          <w:rFonts w:eastAsia="Cambria"/>
          <w:lang w:val="fr-FR"/>
        </w:rPr>
        <w:t xml:space="preserve">a juridiction </w:t>
      </w:r>
      <w:r w:rsidR="00965BF9" w:rsidRPr="0070292F">
        <w:rPr>
          <w:rFonts w:eastAsia="Cambria"/>
          <w:lang w:val="fr-FR"/>
        </w:rPr>
        <w:t>qui avait saisi la Cour constitutionnelle estimait que</w:t>
      </w:r>
      <w:r w:rsidR="007E4B6A" w:rsidRPr="0070292F">
        <w:rPr>
          <w:rFonts w:eastAsia="Cambria"/>
          <w:lang w:val="fr-FR"/>
        </w:rPr>
        <w:t xml:space="preserve"> l</w:t>
      </w:r>
      <w:r w:rsidR="0070292F" w:rsidRPr="0070292F">
        <w:rPr>
          <w:rFonts w:eastAsia="Cambria"/>
          <w:lang w:val="fr-FR"/>
        </w:rPr>
        <w:t>’</w:t>
      </w:r>
      <w:r w:rsidR="007E4B6A" w:rsidRPr="0070292F">
        <w:rPr>
          <w:rFonts w:eastAsia="Cambria"/>
          <w:lang w:val="fr-FR"/>
        </w:rPr>
        <w:t>obligation de vivre honnêtement</w:t>
      </w:r>
      <w:r w:rsidR="00B2003E" w:rsidRPr="0070292F">
        <w:rPr>
          <w:rFonts w:eastAsia="Cambria"/>
          <w:lang w:val="fr-FR"/>
        </w:rPr>
        <w:t xml:space="preserve"> et dans le </w:t>
      </w:r>
      <w:r w:rsidR="007E4B6A" w:rsidRPr="0070292F">
        <w:rPr>
          <w:rFonts w:eastAsia="Cambria"/>
          <w:lang w:val="fr-FR"/>
        </w:rPr>
        <w:t>respect</w:t>
      </w:r>
      <w:r w:rsidR="00520978" w:rsidRPr="0070292F">
        <w:rPr>
          <w:rFonts w:eastAsia="Cambria"/>
          <w:lang w:val="fr-FR"/>
        </w:rPr>
        <w:t xml:space="preserve"> </w:t>
      </w:r>
      <w:r w:rsidR="00B2003E" w:rsidRPr="0070292F">
        <w:rPr>
          <w:rFonts w:eastAsia="Cambria"/>
          <w:lang w:val="fr-FR"/>
        </w:rPr>
        <w:t>d</w:t>
      </w:r>
      <w:r w:rsidR="007E4B6A" w:rsidRPr="0070292F">
        <w:rPr>
          <w:rFonts w:eastAsia="Cambria"/>
          <w:lang w:val="fr-FR"/>
        </w:rPr>
        <w:t xml:space="preserve">es lois et de ne pas prêter à soupçon, tout en étant comprise dans les </w:t>
      </w:r>
      <w:r w:rsidR="00965BF9" w:rsidRPr="0070292F">
        <w:rPr>
          <w:rFonts w:eastAsia="Cambria"/>
          <w:lang w:val="fr-FR"/>
        </w:rPr>
        <w:t>conditions</w:t>
      </w:r>
      <w:r w:rsidR="007E4B6A" w:rsidRPr="0070292F">
        <w:rPr>
          <w:rFonts w:eastAsia="Cambria"/>
          <w:lang w:val="fr-FR"/>
        </w:rPr>
        <w:t xml:space="preserve"> imposées à la personne </w:t>
      </w:r>
      <w:r w:rsidR="00FA6A84" w:rsidRPr="0070292F">
        <w:rPr>
          <w:rFonts w:eastAsia="Cambria"/>
          <w:lang w:val="fr-FR"/>
        </w:rPr>
        <w:t>soumise à une</w:t>
      </w:r>
      <w:r w:rsidR="007E4B6A" w:rsidRPr="0070292F">
        <w:rPr>
          <w:rFonts w:eastAsia="Cambria"/>
          <w:lang w:val="fr-FR"/>
        </w:rPr>
        <w:t xml:space="preserve"> surveillance spéciale, constituait une obligation de caractère général </w:t>
      </w:r>
      <w:r w:rsidR="00FA6A84" w:rsidRPr="0070292F">
        <w:rPr>
          <w:rFonts w:eastAsia="Cambria"/>
          <w:lang w:val="fr-FR"/>
        </w:rPr>
        <w:t>applicable à</w:t>
      </w:r>
      <w:r w:rsidR="007E4B6A" w:rsidRPr="0070292F">
        <w:rPr>
          <w:rFonts w:eastAsia="Cambria"/>
          <w:lang w:val="fr-FR"/>
        </w:rPr>
        <w:t xml:space="preserve"> l</w:t>
      </w:r>
      <w:r w:rsidR="0070292F" w:rsidRPr="0070292F">
        <w:rPr>
          <w:rFonts w:eastAsia="Cambria"/>
          <w:lang w:val="fr-FR"/>
        </w:rPr>
        <w:t>’</w:t>
      </w:r>
      <w:r w:rsidR="007E4B6A" w:rsidRPr="0070292F">
        <w:rPr>
          <w:rFonts w:eastAsia="Cambria"/>
          <w:lang w:val="fr-FR"/>
        </w:rPr>
        <w:t xml:space="preserve">ensemble de la collectivité et </w:t>
      </w:r>
      <w:r w:rsidR="00FA6A84" w:rsidRPr="0070292F">
        <w:rPr>
          <w:rFonts w:eastAsia="Cambria"/>
          <w:lang w:val="fr-FR"/>
        </w:rPr>
        <w:t>non</w:t>
      </w:r>
      <w:r w:rsidR="007E4B6A" w:rsidRPr="0070292F">
        <w:rPr>
          <w:rFonts w:eastAsia="Cambria"/>
          <w:lang w:val="fr-FR"/>
        </w:rPr>
        <w:t xml:space="preserve"> pas spécifiquement à la personne </w:t>
      </w:r>
      <w:r w:rsidR="00965BF9" w:rsidRPr="0070292F">
        <w:rPr>
          <w:rFonts w:eastAsia="Cambria"/>
          <w:lang w:val="fr-FR"/>
        </w:rPr>
        <w:t>concernée</w:t>
      </w:r>
      <w:r w:rsidR="007E4B6A" w:rsidRPr="0070292F">
        <w:rPr>
          <w:rFonts w:eastAsia="Cambria"/>
          <w:lang w:val="fr-FR"/>
        </w:rPr>
        <w:t xml:space="preserve">. </w:t>
      </w:r>
      <w:r w:rsidR="00965BF9" w:rsidRPr="0070292F">
        <w:rPr>
          <w:rFonts w:eastAsia="Cambria"/>
          <w:lang w:val="fr-FR"/>
        </w:rPr>
        <w:t xml:space="preserve">Ladite </w:t>
      </w:r>
      <w:r w:rsidR="00FA6A84" w:rsidRPr="0070292F">
        <w:rPr>
          <w:rFonts w:eastAsia="Cambria"/>
          <w:lang w:val="fr-FR"/>
        </w:rPr>
        <w:t xml:space="preserve">juridiction </w:t>
      </w:r>
      <w:r w:rsidR="00965BF9" w:rsidRPr="0070292F">
        <w:rPr>
          <w:rFonts w:eastAsia="Cambria"/>
          <w:lang w:val="fr-FR"/>
        </w:rPr>
        <w:t xml:space="preserve">considérait donc que, </w:t>
      </w:r>
      <w:r w:rsidR="004231C1" w:rsidRPr="0070292F">
        <w:rPr>
          <w:rFonts w:eastAsia="Cambria"/>
          <w:lang w:val="fr-FR"/>
        </w:rPr>
        <w:t>de par</w:t>
      </w:r>
      <w:r w:rsidR="007E4B6A" w:rsidRPr="0070292F">
        <w:rPr>
          <w:rFonts w:eastAsia="Cambria"/>
          <w:lang w:val="fr-FR"/>
        </w:rPr>
        <w:t xml:space="preserve"> sa portée générale</w:t>
      </w:r>
      <w:r w:rsidR="003939C2" w:rsidRPr="0070292F">
        <w:rPr>
          <w:rFonts w:eastAsia="Cambria"/>
          <w:lang w:val="fr-FR"/>
        </w:rPr>
        <w:t xml:space="preserve"> précisément</w:t>
      </w:r>
      <w:r w:rsidR="00965BF9" w:rsidRPr="0070292F">
        <w:rPr>
          <w:rFonts w:eastAsia="Cambria"/>
          <w:lang w:val="fr-FR"/>
        </w:rPr>
        <w:t>,</w:t>
      </w:r>
      <w:r w:rsidR="007E4B6A" w:rsidRPr="0070292F">
        <w:rPr>
          <w:rFonts w:eastAsia="Cambria"/>
          <w:lang w:val="fr-FR"/>
        </w:rPr>
        <w:t xml:space="preserve"> l</w:t>
      </w:r>
      <w:r w:rsidR="0070292F" w:rsidRPr="0070292F">
        <w:rPr>
          <w:rFonts w:eastAsia="Cambria"/>
          <w:lang w:val="fr-FR"/>
        </w:rPr>
        <w:t>’</w:t>
      </w:r>
      <w:r w:rsidR="007E4B6A" w:rsidRPr="0070292F">
        <w:rPr>
          <w:rFonts w:eastAsia="Cambria"/>
          <w:lang w:val="fr-FR"/>
        </w:rPr>
        <w:t xml:space="preserve">obligation </w:t>
      </w:r>
      <w:r w:rsidR="003939C2" w:rsidRPr="0070292F">
        <w:rPr>
          <w:rFonts w:eastAsia="Cambria"/>
          <w:lang w:val="fr-FR"/>
        </w:rPr>
        <w:t>en question</w:t>
      </w:r>
      <w:r w:rsidR="007E4B6A" w:rsidRPr="0070292F">
        <w:rPr>
          <w:rFonts w:eastAsia="Cambria"/>
          <w:lang w:val="fr-FR"/>
        </w:rPr>
        <w:t xml:space="preserve"> ne </w:t>
      </w:r>
      <w:r w:rsidR="003939C2" w:rsidRPr="0070292F">
        <w:rPr>
          <w:rFonts w:eastAsia="Cambria"/>
          <w:lang w:val="fr-FR"/>
        </w:rPr>
        <w:t>pouvait</w:t>
      </w:r>
      <w:r w:rsidR="007E4B6A" w:rsidRPr="0070292F">
        <w:rPr>
          <w:rFonts w:eastAsia="Cambria"/>
          <w:lang w:val="fr-FR"/>
        </w:rPr>
        <w:t xml:space="preserve"> pas constituer une </w:t>
      </w:r>
      <w:r w:rsidR="003939C2" w:rsidRPr="0070292F">
        <w:rPr>
          <w:rFonts w:eastAsia="Cambria"/>
          <w:lang w:val="fr-FR"/>
        </w:rPr>
        <w:t>condition</w:t>
      </w:r>
      <w:r w:rsidR="007E4B6A" w:rsidRPr="0070292F">
        <w:rPr>
          <w:rFonts w:eastAsia="Cambria"/>
          <w:lang w:val="fr-FR"/>
        </w:rPr>
        <w:t xml:space="preserve"> </w:t>
      </w:r>
      <w:r w:rsidR="00520978" w:rsidRPr="0070292F">
        <w:rPr>
          <w:rFonts w:eastAsia="Cambria"/>
          <w:lang w:val="fr-FR"/>
        </w:rPr>
        <w:t xml:space="preserve">à </w:t>
      </w:r>
      <w:r w:rsidR="007E4B6A" w:rsidRPr="0070292F">
        <w:rPr>
          <w:rFonts w:eastAsia="Cambria"/>
          <w:lang w:val="fr-FR"/>
        </w:rPr>
        <w:t>contenu</w:t>
      </w:r>
      <w:r w:rsidR="003939C2" w:rsidRPr="0070292F">
        <w:rPr>
          <w:rFonts w:eastAsia="Cambria"/>
          <w:lang w:val="fr-FR"/>
        </w:rPr>
        <w:t xml:space="preserve"> prescriptif, </w:t>
      </w:r>
      <w:r w:rsidR="007E4B6A" w:rsidRPr="0070292F">
        <w:rPr>
          <w:rFonts w:eastAsia="Cambria"/>
          <w:lang w:val="fr-FR"/>
        </w:rPr>
        <w:t xml:space="preserve">typique et spécifique </w:t>
      </w:r>
      <w:r w:rsidR="00520978" w:rsidRPr="0070292F">
        <w:rPr>
          <w:rFonts w:eastAsia="Cambria"/>
          <w:lang w:val="fr-FR"/>
        </w:rPr>
        <w:t xml:space="preserve">associée </w:t>
      </w:r>
      <w:r w:rsidR="007E4B6A" w:rsidRPr="0070292F">
        <w:rPr>
          <w:rFonts w:eastAsia="Cambria"/>
          <w:lang w:val="fr-FR"/>
        </w:rPr>
        <w:t xml:space="preserve">à la mesure de surveillance spéciale, dès lors </w:t>
      </w:r>
      <w:r w:rsidR="001D1830" w:rsidRPr="0070292F">
        <w:rPr>
          <w:rFonts w:eastAsia="Cambria"/>
          <w:lang w:val="fr-FR"/>
        </w:rPr>
        <w:t xml:space="preserve">pour elle </w:t>
      </w:r>
      <w:r w:rsidR="007E4B6A" w:rsidRPr="0070292F">
        <w:rPr>
          <w:rFonts w:eastAsia="Cambria"/>
          <w:lang w:val="fr-FR"/>
        </w:rPr>
        <w:t>qu</w:t>
      </w:r>
      <w:r w:rsidR="0070292F" w:rsidRPr="0070292F">
        <w:rPr>
          <w:rFonts w:eastAsia="Cambria"/>
          <w:lang w:val="fr-FR"/>
        </w:rPr>
        <w:t>’</w:t>
      </w:r>
      <w:r w:rsidR="007E4B6A" w:rsidRPr="0070292F">
        <w:rPr>
          <w:rFonts w:eastAsia="Cambria"/>
          <w:lang w:val="fr-FR"/>
        </w:rPr>
        <w:t xml:space="preserve">il </w:t>
      </w:r>
      <w:r w:rsidR="003939C2" w:rsidRPr="0070292F">
        <w:rPr>
          <w:rFonts w:eastAsia="Cambria"/>
          <w:lang w:val="fr-FR"/>
        </w:rPr>
        <w:t>n</w:t>
      </w:r>
      <w:r w:rsidR="0070292F" w:rsidRPr="0070292F">
        <w:rPr>
          <w:rFonts w:eastAsia="Cambria"/>
          <w:lang w:val="fr-FR"/>
        </w:rPr>
        <w:t>’</w:t>
      </w:r>
      <w:r w:rsidR="003939C2" w:rsidRPr="0070292F">
        <w:rPr>
          <w:rFonts w:eastAsia="Cambria"/>
          <w:lang w:val="fr-FR"/>
        </w:rPr>
        <w:t xml:space="preserve">était </w:t>
      </w:r>
      <w:r w:rsidR="007E4B6A" w:rsidRPr="0070292F">
        <w:rPr>
          <w:rFonts w:eastAsia="Cambria"/>
          <w:lang w:val="fr-FR"/>
        </w:rPr>
        <w:t xml:space="preserve">pas possible de déterminer avec précision la conduite </w:t>
      </w:r>
      <w:r w:rsidR="00D83129" w:rsidRPr="0070292F">
        <w:rPr>
          <w:rFonts w:eastAsia="Cambria"/>
          <w:lang w:val="fr-FR"/>
        </w:rPr>
        <w:t>susceptible d</w:t>
      </w:r>
      <w:r w:rsidR="0070292F" w:rsidRPr="0070292F">
        <w:rPr>
          <w:rFonts w:eastAsia="Cambria"/>
          <w:lang w:val="fr-FR"/>
        </w:rPr>
        <w:t>’</w:t>
      </w:r>
      <w:r w:rsidR="00D83129" w:rsidRPr="0070292F">
        <w:rPr>
          <w:rFonts w:eastAsia="Cambria"/>
          <w:lang w:val="fr-FR"/>
        </w:rPr>
        <w:t xml:space="preserve">enfreindre les exigences liées à </w:t>
      </w:r>
      <w:r w:rsidR="007E4B6A" w:rsidRPr="0070292F">
        <w:rPr>
          <w:rFonts w:eastAsia="Cambria"/>
          <w:lang w:val="fr-FR"/>
        </w:rPr>
        <w:t xml:space="preserve">la surveillance spéciale, compte tenu du caractère vague et </w:t>
      </w:r>
      <w:r w:rsidR="00332C8B" w:rsidRPr="0070292F">
        <w:rPr>
          <w:rFonts w:eastAsia="Cambria"/>
          <w:lang w:val="fr-FR"/>
        </w:rPr>
        <w:t>imprécis</w:t>
      </w:r>
      <w:r w:rsidR="007E4B6A" w:rsidRPr="0070292F">
        <w:rPr>
          <w:rFonts w:eastAsia="Cambria"/>
          <w:lang w:val="fr-FR"/>
        </w:rPr>
        <w:t xml:space="preserve"> des éléments </w:t>
      </w:r>
      <w:r w:rsidR="00D83129" w:rsidRPr="0070292F">
        <w:rPr>
          <w:rFonts w:eastAsia="Cambria"/>
          <w:lang w:val="fr-FR"/>
        </w:rPr>
        <w:t xml:space="preserve">entrant dans la </w:t>
      </w:r>
      <w:r w:rsidR="007E4B6A" w:rsidRPr="0070292F">
        <w:rPr>
          <w:rFonts w:eastAsia="Cambria"/>
          <w:lang w:val="fr-FR"/>
        </w:rPr>
        <w:t>défini</w:t>
      </w:r>
      <w:r w:rsidR="00D83129" w:rsidRPr="0070292F">
        <w:rPr>
          <w:rFonts w:eastAsia="Cambria"/>
          <w:lang w:val="fr-FR"/>
        </w:rPr>
        <w:t>tion de</w:t>
      </w:r>
      <w:r w:rsidR="007E4B6A" w:rsidRPr="0070292F">
        <w:rPr>
          <w:rFonts w:eastAsia="Cambria"/>
          <w:lang w:val="fr-FR"/>
        </w:rPr>
        <w:t xml:space="preserve"> cette infraction</w:t>
      </w:r>
      <w:r w:rsidR="00EF54BC" w:rsidRPr="0070292F">
        <w:rPr>
          <w:rFonts w:eastAsia="Cambria"/>
          <w:lang w:val="fr-FR"/>
        </w:rPr>
        <w:t>.</w:t>
      </w:r>
    </w:p>
    <w:p w:rsidR="00716F51" w:rsidRPr="0070292F" w:rsidRDefault="00716F51" w:rsidP="0070292F">
      <w:pPr>
        <w:pStyle w:val="ECHRPara"/>
        <w:rPr>
          <w:rFonts w:eastAsia="Cambria"/>
          <w:lang w:val="fr-FR"/>
        </w:rPr>
      </w:pPr>
      <w:r w:rsidRPr="0070292F">
        <w:rPr>
          <w:rFonts w:eastAsia="Cambria"/>
          <w:lang w:val="fr-FR"/>
        </w:rPr>
        <w:fldChar w:fldCharType="begin"/>
      </w:r>
      <w:r w:rsidRPr="0070292F">
        <w:rPr>
          <w:rFonts w:eastAsia="Cambria"/>
          <w:lang w:val="fr-FR"/>
        </w:rPr>
        <w:instrText xml:space="preserve"> SEQ level0 \*arabic </w:instrText>
      </w:r>
      <w:r w:rsidRPr="0070292F">
        <w:rPr>
          <w:rFonts w:eastAsia="Cambria"/>
          <w:lang w:val="fr-FR"/>
        </w:rPr>
        <w:fldChar w:fldCharType="separate"/>
      </w:r>
      <w:r w:rsidR="0070292F" w:rsidRPr="0070292F">
        <w:rPr>
          <w:rFonts w:eastAsia="Cambria"/>
          <w:noProof/>
          <w:lang w:val="fr-FR"/>
        </w:rPr>
        <w:t>59</w:t>
      </w:r>
      <w:r w:rsidRPr="0070292F">
        <w:rPr>
          <w:rFonts w:eastAsia="Cambria"/>
          <w:lang w:val="fr-FR"/>
        </w:rPr>
        <w:fldChar w:fldCharType="end"/>
      </w:r>
      <w:r w:rsidRPr="0070292F">
        <w:rPr>
          <w:rFonts w:eastAsia="Cambria"/>
          <w:lang w:val="fr-FR"/>
        </w:rPr>
        <w:t>.  </w:t>
      </w:r>
      <w:r w:rsidR="00520978" w:rsidRPr="0070292F">
        <w:rPr>
          <w:rFonts w:eastAsia="Cambria"/>
          <w:lang w:val="fr-FR"/>
        </w:rPr>
        <w:t>Pour</w:t>
      </w:r>
      <w:r w:rsidR="007E4B6A" w:rsidRPr="0070292F">
        <w:rPr>
          <w:rFonts w:eastAsia="Cambria"/>
          <w:lang w:val="fr-FR"/>
        </w:rPr>
        <w:t xml:space="preserve"> la Cour constitutionnelle, </w:t>
      </w:r>
      <w:r w:rsidR="00520978" w:rsidRPr="0070292F">
        <w:rPr>
          <w:rFonts w:eastAsia="Cambria"/>
          <w:lang w:val="fr-FR"/>
        </w:rPr>
        <w:t xml:space="preserve">que </w:t>
      </w:r>
      <w:r w:rsidR="007E4B6A" w:rsidRPr="0070292F">
        <w:rPr>
          <w:rFonts w:eastAsia="Cambria"/>
          <w:lang w:val="fr-FR"/>
        </w:rPr>
        <w:t>la descripti</w:t>
      </w:r>
      <w:r w:rsidR="00CA71D1" w:rsidRPr="0070292F">
        <w:rPr>
          <w:rFonts w:eastAsia="Cambria"/>
          <w:lang w:val="fr-FR"/>
        </w:rPr>
        <w:t>on</w:t>
      </w:r>
      <w:r w:rsidR="007E4B6A" w:rsidRPr="0070292F">
        <w:rPr>
          <w:rFonts w:eastAsia="Cambria"/>
          <w:lang w:val="fr-FR"/>
        </w:rPr>
        <w:t xml:space="preserve"> de l</w:t>
      </w:r>
      <w:r w:rsidR="0070292F" w:rsidRPr="0070292F">
        <w:rPr>
          <w:rFonts w:eastAsia="Cambria"/>
          <w:lang w:val="fr-FR"/>
        </w:rPr>
        <w:t>’</w:t>
      </w:r>
      <w:r w:rsidR="007E4B6A" w:rsidRPr="0070292F">
        <w:rPr>
          <w:rFonts w:eastAsia="Cambria"/>
          <w:lang w:val="fr-FR"/>
        </w:rPr>
        <w:t>infraction</w:t>
      </w:r>
      <w:r w:rsidR="00CA71D1" w:rsidRPr="0070292F">
        <w:rPr>
          <w:rFonts w:eastAsia="Cambria"/>
          <w:lang w:val="fr-FR"/>
        </w:rPr>
        <w:t xml:space="preserve"> en question</w:t>
      </w:r>
      <w:r w:rsidR="00520978" w:rsidRPr="0070292F">
        <w:rPr>
          <w:rFonts w:eastAsia="Cambria"/>
          <w:lang w:val="fr-FR"/>
        </w:rPr>
        <w:t xml:space="preserve"> contînt des e</w:t>
      </w:r>
      <w:r w:rsidR="00CA71D1" w:rsidRPr="0070292F">
        <w:rPr>
          <w:rFonts w:eastAsia="Cambria"/>
          <w:lang w:val="fr-FR"/>
        </w:rPr>
        <w:t>xpressions sommaires, de</w:t>
      </w:r>
      <w:r w:rsidR="00520978" w:rsidRPr="0070292F">
        <w:rPr>
          <w:rFonts w:eastAsia="Cambria"/>
          <w:lang w:val="fr-FR"/>
        </w:rPr>
        <w:t>s</w:t>
      </w:r>
      <w:r w:rsidR="00CA71D1" w:rsidRPr="0070292F">
        <w:rPr>
          <w:rFonts w:eastAsia="Cambria"/>
          <w:lang w:val="fr-FR"/>
        </w:rPr>
        <w:t xml:space="preserve"> termes à sens multiples, </w:t>
      </w:r>
      <w:r w:rsidR="007E4B6A" w:rsidRPr="0070292F">
        <w:rPr>
          <w:rFonts w:eastAsia="Cambria"/>
          <w:lang w:val="fr-FR"/>
        </w:rPr>
        <w:t>de</w:t>
      </w:r>
      <w:r w:rsidR="00520978" w:rsidRPr="0070292F">
        <w:rPr>
          <w:rFonts w:eastAsia="Cambria"/>
          <w:lang w:val="fr-FR"/>
        </w:rPr>
        <w:t>s</w:t>
      </w:r>
      <w:r w:rsidR="007E4B6A" w:rsidRPr="0070292F">
        <w:rPr>
          <w:rFonts w:eastAsia="Cambria"/>
          <w:lang w:val="fr-FR"/>
        </w:rPr>
        <w:t xml:space="preserve"> clauses générales ou de</w:t>
      </w:r>
      <w:r w:rsidR="00520978" w:rsidRPr="0070292F">
        <w:rPr>
          <w:rFonts w:eastAsia="Cambria"/>
          <w:lang w:val="fr-FR"/>
        </w:rPr>
        <w:t>s</w:t>
      </w:r>
      <w:r w:rsidR="007E4B6A" w:rsidRPr="0070292F">
        <w:rPr>
          <w:rFonts w:eastAsia="Cambria"/>
          <w:lang w:val="fr-FR"/>
        </w:rPr>
        <w:t xml:space="preserve"> </w:t>
      </w:r>
      <w:r w:rsidR="004231C1" w:rsidRPr="0070292F">
        <w:rPr>
          <w:rFonts w:eastAsia="Cambria"/>
          <w:lang w:val="fr-FR"/>
        </w:rPr>
        <w:t>notions</w:t>
      </w:r>
      <w:r w:rsidR="007E4B6A" w:rsidRPr="0070292F">
        <w:rPr>
          <w:rFonts w:eastAsia="Cambria"/>
          <w:lang w:val="fr-FR"/>
        </w:rPr>
        <w:t xml:space="preserve"> élastiques n</w:t>
      </w:r>
      <w:r w:rsidR="0070292F" w:rsidRPr="0070292F">
        <w:rPr>
          <w:rFonts w:eastAsia="Cambria"/>
          <w:lang w:val="fr-FR"/>
        </w:rPr>
        <w:t>’</w:t>
      </w:r>
      <w:r w:rsidR="007E4B6A" w:rsidRPr="0070292F">
        <w:rPr>
          <w:rFonts w:eastAsia="Cambria"/>
          <w:lang w:val="fr-FR"/>
        </w:rPr>
        <w:t>emport</w:t>
      </w:r>
      <w:r w:rsidR="00CA71D1" w:rsidRPr="0070292F">
        <w:rPr>
          <w:rFonts w:eastAsia="Cambria"/>
          <w:lang w:val="fr-FR"/>
        </w:rPr>
        <w:t>ait</w:t>
      </w:r>
      <w:r w:rsidR="007E4B6A" w:rsidRPr="0070292F">
        <w:rPr>
          <w:rFonts w:eastAsia="Cambria"/>
          <w:lang w:val="fr-FR"/>
        </w:rPr>
        <w:t xml:space="preserve"> pas violation </w:t>
      </w:r>
      <w:r w:rsidR="00CA71D1" w:rsidRPr="0070292F">
        <w:rPr>
          <w:rFonts w:eastAsia="Cambria"/>
          <w:lang w:val="fr-FR"/>
        </w:rPr>
        <w:t>de l</w:t>
      </w:r>
      <w:r w:rsidR="0070292F" w:rsidRPr="0070292F">
        <w:rPr>
          <w:rFonts w:eastAsia="Cambria"/>
          <w:lang w:val="fr-FR"/>
        </w:rPr>
        <w:t>’</w:t>
      </w:r>
      <w:r w:rsidR="00CA71D1" w:rsidRPr="0070292F">
        <w:rPr>
          <w:rFonts w:eastAsia="Cambria"/>
          <w:lang w:val="fr-FR"/>
        </w:rPr>
        <w:t>article 25, alinéa 2, de la Constitution</w:t>
      </w:r>
      <w:r w:rsidR="00765229" w:rsidRPr="0070292F">
        <w:rPr>
          <w:rFonts w:eastAsia="Cambria"/>
          <w:lang w:val="fr-FR"/>
        </w:rPr>
        <w:t>,</w:t>
      </w:r>
      <w:r w:rsidR="00CA71D1" w:rsidRPr="0070292F">
        <w:rPr>
          <w:rFonts w:eastAsia="Cambria"/>
          <w:lang w:val="fr-FR"/>
        </w:rPr>
        <w:t xml:space="preserve"> </w:t>
      </w:r>
      <w:r w:rsidR="00A36BDA" w:rsidRPr="0070292F">
        <w:rPr>
          <w:rFonts w:eastAsia="Cambria"/>
          <w:lang w:val="fr-FR"/>
        </w:rPr>
        <w:t>pour autant que</w:t>
      </w:r>
      <w:r w:rsidR="007E4B6A" w:rsidRPr="0070292F">
        <w:rPr>
          <w:rFonts w:eastAsia="Cambria"/>
          <w:lang w:val="fr-FR"/>
        </w:rPr>
        <w:t xml:space="preserve"> la description globale </w:t>
      </w:r>
      <w:r w:rsidR="00CA71D1" w:rsidRPr="0070292F">
        <w:rPr>
          <w:rFonts w:eastAsia="Cambria"/>
          <w:lang w:val="fr-FR"/>
        </w:rPr>
        <w:t>de l</w:t>
      </w:r>
      <w:r w:rsidR="0070292F" w:rsidRPr="0070292F">
        <w:rPr>
          <w:rFonts w:eastAsia="Cambria"/>
          <w:lang w:val="fr-FR"/>
        </w:rPr>
        <w:t>’</w:t>
      </w:r>
      <w:r w:rsidR="00CA71D1" w:rsidRPr="0070292F">
        <w:rPr>
          <w:rFonts w:eastAsia="Cambria"/>
          <w:lang w:val="fr-FR"/>
        </w:rPr>
        <w:t>acte allégué</w:t>
      </w:r>
      <w:r w:rsidR="007E4B6A" w:rsidRPr="0070292F">
        <w:rPr>
          <w:rFonts w:eastAsia="Cambria"/>
          <w:lang w:val="fr-FR"/>
        </w:rPr>
        <w:t xml:space="preserve"> perm</w:t>
      </w:r>
      <w:r w:rsidR="004D1D59" w:rsidRPr="0070292F">
        <w:rPr>
          <w:rFonts w:eastAsia="Cambria"/>
          <w:lang w:val="fr-FR"/>
        </w:rPr>
        <w:t xml:space="preserve">ît </w:t>
      </w:r>
      <w:r w:rsidR="007E4B6A" w:rsidRPr="0070292F">
        <w:rPr>
          <w:rFonts w:eastAsia="Cambria"/>
          <w:lang w:val="fr-FR"/>
        </w:rPr>
        <w:t>malgré tout au juge</w:t>
      </w:r>
      <w:r w:rsidR="00395522" w:rsidRPr="0070292F">
        <w:rPr>
          <w:rFonts w:eastAsia="Cambria"/>
          <w:lang w:val="fr-FR"/>
        </w:rPr>
        <w:t xml:space="preserve"> – eu é</w:t>
      </w:r>
      <w:r w:rsidR="007E4B6A" w:rsidRPr="0070292F">
        <w:rPr>
          <w:rFonts w:eastAsia="Cambria"/>
          <w:lang w:val="fr-FR"/>
        </w:rPr>
        <w:t xml:space="preserve">gard </w:t>
      </w:r>
      <w:r w:rsidR="00395522" w:rsidRPr="0070292F">
        <w:rPr>
          <w:rFonts w:eastAsia="Cambria"/>
          <w:lang w:val="fr-FR"/>
        </w:rPr>
        <w:t>a</w:t>
      </w:r>
      <w:r w:rsidR="00CA71D1" w:rsidRPr="0070292F">
        <w:rPr>
          <w:rFonts w:eastAsia="Cambria"/>
          <w:lang w:val="fr-FR"/>
        </w:rPr>
        <w:t xml:space="preserve">u but </w:t>
      </w:r>
      <w:r w:rsidR="007E4B6A" w:rsidRPr="0070292F">
        <w:rPr>
          <w:rFonts w:eastAsia="Cambria"/>
          <w:lang w:val="fr-FR"/>
        </w:rPr>
        <w:t xml:space="preserve">poursuivi par </w:t>
      </w:r>
      <w:r w:rsidR="00CA71D1" w:rsidRPr="0070292F">
        <w:rPr>
          <w:rFonts w:eastAsia="Cambria"/>
          <w:lang w:val="fr-FR"/>
        </w:rPr>
        <w:t>la disposition pénale pertinente</w:t>
      </w:r>
      <w:r w:rsidR="007E4B6A" w:rsidRPr="0070292F">
        <w:rPr>
          <w:rFonts w:eastAsia="Cambria"/>
          <w:lang w:val="fr-FR"/>
        </w:rPr>
        <w:t xml:space="preserve"> et </w:t>
      </w:r>
      <w:r w:rsidR="00395522" w:rsidRPr="0070292F">
        <w:rPr>
          <w:rFonts w:eastAsia="Cambria"/>
          <w:lang w:val="fr-FR"/>
        </w:rPr>
        <w:t>au</w:t>
      </w:r>
      <w:r w:rsidR="007E4B6A" w:rsidRPr="0070292F">
        <w:rPr>
          <w:rFonts w:eastAsia="Cambria"/>
          <w:lang w:val="fr-FR"/>
        </w:rPr>
        <w:t xml:space="preserve"> contexte </w:t>
      </w:r>
      <w:r w:rsidR="00CA71D1" w:rsidRPr="0070292F">
        <w:rPr>
          <w:rFonts w:eastAsia="Cambria"/>
          <w:lang w:val="fr-FR"/>
        </w:rPr>
        <w:t>législatif</w:t>
      </w:r>
      <w:r w:rsidR="007E4B6A" w:rsidRPr="0070292F">
        <w:rPr>
          <w:rFonts w:eastAsia="Cambria"/>
          <w:lang w:val="fr-FR"/>
        </w:rPr>
        <w:t xml:space="preserve"> plus large dans lequel elle s</w:t>
      </w:r>
      <w:r w:rsidR="0070292F" w:rsidRPr="0070292F">
        <w:rPr>
          <w:rFonts w:eastAsia="Cambria"/>
          <w:lang w:val="fr-FR"/>
        </w:rPr>
        <w:t>’</w:t>
      </w:r>
      <w:r w:rsidR="007E4B6A" w:rsidRPr="0070292F">
        <w:rPr>
          <w:rFonts w:eastAsia="Cambria"/>
          <w:lang w:val="fr-FR"/>
        </w:rPr>
        <w:t>inscri</w:t>
      </w:r>
      <w:r w:rsidR="00CA71D1" w:rsidRPr="0070292F">
        <w:rPr>
          <w:rFonts w:eastAsia="Cambria"/>
          <w:lang w:val="fr-FR"/>
        </w:rPr>
        <w:t>vai</w:t>
      </w:r>
      <w:r w:rsidR="007E4B6A" w:rsidRPr="0070292F">
        <w:rPr>
          <w:rFonts w:eastAsia="Cambria"/>
          <w:lang w:val="fr-FR"/>
        </w:rPr>
        <w:t>t</w:t>
      </w:r>
      <w:r w:rsidR="00395522" w:rsidRPr="0070292F">
        <w:rPr>
          <w:rFonts w:eastAsia="Cambria"/>
          <w:lang w:val="fr-FR"/>
        </w:rPr>
        <w:t> –</w:t>
      </w:r>
      <w:r w:rsidR="007E4B6A" w:rsidRPr="0070292F">
        <w:rPr>
          <w:rFonts w:eastAsia="Cambria"/>
          <w:lang w:val="fr-FR"/>
        </w:rPr>
        <w:t xml:space="preserve"> d</w:t>
      </w:r>
      <w:r w:rsidR="0070292F" w:rsidRPr="0070292F">
        <w:rPr>
          <w:rFonts w:eastAsia="Cambria"/>
          <w:lang w:val="fr-FR"/>
        </w:rPr>
        <w:t>’</w:t>
      </w:r>
      <w:r w:rsidR="007E4B6A" w:rsidRPr="0070292F">
        <w:rPr>
          <w:rFonts w:eastAsia="Cambria"/>
          <w:lang w:val="fr-FR"/>
        </w:rPr>
        <w:t>établir la signification de cet élément par un</w:t>
      </w:r>
      <w:r w:rsidR="004231C1" w:rsidRPr="0070292F">
        <w:rPr>
          <w:rFonts w:eastAsia="Cambria"/>
          <w:lang w:val="fr-FR"/>
        </w:rPr>
        <w:t xml:space="preserve"> processus d</w:t>
      </w:r>
      <w:r w:rsidR="0070292F" w:rsidRPr="0070292F">
        <w:rPr>
          <w:rFonts w:eastAsia="Cambria"/>
          <w:lang w:val="fr-FR"/>
        </w:rPr>
        <w:t>’</w:t>
      </w:r>
      <w:r w:rsidR="007E4B6A" w:rsidRPr="0070292F">
        <w:rPr>
          <w:rFonts w:eastAsia="Cambria"/>
          <w:lang w:val="fr-FR"/>
        </w:rPr>
        <w:t xml:space="preserve">interprétation </w:t>
      </w:r>
      <w:r w:rsidR="008864B0" w:rsidRPr="0070292F">
        <w:rPr>
          <w:rFonts w:eastAsia="Cambria"/>
          <w:lang w:val="fr-FR"/>
        </w:rPr>
        <w:t>n</w:t>
      </w:r>
      <w:r w:rsidR="0070292F" w:rsidRPr="0070292F">
        <w:rPr>
          <w:rFonts w:eastAsia="Cambria"/>
          <w:lang w:val="fr-FR"/>
        </w:rPr>
        <w:t>’</w:t>
      </w:r>
      <w:r w:rsidR="00A36BDA" w:rsidRPr="0070292F">
        <w:rPr>
          <w:rFonts w:eastAsia="Cambria"/>
          <w:lang w:val="fr-FR"/>
        </w:rPr>
        <w:t>outrepass</w:t>
      </w:r>
      <w:r w:rsidR="008864B0" w:rsidRPr="0070292F">
        <w:rPr>
          <w:rFonts w:eastAsia="Cambria"/>
          <w:lang w:val="fr-FR"/>
        </w:rPr>
        <w:t xml:space="preserve">ant </w:t>
      </w:r>
      <w:r w:rsidR="007E4B6A" w:rsidRPr="0070292F">
        <w:rPr>
          <w:rFonts w:eastAsia="Cambria"/>
          <w:lang w:val="fr-FR"/>
        </w:rPr>
        <w:t xml:space="preserve">pas </w:t>
      </w:r>
      <w:r w:rsidR="00395522" w:rsidRPr="0070292F">
        <w:rPr>
          <w:rFonts w:eastAsia="Cambria"/>
          <w:lang w:val="fr-FR"/>
        </w:rPr>
        <w:t xml:space="preserve">sa mission </w:t>
      </w:r>
      <w:r w:rsidR="007E4B6A" w:rsidRPr="0070292F">
        <w:rPr>
          <w:rFonts w:eastAsia="Cambria"/>
          <w:lang w:val="fr-FR"/>
        </w:rPr>
        <w:t>habituelle ; c</w:t>
      </w:r>
      <w:r w:rsidR="0070292F" w:rsidRPr="0070292F">
        <w:rPr>
          <w:rFonts w:eastAsia="Cambria"/>
          <w:lang w:val="fr-FR"/>
        </w:rPr>
        <w:t>’</w:t>
      </w:r>
      <w:r w:rsidR="007E4B6A" w:rsidRPr="0070292F">
        <w:rPr>
          <w:rFonts w:eastAsia="Cambria"/>
          <w:lang w:val="fr-FR"/>
        </w:rPr>
        <w:t xml:space="preserve">est-à-dire </w:t>
      </w:r>
      <w:r w:rsidR="00A36BDA" w:rsidRPr="0070292F">
        <w:rPr>
          <w:rFonts w:eastAsia="Cambria"/>
          <w:lang w:val="fr-FR"/>
        </w:rPr>
        <w:t>pour autant que</w:t>
      </w:r>
      <w:r w:rsidR="007E4B6A" w:rsidRPr="0070292F">
        <w:rPr>
          <w:rFonts w:eastAsia="Cambria"/>
          <w:lang w:val="fr-FR"/>
        </w:rPr>
        <w:t xml:space="preserve"> cette description </w:t>
      </w:r>
      <w:r w:rsidR="004D1D59" w:rsidRPr="0070292F">
        <w:rPr>
          <w:rFonts w:eastAsia="Cambria"/>
          <w:lang w:val="fr-FR"/>
        </w:rPr>
        <w:t xml:space="preserve">lui </w:t>
      </w:r>
      <w:r w:rsidR="007E4B6A" w:rsidRPr="0070292F">
        <w:rPr>
          <w:rFonts w:eastAsia="Cambria"/>
          <w:lang w:val="fr-FR"/>
        </w:rPr>
        <w:t>perm</w:t>
      </w:r>
      <w:r w:rsidR="004D1D59" w:rsidRPr="0070292F">
        <w:rPr>
          <w:rFonts w:eastAsia="Cambria"/>
          <w:lang w:val="fr-FR"/>
        </w:rPr>
        <w:t>ît</w:t>
      </w:r>
      <w:r w:rsidR="004231C1" w:rsidRPr="0070292F">
        <w:rPr>
          <w:rFonts w:eastAsia="Cambria"/>
          <w:lang w:val="fr-FR"/>
        </w:rPr>
        <w:t xml:space="preserve"> </w:t>
      </w:r>
      <w:r w:rsidR="007E4B6A" w:rsidRPr="0070292F">
        <w:rPr>
          <w:rFonts w:eastAsia="Cambria"/>
          <w:lang w:val="fr-FR"/>
        </w:rPr>
        <w:t xml:space="preserve">de se prononcer sur </w:t>
      </w:r>
      <w:r w:rsidR="007E4B6A" w:rsidRPr="0070292F">
        <w:rPr>
          <w:rFonts w:eastAsia="Cambria"/>
          <w:lang w:val="fr-FR"/>
        </w:rPr>
        <w:lastRenderedPageBreak/>
        <w:t xml:space="preserve">la correspondance entre </w:t>
      </w:r>
      <w:r w:rsidR="00A032E8" w:rsidRPr="0070292F">
        <w:rPr>
          <w:rFonts w:eastAsia="Cambria"/>
          <w:lang w:val="fr-FR"/>
        </w:rPr>
        <w:t>les circonstances</w:t>
      </w:r>
      <w:r w:rsidR="007E4B6A" w:rsidRPr="0070292F">
        <w:rPr>
          <w:rFonts w:eastAsia="Cambria"/>
          <w:lang w:val="fr-FR"/>
        </w:rPr>
        <w:t xml:space="preserve"> concrète</w:t>
      </w:r>
      <w:r w:rsidR="00A032E8" w:rsidRPr="0070292F">
        <w:rPr>
          <w:rFonts w:eastAsia="Cambria"/>
          <w:lang w:val="fr-FR"/>
        </w:rPr>
        <w:t>s</w:t>
      </w:r>
      <w:r w:rsidR="007E4B6A" w:rsidRPr="0070292F">
        <w:rPr>
          <w:rFonts w:eastAsia="Cambria"/>
          <w:lang w:val="fr-FR"/>
        </w:rPr>
        <w:t xml:space="preserve"> et </w:t>
      </w:r>
      <w:r w:rsidR="00A032E8" w:rsidRPr="0070292F">
        <w:rPr>
          <w:rFonts w:eastAsia="Cambria"/>
          <w:lang w:val="fr-FR"/>
        </w:rPr>
        <w:t>la définition abstraite de l</w:t>
      </w:r>
      <w:r w:rsidR="0070292F" w:rsidRPr="0070292F">
        <w:rPr>
          <w:rFonts w:eastAsia="Cambria"/>
          <w:lang w:val="fr-FR"/>
        </w:rPr>
        <w:t>’</w:t>
      </w:r>
      <w:r w:rsidR="00A032E8" w:rsidRPr="0070292F">
        <w:rPr>
          <w:rFonts w:eastAsia="Cambria"/>
          <w:lang w:val="fr-FR"/>
        </w:rPr>
        <w:t>infraction</w:t>
      </w:r>
      <w:r w:rsidR="007E4B6A" w:rsidRPr="0070292F">
        <w:rPr>
          <w:rFonts w:eastAsia="Cambria"/>
          <w:lang w:val="fr-FR"/>
        </w:rPr>
        <w:t xml:space="preserve"> en s</w:t>
      </w:r>
      <w:r w:rsidR="0070292F" w:rsidRPr="0070292F">
        <w:rPr>
          <w:rFonts w:eastAsia="Cambria"/>
          <w:lang w:val="fr-FR"/>
        </w:rPr>
        <w:t>’</w:t>
      </w:r>
      <w:r w:rsidR="007E4B6A" w:rsidRPr="0070292F">
        <w:rPr>
          <w:rFonts w:eastAsia="Cambria"/>
          <w:lang w:val="fr-FR"/>
        </w:rPr>
        <w:t>appuyant sur un fondement herméneutique contrôlable et, par conséquent, perm</w:t>
      </w:r>
      <w:r w:rsidR="004D1D59" w:rsidRPr="0070292F">
        <w:rPr>
          <w:rFonts w:eastAsia="Cambria"/>
          <w:lang w:val="fr-FR"/>
        </w:rPr>
        <w:t xml:space="preserve">ît </w:t>
      </w:r>
      <w:r w:rsidR="00A032E8" w:rsidRPr="0070292F">
        <w:rPr>
          <w:rFonts w:eastAsia="Cambria"/>
          <w:lang w:val="fr-FR"/>
        </w:rPr>
        <w:t xml:space="preserve">à la personne visée par </w:t>
      </w:r>
      <w:r w:rsidR="007E4B6A" w:rsidRPr="0070292F">
        <w:rPr>
          <w:rFonts w:eastAsia="Cambria"/>
          <w:lang w:val="fr-FR"/>
        </w:rPr>
        <w:t xml:space="preserve">la </w:t>
      </w:r>
      <w:r w:rsidR="0003578C" w:rsidRPr="0070292F">
        <w:rPr>
          <w:rFonts w:eastAsia="Cambria"/>
          <w:lang w:val="fr-FR"/>
        </w:rPr>
        <w:t>disposition</w:t>
      </w:r>
      <w:r w:rsidR="007E4B6A" w:rsidRPr="0070292F">
        <w:rPr>
          <w:rFonts w:eastAsia="Cambria"/>
          <w:lang w:val="fr-FR"/>
        </w:rPr>
        <w:t xml:space="preserve"> d</w:t>
      </w:r>
      <w:r w:rsidR="0070292F" w:rsidRPr="0070292F">
        <w:rPr>
          <w:rFonts w:eastAsia="Cambria"/>
          <w:lang w:val="fr-FR"/>
        </w:rPr>
        <w:t>’</w:t>
      </w:r>
      <w:r w:rsidR="007E4B6A" w:rsidRPr="0070292F">
        <w:rPr>
          <w:rFonts w:eastAsia="Cambria"/>
          <w:lang w:val="fr-FR"/>
        </w:rPr>
        <w:t>avoir une perception suffisamment claire et immédiate de sa valeur pr</w:t>
      </w:r>
      <w:r w:rsidR="00A032E8" w:rsidRPr="0070292F">
        <w:rPr>
          <w:rFonts w:eastAsia="Cambria"/>
          <w:lang w:val="fr-FR"/>
        </w:rPr>
        <w:t>escriptive</w:t>
      </w:r>
      <w:r w:rsidR="007E4B6A" w:rsidRPr="0070292F">
        <w:rPr>
          <w:rFonts w:eastAsia="Cambria"/>
          <w:lang w:val="fr-FR"/>
        </w:rPr>
        <w:t>.</w:t>
      </w:r>
      <w:r w:rsidR="00EF54BC" w:rsidRPr="0070292F">
        <w:rPr>
          <w:rFonts w:eastAsia="Cambria"/>
          <w:lang w:val="fr-FR"/>
        </w:rPr>
        <w:t xml:space="preserve"> </w:t>
      </w:r>
      <w:r w:rsidR="00A032E8" w:rsidRPr="0070292F">
        <w:rPr>
          <w:rFonts w:eastAsia="Cambria"/>
          <w:lang w:val="fr-FR"/>
        </w:rPr>
        <w:t>Pour la Cour constitutionnelle, d</w:t>
      </w:r>
      <w:r w:rsidR="007E4B6A" w:rsidRPr="0070292F">
        <w:rPr>
          <w:rFonts w:eastAsia="Cambria"/>
          <w:lang w:val="fr-FR"/>
        </w:rPr>
        <w:t xml:space="preserve">ans ce </w:t>
      </w:r>
      <w:r w:rsidR="0003578C" w:rsidRPr="0070292F">
        <w:rPr>
          <w:rFonts w:eastAsia="Cambria"/>
          <w:lang w:val="fr-FR"/>
        </w:rPr>
        <w:t>contexte</w:t>
      </w:r>
      <w:r w:rsidR="007E4B6A" w:rsidRPr="0070292F">
        <w:rPr>
          <w:rFonts w:eastAsia="Cambria"/>
          <w:lang w:val="fr-FR"/>
        </w:rPr>
        <w:t xml:space="preserve"> </w:t>
      </w:r>
      <w:r w:rsidR="00A032E8" w:rsidRPr="0070292F">
        <w:rPr>
          <w:rFonts w:eastAsia="Cambria"/>
          <w:lang w:val="fr-FR"/>
        </w:rPr>
        <w:t>l</w:t>
      </w:r>
      <w:r w:rsidR="0070292F" w:rsidRPr="0070292F">
        <w:rPr>
          <w:rFonts w:eastAsia="Cambria"/>
          <w:lang w:val="fr-FR"/>
        </w:rPr>
        <w:t>’</w:t>
      </w:r>
      <w:r w:rsidR="00A032E8" w:rsidRPr="0070292F">
        <w:rPr>
          <w:rFonts w:eastAsia="Cambria"/>
          <w:lang w:val="fr-FR"/>
        </w:rPr>
        <w:t>obliga</w:t>
      </w:r>
      <w:r w:rsidR="007E4B6A" w:rsidRPr="0070292F">
        <w:rPr>
          <w:rFonts w:eastAsia="Cambria"/>
          <w:lang w:val="fr-FR"/>
        </w:rPr>
        <w:t xml:space="preserve">tion de « vivre honnêtement », si elle </w:t>
      </w:r>
      <w:r w:rsidR="00A032E8" w:rsidRPr="0070292F">
        <w:rPr>
          <w:rFonts w:eastAsia="Cambria"/>
          <w:lang w:val="fr-FR"/>
        </w:rPr>
        <w:t>était</w:t>
      </w:r>
      <w:r w:rsidR="007E4B6A" w:rsidRPr="0070292F">
        <w:rPr>
          <w:rFonts w:eastAsia="Cambria"/>
          <w:lang w:val="fr-FR"/>
        </w:rPr>
        <w:t xml:space="preserve"> appréciée de manière isolée, appara</w:t>
      </w:r>
      <w:r w:rsidR="00A032E8" w:rsidRPr="0070292F">
        <w:rPr>
          <w:rFonts w:eastAsia="Cambria"/>
          <w:lang w:val="fr-FR"/>
        </w:rPr>
        <w:t xml:space="preserve">issait </w:t>
      </w:r>
      <w:r w:rsidR="007E4B6A" w:rsidRPr="0070292F">
        <w:rPr>
          <w:rFonts w:eastAsia="Cambria"/>
          <w:lang w:val="fr-FR"/>
        </w:rPr>
        <w:t xml:space="preserve">en </w:t>
      </w:r>
      <w:r w:rsidR="0003578C" w:rsidRPr="0070292F">
        <w:rPr>
          <w:rFonts w:eastAsia="Cambria"/>
          <w:lang w:val="fr-FR"/>
        </w:rPr>
        <w:t>soi</w:t>
      </w:r>
      <w:r w:rsidR="007E4B6A" w:rsidRPr="0070292F">
        <w:rPr>
          <w:rFonts w:eastAsia="Cambria"/>
          <w:lang w:val="fr-FR"/>
        </w:rPr>
        <w:t xml:space="preserve"> générique et susceptible de revêtir </w:t>
      </w:r>
      <w:r w:rsidR="0003578C" w:rsidRPr="0070292F">
        <w:rPr>
          <w:rFonts w:eastAsia="Cambria"/>
          <w:lang w:val="fr-FR"/>
        </w:rPr>
        <w:t>des</w:t>
      </w:r>
      <w:r w:rsidR="007E4B6A" w:rsidRPr="0070292F">
        <w:rPr>
          <w:rFonts w:eastAsia="Cambria"/>
          <w:lang w:val="fr-FR"/>
        </w:rPr>
        <w:t xml:space="preserve"> significations</w:t>
      </w:r>
      <w:r w:rsidR="0003578C" w:rsidRPr="0070292F">
        <w:rPr>
          <w:rFonts w:eastAsia="Cambria"/>
          <w:lang w:val="fr-FR"/>
        </w:rPr>
        <w:t xml:space="preserve"> multiples </w:t>
      </w:r>
      <w:r w:rsidR="00A032E8" w:rsidRPr="0070292F">
        <w:rPr>
          <w:rFonts w:eastAsia="Cambria"/>
          <w:lang w:val="fr-FR"/>
        </w:rPr>
        <w:t xml:space="preserve">; si </w:t>
      </w:r>
      <w:r w:rsidR="0003578C" w:rsidRPr="0070292F">
        <w:rPr>
          <w:rFonts w:eastAsia="Cambria"/>
          <w:lang w:val="fr-FR"/>
        </w:rPr>
        <w:t>au contraire</w:t>
      </w:r>
      <w:r w:rsidR="007E4B6A" w:rsidRPr="0070292F">
        <w:rPr>
          <w:rFonts w:eastAsia="Cambria"/>
          <w:lang w:val="fr-FR"/>
        </w:rPr>
        <w:t xml:space="preserve"> </w:t>
      </w:r>
      <w:r w:rsidR="0027544B" w:rsidRPr="0070292F">
        <w:rPr>
          <w:rFonts w:eastAsia="Cambria"/>
          <w:lang w:val="fr-FR"/>
        </w:rPr>
        <w:t>on la</w:t>
      </w:r>
      <w:r w:rsidR="00A032E8" w:rsidRPr="0070292F">
        <w:rPr>
          <w:rFonts w:eastAsia="Cambria"/>
          <w:lang w:val="fr-FR"/>
        </w:rPr>
        <w:t xml:space="preserve"> pla</w:t>
      </w:r>
      <w:r w:rsidR="0027544B" w:rsidRPr="0070292F">
        <w:rPr>
          <w:rFonts w:eastAsia="Cambria"/>
          <w:lang w:val="fr-FR"/>
        </w:rPr>
        <w:t xml:space="preserve">çait </w:t>
      </w:r>
      <w:r w:rsidR="007E4B6A" w:rsidRPr="0070292F">
        <w:rPr>
          <w:rFonts w:eastAsia="Cambria"/>
          <w:lang w:val="fr-FR"/>
        </w:rPr>
        <w:t xml:space="preserve">dans le contexte de toutes les autres </w:t>
      </w:r>
      <w:r w:rsidR="00A032E8" w:rsidRPr="0070292F">
        <w:rPr>
          <w:rFonts w:eastAsia="Cambria"/>
          <w:lang w:val="fr-FR"/>
        </w:rPr>
        <w:t>obliga</w:t>
      </w:r>
      <w:r w:rsidR="007E4B6A" w:rsidRPr="0070292F">
        <w:rPr>
          <w:rFonts w:eastAsia="Cambria"/>
          <w:lang w:val="fr-FR"/>
        </w:rPr>
        <w:t xml:space="preserve">tions </w:t>
      </w:r>
      <w:r w:rsidR="00A032E8" w:rsidRPr="0070292F">
        <w:rPr>
          <w:rFonts w:eastAsia="Cambria"/>
          <w:lang w:val="fr-FR"/>
        </w:rPr>
        <w:t xml:space="preserve">posées par </w:t>
      </w:r>
      <w:r w:rsidR="007E4B6A" w:rsidRPr="0070292F">
        <w:rPr>
          <w:rFonts w:eastAsia="Cambria"/>
          <w:lang w:val="fr-FR"/>
        </w:rPr>
        <w:t>l</w:t>
      </w:r>
      <w:r w:rsidR="0070292F" w:rsidRPr="0070292F">
        <w:rPr>
          <w:rFonts w:eastAsia="Cambria"/>
          <w:lang w:val="fr-FR"/>
        </w:rPr>
        <w:t>’</w:t>
      </w:r>
      <w:r w:rsidR="007E4B6A" w:rsidRPr="0070292F">
        <w:rPr>
          <w:rFonts w:eastAsia="Cambria"/>
          <w:lang w:val="fr-FR"/>
        </w:rPr>
        <w:t xml:space="preserve">article 5 </w:t>
      </w:r>
      <w:r w:rsidR="0027544B" w:rsidRPr="0070292F">
        <w:rPr>
          <w:rFonts w:eastAsia="Cambria"/>
          <w:lang w:val="fr-FR"/>
        </w:rPr>
        <w:t>de la loi n</w:t>
      </w:r>
      <w:r w:rsidR="0027544B" w:rsidRPr="0070292F">
        <w:rPr>
          <w:rFonts w:eastAsia="Cambria"/>
          <w:vertAlign w:val="superscript"/>
          <w:lang w:val="fr-FR"/>
        </w:rPr>
        <w:t>o</w:t>
      </w:r>
      <w:r w:rsidR="0027544B" w:rsidRPr="0070292F">
        <w:rPr>
          <w:rFonts w:eastAsia="Cambria"/>
          <w:lang w:val="fr-FR"/>
        </w:rPr>
        <w:t xml:space="preserve"> 1423/1956, </w:t>
      </w:r>
      <w:r w:rsidR="007E4B6A" w:rsidRPr="0070292F">
        <w:rPr>
          <w:rFonts w:eastAsia="Cambria"/>
          <w:lang w:val="fr-FR"/>
        </w:rPr>
        <w:t xml:space="preserve">elle </w:t>
      </w:r>
      <w:r w:rsidR="0027544B" w:rsidRPr="0070292F">
        <w:rPr>
          <w:rFonts w:eastAsia="Cambria"/>
          <w:lang w:val="fr-FR"/>
        </w:rPr>
        <w:t xml:space="preserve">avait un </w:t>
      </w:r>
      <w:r w:rsidR="007E4B6A" w:rsidRPr="0070292F">
        <w:rPr>
          <w:rFonts w:eastAsia="Cambria"/>
          <w:lang w:val="fr-FR"/>
        </w:rPr>
        <w:t xml:space="preserve">contenu plus </w:t>
      </w:r>
      <w:r w:rsidR="0027544B" w:rsidRPr="0070292F">
        <w:rPr>
          <w:rFonts w:eastAsia="Cambria"/>
          <w:lang w:val="fr-FR"/>
        </w:rPr>
        <w:t>clair</w:t>
      </w:r>
      <w:r w:rsidR="007E4B6A" w:rsidRPr="0070292F">
        <w:rPr>
          <w:rFonts w:eastAsia="Cambria"/>
          <w:lang w:val="fr-FR"/>
        </w:rPr>
        <w:t xml:space="preserve">, </w:t>
      </w:r>
      <w:r w:rsidR="0027544B" w:rsidRPr="0070292F">
        <w:rPr>
          <w:rFonts w:eastAsia="Cambria"/>
          <w:lang w:val="fr-FR"/>
        </w:rPr>
        <w:t xml:space="preserve">impliquant un devoir </w:t>
      </w:r>
      <w:r w:rsidR="00E059B7" w:rsidRPr="0070292F">
        <w:rPr>
          <w:rFonts w:eastAsia="Cambria"/>
          <w:lang w:val="fr-FR"/>
        </w:rPr>
        <w:t xml:space="preserve">pour la personne concernée </w:t>
      </w:r>
      <w:r w:rsidR="007E4B6A" w:rsidRPr="0070292F">
        <w:rPr>
          <w:rFonts w:eastAsia="Cambria"/>
          <w:lang w:val="fr-FR"/>
        </w:rPr>
        <w:t>d</w:t>
      </w:r>
      <w:r w:rsidR="0070292F" w:rsidRPr="0070292F">
        <w:rPr>
          <w:rFonts w:eastAsia="Cambria"/>
          <w:lang w:val="fr-FR"/>
        </w:rPr>
        <w:t>’</w:t>
      </w:r>
      <w:r w:rsidR="007E4B6A" w:rsidRPr="0070292F">
        <w:rPr>
          <w:rFonts w:eastAsia="Cambria"/>
          <w:lang w:val="fr-FR"/>
        </w:rPr>
        <w:t xml:space="preserve">adapter sa conduite à un </w:t>
      </w:r>
      <w:r w:rsidR="0027544B" w:rsidRPr="0070292F">
        <w:rPr>
          <w:rFonts w:eastAsia="Cambria"/>
          <w:lang w:val="fr-FR"/>
        </w:rPr>
        <w:t>mode</w:t>
      </w:r>
      <w:r w:rsidR="007E4B6A" w:rsidRPr="0070292F">
        <w:rPr>
          <w:rFonts w:eastAsia="Cambria"/>
          <w:lang w:val="fr-FR"/>
        </w:rPr>
        <w:t xml:space="preserve"> de vie </w:t>
      </w:r>
      <w:r w:rsidR="0027544B" w:rsidRPr="0070292F">
        <w:rPr>
          <w:rFonts w:eastAsia="Cambria"/>
          <w:lang w:val="fr-FR"/>
        </w:rPr>
        <w:t>respectant</w:t>
      </w:r>
      <w:r w:rsidR="007E4B6A" w:rsidRPr="0070292F">
        <w:rPr>
          <w:rFonts w:eastAsia="Cambria"/>
          <w:lang w:val="fr-FR"/>
        </w:rPr>
        <w:t xml:space="preserve"> l</w:t>
      </w:r>
      <w:r w:rsidR="0070292F" w:rsidRPr="0070292F">
        <w:rPr>
          <w:rFonts w:eastAsia="Cambria"/>
          <w:lang w:val="fr-FR"/>
        </w:rPr>
        <w:t>’</w:t>
      </w:r>
      <w:r w:rsidR="007E4B6A" w:rsidRPr="0070292F">
        <w:rPr>
          <w:rFonts w:eastAsia="Cambria"/>
          <w:lang w:val="fr-FR"/>
        </w:rPr>
        <w:t>ensemble des prescriptions sus</w:t>
      </w:r>
      <w:r w:rsidR="0027544B" w:rsidRPr="0070292F">
        <w:rPr>
          <w:rFonts w:eastAsia="Cambria"/>
          <w:lang w:val="fr-FR"/>
        </w:rPr>
        <w:t>mentionnées</w:t>
      </w:r>
      <w:r w:rsidR="007E4B6A" w:rsidRPr="0070292F">
        <w:rPr>
          <w:rFonts w:eastAsia="Cambria"/>
          <w:lang w:val="fr-FR"/>
        </w:rPr>
        <w:t xml:space="preserve">, </w:t>
      </w:r>
      <w:r w:rsidR="0027544B" w:rsidRPr="0070292F">
        <w:rPr>
          <w:rFonts w:eastAsia="Cambria"/>
          <w:lang w:val="fr-FR"/>
        </w:rPr>
        <w:t>de sorte que la formule</w:t>
      </w:r>
      <w:r w:rsidR="007E4B6A" w:rsidRPr="0070292F">
        <w:rPr>
          <w:rFonts w:eastAsia="Cambria"/>
          <w:lang w:val="fr-FR"/>
        </w:rPr>
        <w:t xml:space="preserve"> « vivre honnêtement » se concrétise et s</w:t>
      </w:r>
      <w:r w:rsidR="0070292F" w:rsidRPr="0070292F">
        <w:rPr>
          <w:rFonts w:eastAsia="Cambria"/>
          <w:lang w:val="fr-FR"/>
        </w:rPr>
        <w:t>’</w:t>
      </w:r>
      <w:r w:rsidR="007E4B6A" w:rsidRPr="0070292F">
        <w:rPr>
          <w:rFonts w:eastAsia="Cambria"/>
          <w:lang w:val="fr-FR"/>
        </w:rPr>
        <w:t>individualise.</w:t>
      </w:r>
    </w:p>
    <w:p w:rsidR="00716F51" w:rsidRPr="0070292F" w:rsidRDefault="00716F51" w:rsidP="0070292F">
      <w:pPr>
        <w:pStyle w:val="ECHRPara"/>
        <w:rPr>
          <w:rFonts w:eastAsia="Cambria"/>
          <w:lang w:val="fr-FR"/>
        </w:rPr>
      </w:pPr>
      <w:r w:rsidRPr="0070292F">
        <w:rPr>
          <w:rFonts w:eastAsia="Cambria"/>
          <w:lang w:val="fr-FR"/>
        </w:rPr>
        <w:fldChar w:fldCharType="begin"/>
      </w:r>
      <w:r w:rsidRPr="0070292F">
        <w:rPr>
          <w:rFonts w:eastAsia="Cambria"/>
          <w:lang w:val="fr-FR"/>
        </w:rPr>
        <w:instrText xml:space="preserve"> SEQ level0 \*arabic </w:instrText>
      </w:r>
      <w:r w:rsidRPr="0070292F">
        <w:rPr>
          <w:rFonts w:eastAsia="Cambria"/>
          <w:lang w:val="fr-FR"/>
        </w:rPr>
        <w:fldChar w:fldCharType="separate"/>
      </w:r>
      <w:r w:rsidR="0070292F" w:rsidRPr="0070292F">
        <w:rPr>
          <w:rFonts w:eastAsia="Cambria"/>
          <w:noProof/>
          <w:lang w:val="fr-FR"/>
        </w:rPr>
        <w:t>60</w:t>
      </w:r>
      <w:r w:rsidRPr="0070292F">
        <w:rPr>
          <w:rFonts w:eastAsia="Cambria"/>
          <w:lang w:val="fr-FR"/>
        </w:rPr>
        <w:fldChar w:fldCharType="end"/>
      </w:r>
      <w:r w:rsidRPr="0070292F">
        <w:rPr>
          <w:rFonts w:eastAsia="Cambria"/>
          <w:lang w:val="fr-FR"/>
        </w:rPr>
        <w:t>.  </w:t>
      </w:r>
      <w:r w:rsidR="0027544B" w:rsidRPr="0070292F">
        <w:rPr>
          <w:rFonts w:eastAsia="Cambria"/>
          <w:lang w:val="fr-FR"/>
        </w:rPr>
        <w:t>La juridiction constitutionnelle jugea également que l</w:t>
      </w:r>
      <w:r w:rsidR="0070292F" w:rsidRPr="0070292F">
        <w:rPr>
          <w:rFonts w:eastAsia="Cambria"/>
          <w:lang w:val="fr-FR"/>
        </w:rPr>
        <w:t>’</w:t>
      </w:r>
      <w:r w:rsidR="0027544B" w:rsidRPr="0070292F">
        <w:rPr>
          <w:rFonts w:eastAsia="Cambria"/>
          <w:lang w:val="fr-FR"/>
        </w:rPr>
        <w:t xml:space="preserve">obligation </w:t>
      </w:r>
      <w:r w:rsidR="007E4B6A" w:rsidRPr="0070292F">
        <w:rPr>
          <w:rFonts w:eastAsia="Cambria"/>
          <w:lang w:val="fr-FR"/>
        </w:rPr>
        <w:t xml:space="preserve">de </w:t>
      </w:r>
      <w:r w:rsidR="00B2003E" w:rsidRPr="0070292F">
        <w:rPr>
          <w:rFonts w:eastAsia="Cambria"/>
          <w:lang w:val="fr-FR"/>
        </w:rPr>
        <w:t>vivre « dans le respect d</w:t>
      </w:r>
      <w:r w:rsidR="007E4B6A" w:rsidRPr="0070292F">
        <w:rPr>
          <w:rFonts w:eastAsia="Cambria"/>
          <w:lang w:val="fr-FR"/>
        </w:rPr>
        <w:t>es lois</w:t>
      </w:r>
      <w:r w:rsidR="00B2003E" w:rsidRPr="0070292F">
        <w:rPr>
          <w:rFonts w:eastAsia="Cambria"/>
          <w:lang w:val="fr-FR"/>
        </w:rPr>
        <w:t> »</w:t>
      </w:r>
      <w:r w:rsidR="0027544B" w:rsidRPr="0070292F">
        <w:rPr>
          <w:rFonts w:eastAsia="Cambria"/>
          <w:lang w:val="fr-FR"/>
        </w:rPr>
        <w:t xml:space="preserve"> renvoyait </w:t>
      </w:r>
      <w:r w:rsidR="007E4B6A" w:rsidRPr="0070292F">
        <w:rPr>
          <w:rFonts w:eastAsia="Cambria"/>
          <w:lang w:val="fr-FR"/>
        </w:rPr>
        <w:t>au devoir</w:t>
      </w:r>
      <w:r w:rsidR="0027544B" w:rsidRPr="0070292F">
        <w:rPr>
          <w:rFonts w:eastAsia="Cambria"/>
          <w:lang w:val="fr-FR"/>
        </w:rPr>
        <w:t xml:space="preserve"> pour l</w:t>
      </w:r>
      <w:r w:rsidR="0070292F" w:rsidRPr="0070292F">
        <w:rPr>
          <w:rFonts w:eastAsia="Cambria"/>
          <w:lang w:val="fr-FR"/>
        </w:rPr>
        <w:t>’</w:t>
      </w:r>
      <w:r w:rsidR="0027544B" w:rsidRPr="0070292F">
        <w:rPr>
          <w:rFonts w:eastAsia="Cambria"/>
          <w:lang w:val="fr-FR"/>
        </w:rPr>
        <w:t xml:space="preserve">intéressé </w:t>
      </w:r>
      <w:r w:rsidR="007E4B6A" w:rsidRPr="0070292F">
        <w:rPr>
          <w:rFonts w:eastAsia="Cambria"/>
          <w:lang w:val="fr-FR"/>
        </w:rPr>
        <w:t xml:space="preserve">de </w:t>
      </w:r>
      <w:r w:rsidR="006901CB" w:rsidRPr="0070292F">
        <w:rPr>
          <w:rFonts w:eastAsia="Cambria"/>
          <w:lang w:val="fr-FR"/>
        </w:rPr>
        <w:t>se conformer à</w:t>
      </w:r>
      <w:r w:rsidR="007E4B6A" w:rsidRPr="0070292F">
        <w:rPr>
          <w:rFonts w:eastAsia="Cambria"/>
          <w:lang w:val="fr-FR"/>
        </w:rPr>
        <w:t xml:space="preserve"> toutes les </w:t>
      </w:r>
      <w:r w:rsidR="0027544B" w:rsidRPr="0070292F">
        <w:rPr>
          <w:rFonts w:eastAsia="Cambria"/>
          <w:lang w:val="fr-FR"/>
        </w:rPr>
        <w:t>prescriptions</w:t>
      </w:r>
      <w:r w:rsidR="007E4B6A" w:rsidRPr="0070292F">
        <w:rPr>
          <w:rFonts w:eastAsia="Cambria"/>
          <w:lang w:val="fr-FR"/>
        </w:rPr>
        <w:t xml:space="preserve"> </w:t>
      </w:r>
      <w:r w:rsidR="0027544B" w:rsidRPr="0070292F">
        <w:rPr>
          <w:rFonts w:eastAsia="Cambria"/>
          <w:lang w:val="fr-FR"/>
        </w:rPr>
        <w:t xml:space="preserve">lui </w:t>
      </w:r>
      <w:r w:rsidR="007E4B6A" w:rsidRPr="0070292F">
        <w:rPr>
          <w:rFonts w:eastAsia="Cambria"/>
          <w:lang w:val="fr-FR"/>
        </w:rPr>
        <w:t>impos</w:t>
      </w:r>
      <w:r w:rsidR="0027544B" w:rsidRPr="0070292F">
        <w:rPr>
          <w:rFonts w:eastAsia="Cambria"/>
          <w:lang w:val="fr-FR"/>
        </w:rPr>
        <w:t>a</w:t>
      </w:r>
      <w:r w:rsidR="007E4B6A" w:rsidRPr="0070292F">
        <w:rPr>
          <w:rFonts w:eastAsia="Cambria"/>
          <w:lang w:val="fr-FR"/>
        </w:rPr>
        <w:t>nt d</w:t>
      </w:r>
      <w:r w:rsidR="0070292F" w:rsidRPr="0070292F">
        <w:rPr>
          <w:rFonts w:eastAsia="Cambria"/>
          <w:lang w:val="fr-FR"/>
        </w:rPr>
        <w:t>’</w:t>
      </w:r>
      <w:r w:rsidR="007E4B6A" w:rsidRPr="0070292F">
        <w:rPr>
          <w:rFonts w:eastAsia="Cambria"/>
          <w:lang w:val="fr-FR"/>
        </w:rPr>
        <w:t xml:space="preserve">adopter ou de ne pas adopter </w:t>
      </w:r>
      <w:r w:rsidR="0027544B" w:rsidRPr="0070292F">
        <w:rPr>
          <w:rFonts w:eastAsia="Cambria"/>
          <w:lang w:val="fr-FR"/>
        </w:rPr>
        <w:t>telle ou telle</w:t>
      </w:r>
      <w:r w:rsidR="007E4B6A" w:rsidRPr="0070292F">
        <w:rPr>
          <w:rFonts w:eastAsia="Cambria"/>
          <w:lang w:val="fr-FR"/>
        </w:rPr>
        <w:t xml:space="preserve"> conduite</w:t>
      </w:r>
      <w:r w:rsidR="00765229" w:rsidRPr="0070292F">
        <w:rPr>
          <w:rFonts w:eastAsia="Cambria"/>
          <w:lang w:val="fr-FR"/>
        </w:rPr>
        <w:t xml:space="preserve">, donc non </w:t>
      </w:r>
      <w:r w:rsidR="007E4B6A" w:rsidRPr="0070292F">
        <w:rPr>
          <w:rFonts w:eastAsia="Cambria"/>
          <w:lang w:val="fr-FR"/>
        </w:rPr>
        <w:t xml:space="preserve">seulement </w:t>
      </w:r>
      <w:r w:rsidR="00765229" w:rsidRPr="0070292F">
        <w:rPr>
          <w:rFonts w:eastAsia="Cambria"/>
          <w:lang w:val="fr-FR"/>
        </w:rPr>
        <w:t xml:space="preserve">aux </w:t>
      </w:r>
      <w:r w:rsidR="007E4B6A" w:rsidRPr="0070292F">
        <w:rPr>
          <w:rFonts w:eastAsia="Cambria"/>
          <w:lang w:val="fr-FR"/>
        </w:rPr>
        <w:t xml:space="preserve">normes pénales mais aussi </w:t>
      </w:r>
      <w:r w:rsidR="00765229" w:rsidRPr="0070292F">
        <w:rPr>
          <w:rFonts w:eastAsia="Cambria"/>
          <w:lang w:val="fr-FR"/>
        </w:rPr>
        <w:t xml:space="preserve">à </w:t>
      </w:r>
      <w:r w:rsidR="007E4B6A" w:rsidRPr="0070292F">
        <w:rPr>
          <w:rFonts w:eastAsia="Cambria"/>
          <w:lang w:val="fr-FR"/>
        </w:rPr>
        <w:t>toute disposition dont le non</w:t>
      </w:r>
      <w:r w:rsidR="007E4B6A" w:rsidRPr="0070292F">
        <w:rPr>
          <w:rFonts w:eastAsia="Cambria"/>
          <w:lang w:val="fr-FR"/>
        </w:rPr>
        <w:noBreakHyphen/>
        <w:t xml:space="preserve">respect </w:t>
      </w:r>
      <w:r w:rsidR="0089793C" w:rsidRPr="0070292F">
        <w:rPr>
          <w:rFonts w:eastAsia="Cambria"/>
          <w:lang w:val="fr-FR"/>
        </w:rPr>
        <w:t>se</w:t>
      </w:r>
      <w:r w:rsidR="006901CB" w:rsidRPr="0070292F">
        <w:rPr>
          <w:rFonts w:eastAsia="Cambria"/>
          <w:lang w:val="fr-FR"/>
        </w:rPr>
        <w:t>r</w:t>
      </w:r>
      <w:r w:rsidR="00B72772" w:rsidRPr="0070292F">
        <w:rPr>
          <w:rFonts w:eastAsia="Cambria"/>
          <w:lang w:val="fr-FR"/>
        </w:rPr>
        <w:t>ait</w:t>
      </w:r>
      <w:r w:rsidR="007E4B6A" w:rsidRPr="0070292F">
        <w:rPr>
          <w:rFonts w:eastAsia="Cambria"/>
          <w:lang w:val="fr-FR"/>
        </w:rPr>
        <w:t xml:space="preserve"> un indice </w:t>
      </w:r>
      <w:r w:rsidR="00B72772" w:rsidRPr="0070292F">
        <w:rPr>
          <w:rFonts w:eastAsia="Cambria"/>
          <w:lang w:val="fr-FR"/>
        </w:rPr>
        <w:t xml:space="preserve">supplémentaire </w:t>
      </w:r>
      <w:r w:rsidR="007E4B6A" w:rsidRPr="0070292F">
        <w:rPr>
          <w:rFonts w:eastAsia="Cambria"/>
          <w:lang w:val="fr-FR"/>
        </w:rPr>
        <w:t>de la dangerosité sociale déjà établie.</w:t>
      </w:r>
    </w:p>
    <w:p w:rsidR="005B0E19" w:rsidRPr="0070292F" w:rsidRDefault="00716F51" w:rsidP="0070292F">
      <w:pPr>
        <w:pStyle w:val="ECHRPara"/>
        <w:rPr>
          <w:rFonts w:eastAsia="Cambria"/>
          <w:lang w:val="fr-FR"/>
        </w:rPr>
      </w:pPr>
      <w:r w:rsidRPr="0070292F">
        <w:rPr>
          <w:rFonts w:eastAsia="Cambria"/>
          <w:lang w:val="fr-FR"/>
        </w:rPr>
        <w:fldChar w:fldCharType="begin"/>
      </w:r>
      <w:r w:rsidRPr="0070292F">
        <w:rPr>
          <w:rFonts w:eastAsia="Cambria"/>
          <w:lang w:val="fr-FR"/>
        </w:rPr>
        <w:instrText xml:space="preserve"> SEQ level0 \*arabic </w:instrText>
      </w:r>
      <w:r w:rsidRPr="0070292F">
        <w:rPr>
          <w:rFonts w:eastAsia="Cambria"/>
          <w:lang w:val="fr-FR"/>
        </w:rPr>
        <w:fldChar w:fldCharType="separate"/>
      </w:r>
      <w:r w:rsidR="0070292F" w:rsidRPr="0070292F">
        <w:rPr>
          <w:rFonts w:eastAsia="Cambria"/>
          <w:noProof/>
          <w:lang w:val="fr-FR"/>
        </w:rPr>
        <w:t>61</w:t>
      </w:r>
      <w:r w:rsidRPr="0070292F">
        <w:rPr>
          <w:rFonts w:eastAsia="Cambria"/>
          <w:lang w:val="fr-FR"/>
        </w:rPr>
        <w:fldChar w:fldCharType="end"/>
      </w:r>
      <w:r w:rsidRPr="0070292F">
        <w:rPr>
          <w:rFonts w:eastAsia="Cambria"/>
          <w:lang w:val="fr-FR"/>
        </w:rPr>
        <w:t>.  </w:t>
      </w:r>
      <w:r w:rsidR="00B72772" w:rsidRPr="0070292F">
        <w:rPr>
          <w:rFonts w:eastAsia="Cambria"/>
          <w:lang w:val="fr-FR"/>
        </w:rPr>
        <w:t>C</w:t>
      </w:r>
      <w:r w:rsidR="007E4B6A" w:rsidRPr="0070292F">
        <w:rPr>
          <w:rFonts w:eastAsia="Cambria"/>
          <w:lang w:val="fr-FR"/>
        </w:rPr>
        <w:t>oncernant</w:t>
      </w:r>
      <w:r w:rsidR="00B72772" w:rsidRPr="0070292F">
        <w:rPr>
          <w:rFonts w:eastAsia="Cambria"/>
          <w:lang w:val="fr-FR"/>
        </w:rPr>
        <w:t xml:space="preserve"> enfin</w:t>
      </w:r>
      <w:r w:rsidR="007E4B6A" w:rsidRPr="0070292F">
        <w:rPr>
          <w:rFonts w:eastAsia="Cambria"/>
          <w:lang w:val="fr-FR"/>
        </w:rPr>
        <w:t xml:space="preserve"> </w:t>
      </w:r>
      <w:r w:rsidR="00B72772" w:rsidRPr="0070292F">
        <w:rPr>
          <w:rFonts w:eastAsia="Cambria"/>
          <w:lang w:val="fr-FR"/>
        </w:rPr>
        <w:t>l</w:t>
      </w:r>
      <w:r w:rsidR="0070292F" w:rsidRPr="0070292F">
        <w:rPr>
          <w:rFonts w:eastAsia="Cambria"/>
          <w:lang w:val="fr-FR"/>
        </w:rPr>
        <w:t>’</w:t>
      </w:r>
      <w:r w:rsidR="00B72772" w:rsidRPr="0070292F">
        <w:rPr>
          <w:rFonts w:eastAsia="Cambria"/>
          <w:lang w:val="fr-FR"/>
        </w:rPr>
        <w:t>obligation</w:t>
      </w:r>
      <w:r w:rsidR="007E4B6A" w:rsidRPr="0070292F">
        <w:rPr>
          <w:rFonts w:eastAsia="Cambria"/>
          <w:lang w:val="fr-FR"/>
        </w:rPr>
        <w:t xml:space="preserve"> de « ne pas prêter à soupçon », </w:t>
      </w:r>
      <w:r w:rsidR="00B72772" w:rsidRPr="0070292F">
        <w:rPr>
          <w:rFonts w:eastAsia="Cambria"/>
          <w:lang w:val="fr-FR"/>
        </w:rPr>
        <w:t>la haute juridiction indiqua qu</w:t>
      </w:r>
      <w:r w:rsidR="0070292F" w:rsidRPr="0070292F">
        <w:rPr>
          <w:rFonts w:eastAsia="Cambria"/>
          <w:lang w:val="fr-FR"/>
        </w:rPr>
        <w:t>’</w:t>
      </w:r>
      <w:r w:rsidR="00BE0355" w:rsidRPr="0070292F">
        <w:rPr>
          <w:rFonts w:eastAsia="Cambria"/>
          <w:lang w:val="fr-FR"/>
        </w:rPr>
        <w:t xml:space="preserve">il ne fallait </w:t>
      </w:r>
      <w:r w:rsidR="007E4B6A" w:rsidRPr="0070292F">
        <w:rPr>
          <w:rFonts w:eastAsia="Cambria"/>
          <w:lang w:val="fr-FR"/>
        </w:rPr>
        <w:t xml:space="preserve">pas </w:t>
      </w:r>
      <w:r w:rsidR="00B72772" w:rsidRPr="0070292F">
        <w:rPr>
          <w:rFonts w:eastAsia="Cambria"/>
          <w:lang w:val="fr-FR"/>
        </w:rPr>
        <w:t xml:space="preserve">davantage </w:t>
      </w:r>
      <w:r w:rsidR="00BE0355" w:rsidRPr="0070292F">
        <w:rPr>
          <w:rFonts w:eastAsia="Cambria"/>
          <w:lang w:val="fr-FR"/>
        </w:rPr>
        <w:t xml:space="preserve">la prendre </w:t>
      </w:r>
      <w:r w:rsidR="007E4B6A" w:rsidRPr="0070292F">
        <w:rPr>
          <w:rFonts w:eastAsia="Cambria"/>
          <w:lang w:val="fr-FR"/>
        </w:rPr>
        <w:t>isolé</w:t>
      </w:r>
      <w:r w:rsidR="00B72772" w:rsidRPr="0070292F">
        <w:rPr>
          <w:rFonts w:eastAsia="Cambria"/>
          <w:lang w:val="fr-FR"/>
        </w:rPr>
        <w:t>ment</w:t>
      </w:r>
      <w:r w:rsidR="007E4B6A" w:rsidRPr="0070292F">
        <w:rPr>
          <w:rFonts w:eastAsia="Cambria"/>
          <w:lang w:val="fr-FR"/>
        </w:rPr>
        <w:t xml:space="preserve"> mais dans le contexte des autres </w:t>
      </w:r>
      <w:r w:rsidR="00B72772" w:rsidRPr="0070292F">
        <w:rPr>
          <w:rFonts w:eastAsia="Cambria"/>
          <w:lang w:val="fr-FR"/>
        </w:rPr>
        <w:t>obligations posées</w:t>
      </w:r>
      <w:r w:rsidR="007E4B6A" w:rsidRPr="0070292F">
        <w:rPr>
          <w:rFonts w:eastAsia="Cambria"/>
          <w:lang w:val="fr-FR"/>
        </w:rPr>
        <w:t xml:space="preserve"> par l</w:t>
      </w:r>
      <w:r w:rsidR="0070292F" w:rsidRPr="0070292F">
        <w:rPr>
          <w:rFonts w:eastAsia="Cambria"/>
          <w:lang w:val="fr-FR"/>
        </w:rPr>
        <w:t>’</w:t>
      </w:r>
      <w:r w:rsidR="007E4B6A" w:rsidRPr="0070292F">
        <w:rPr>
          <w:rFonts w:eastAsia="Cambria"/>
          <w:lang w:val="fr-FR"/>
        </w:rPr>
        <w:t>article 5</w:t>
      </w:r>
      <w:r w:rsidR="00B72772" w:rsidRPr="0070292F">
        <w:rPr>
          <w:rFonts w:eastAsia="Cambria"/>
          <w:lang w:val="fr-FR"/>
        </w:rPr>
        <w:t xml:space="preserve"> de la loi n</w:t>
      </w:r>
      <w:r w:rsidR="00B72772" w:rsidRPr="0070292F">
        <w:rPr>
          <w:rFonts w:eastAsia="Cambria"/>
          <w:vertAlign w:val="superscript"/>
          <w:lang w:val="fr-FR"/>
        </w:rPr>
        <w:t>o</w:t>
      </w:r>
      <w:r w:rsidR="00BE0355" w:rsidRPr="0070292F">
        <w:rPr>
          <w:rFonts w:eastAsia="Cambria"/>
          <w:lang w:val="fr-FR"/>
        </w:rPr>
        <w:t> </w:t>
      </w:r>
      <w:r w:rsidR="00B72772" w:rsidRPr="0070292F">
        <w:rPr>
          <w:rFonts w:eastAsia="Cambria"/>
          <w:lang w:val="fr-FR"/>
        </w:rPr>
        <w:t>1423/1956</w:t>
      </w:r>
      <w:r w:rsidR="007E4B6A" w:rsidRPr="0070292F">
        <w:rPr>
          <w:rFonts w:eastAsia="Cambria"/>
          <w:lang w:val="fr-FR"/>
        </w:rPr>
        <w:t xml:space="preserve">, </w:t>
      </w:r>
      <w:r w:rsidR="00BE0355" w:rsidRPr="0070292F">
        <w:rPr>
          <w:rFonts w:eastAsia="Cambria"/>
          <w:lang w:val="fr-FR"/>
        </w:rPr>
        <w:t>comme</w:t>
      </w:r>
      <w:r w:rsidR="007E4B6A" w:rsidRPr="0070292F">
        <w:rPr>
          <w:rFonts w:eastAsia="Cambria"/>
          <w:lang w:val="fr-FR"/>
        </w:rPr>
        <w:t xml:space="preserve"> l</w:t>
      </w:r>
      <w:r w:rsidR="0070292F" w:rsidRPr="0070292F">
        <w:rPr>
          <w:rFonts w:eastAsia="Cambria"/>
          <w:lang w:val="fr-FR"/>
        </w:rPr>
        <w:t>’</w:t>
      </w:r>
      <w:r w:rsidR="007E4B6A" w:rsidRPr="0070292F">
        <w:rPr>
          <w:rFonts w:eastAsia="Cambria"/>
          <w:lang w:val="fr-FR"/>
        </w:rPr>
        <w:t xml:space="preserve">interdiction faite à la personne </w:t>
      </w:r>
      <w:r w:rsidR="00BE0355" w:rsidRPr="0070292F">
        <w:rPr>
          <w:rFonts w:eastAsia="Cambria"/>
          <w:lang w:val="fr-FR"/>
        </w:rPr>
        <w:t xml:space="preserve">soumise à </w:t>
      </w:r>
      <w:r w:rsidR="00B72772" w:rsidRPr="0070292F">
        <w:rPr>
          <w:rFonts w:eastAsia="Cambria"/>
          <w:lang w:val="fr-FR"/>
        </w:rPr>
        <w:t xml:space="preserve">une </w:t>
      </w:r>
      <w:r w:rsidR="007E4B6A" w:rsidRPr="0070292F">
        <w:rPr>
          <w:rFonts w:eastAsia="Cambria"/>
          <w:lang w:val="fr-FR"/>
        </w:rPr>
        <w:t xml:space="preserve">surveillance spéciale de fréquenter certains lieux ou </w:t>
      </w:r>
      <w:r w:rsidR="00BE0355" w:rsidRPr="0070292F">
        <w:rPr>
          <w:rFonts w:eastAsia="Cambria"/>
          <w:lang w:val="fr-FR"/>
        </w:rPr>
        <w:t>individus.</w:t>
      </w:r>
    </w:p>
    <w:p w:rsidR="00186E84" w:rsidRPr="0070292F" w:rsidRDefault="001B01D1" w:rsidP="0070292F">
      <w:pPr>
        <w:pStyle w:val="ECHRHeading2"/>
        <w:rPr>
          <w:rFonts w:eastAsia="Cambria"/>
          <w:lang w:val="fr-FR"/>
        </w:rPr>
      </w:pPr>
      <w:bookmarkStart w:id="20" w:name="_Toc475451840"/>
      <w:r w:rsidRPr="0070292F">
        <w:rPr>
          <w:rFonts w:eastAsia="Cambria"/>
          <w:lang w:val="fr-FR"/>
        </w:rPr>
        <w:t>C</w:t>
      </w:r>
      <w:r w:rsidR="009A7174" w:rsidRPr="0070292F">
        <w:rPr>
          <w:rFonts w:eastAsia="Cambria"/>
          <w:lang w:val="fr-FR"/>
        </w:rPr>
        <w:t>.</w:t>
      </w:r>
      <w:r w:rsidR="00E36453" w:rsidRPr="0070292F">
        <w:rPr>
          <w:lang w:val="fr-FR"/>
        </w:rPr>
        <w:t>  </w:t>
      </w:r>
      <w:r w:rsidR="00186E84" w:rsidRPr="0070292F">
        <w:rPr>
          <w:rFonts w:eastAsia="Cambria"/>
          <w:lang w:val="fr-FR"/>
        </w:rPr>
        <w:t>La jurisprudence de la Cour de cassation</w:t>
      </w:r>
      <w:bookmarkEnd w:id="20"/>
    </w:p>
    <w:bookmarkStart w:id="21" w:name="para57"/>
    <w:p w:rsidR="00186E84" w:rsidRPr="0070292F" w:rsidRDefault="00186E84" w:rsidP="0070292F">
      <w:pPr>
        <w:pStyle w:val="ECHRPara"/>
        <w:rPr>
          <w:lang w:val="fr-FR"/>
        </w:rPr>
      </w:pPr>
      <w:r w:rsidRPr="0070292F">
        <w:fldChar w:fldCharType="begin"/>
      </w:r>
      <w:r w:rsidRPr="0070292F">
        <w:rPr>
          <w:lang w:val="fr-FR"/>
        </w:rPr>
        <w:instrText xml:space="preserve"> SEQ level0 \*arabic </w:instrText>
      </w:r>
      <w:r w:rsidRPr="0070292F">
        <w:fldChar w:fldCharType="separate"/>
      </w:r>
      <w:r w:rsidR="0070292F" w:rsidRPr="0070292F">
        <w:rPr>
          <w:noProof/>
          <w:lang w:val="fr-FR"/>
        </w:rPr>
        <w:t>62</w:t>
      </w:r>
      <w:r w:rsidRPr="0070292F">
        <w:fldChar w:fldCharType="end"/>
      </w:r>
      <w:bookmarkEnd w:id="21"/>
      <w:r w:rsidRPr="0070292F">
        <w:rPr>
          <w:lang w:val="fr-FR"/>
        </w:rPr>
        <w:t>.  Dans l</w:t>
      </w:r>
      <w:r w:rsidR="0070292F" w:rsidRPr="0070292F">
        <w:rPr>
          <w:lang w:val="fr-FR"/>
        </w:rPr>
        <w:t>’</w:t>
      </w:r>
      <w:r w:rsidRPr="0070292F">
        <w:rPr>
          <w:lang w:val="fr-FR"/>
        </w:rPr>
        <w:t xml:space="preserve">arrêt nº 10281 du 25 octobre 2007, la Cour </w:t>
      </w:r>
      <w:r w:rsidR="00FF762F" w:rsidRPr="0070292F">
        <w:rPr>
          <w:lang w:val="fr-FR"/>
        </w:rPr>
        <w:t>de cassation</w:t>
      </w:r>
      <w:r w:rsidR="00FA019D" w:rsidRPr="0070292F">
        <w:rPr>
          <w:lang w:val="fr-FR"/>
        </w:rPr>
        <w:t>, statuant en chambres réunies,</w:t>
      </w:r>
      <w:r w:rsidR="00FF762F" w:rsidRPr="0070292F">
        <w:rPr>
          <w:lang w:val="fr-FR"/>
        </w:rPr>
        <w:t xml:space="preserve"> </w:t>
      </w:r>
      <w:r w:rsidR="00515574" w:rsidRPr="0070292F">
        <w:rPr>
          <w:lang w:val="fr-FR"/>
        </w:rPr>
        <w:t>indiqua</w:t>
      </w:r>
      <w:r w:rsidRPr="0070292F">
        <w:rPr>
          <w:lang w:val="fr-FR"/>
        </w:rPr>
        <w:t xml:space="preserve"> que la condition </w:t>
      </w:r>
      <w:r w:rsidR="00FA019D" w:rsidRPr="0070292F">
        <w:rPr>
          <w:lang w:val="fr-FR"/>
        </w:rPr>
        <w:t>préalable à l</w:t>
      </w:r>
      <w:r w:rsidR="0070292F" w:rsidRPr="0070292F">
        <w:rPr>
          <w:lang w:val="fr-FR"/>
        </w:rPr>
        <w:t>’</w:t>
      </w:r>
      <w:r w:rsidRPr="0070292F">
        <w:rPr>
          <w:lang w:val="fr-FR"/>
        </w:rPr>
        <w:t>application d</w:t>
      </w:r>
      <w:r w:rsidR="0070292F" w:rsidRPr="0070292F">
        <w:rPr>
          <w:lang w:val="fr-FR"/>
        </w:rPr>
        <w:t>’</w:t>
      </w:r>
      <w:r w:rsidRPr="0070292F">
        <w:rPr>
          <w:lang w:val="fr-FR"/>
        </w:rPr>
        <w:t xml:space="preserve">une mesure de prévention personnelle </w:t>
      </w:r>
      <w:r w:rsidR="00FA019D" w:rsidRPr="0070292F">
        <w:rPr>
          <w:lang w:val="fr-FR"/>
        </w:rPr>
        <w:t>était le</w:t>
      </w:r>
      <w:r w:rsidRPr="0070292F">
        <w:rPr>
          <w:lang w:val="fr-FR"/>
        </w:rPr>
        <w:t xml:space="preserve"> constat de la « dangerosité actuelle » du sujet, laquelle n</w:t>
      </w:r>
      <w:r w:rsidR="0070292F" w:rsidRPr="0070292F">
        <w:rPr>
          <w:lang w:val="fr-FR"/>
        </w:rPr>
        <w:t>’</w:t>
      </w:r>
      <w:r w:rsidR="00515574" w:rsidRPr="0070292F">
        <w:rPr>
          <w:lang w:val="fr-FR"/>
        </w:rPr>
        <w:t>était</w:t>
      </w:r>
      <w:r w:rsidRPr="0070292F">
        <w:rPr>
          <w:lang w:val="fr-FR"/>
        </w:rPr>
        <w:t xml:space="preserve"> pas nécessairement liée à la commission d</w:t>
      </w:r>
      <w:r w:rsidR="0070292F" w:rsidRPr="0070292F">
        <w:rPr>
          <w:lang w:val="fr-FR"/>
        </w:rPr>
        <w:t>’</w:t>
      </w:r>
      <w:r w:rsidRPr="0070292F">
        <w:rPr>
          <w:lang w:val="fr-FR"/>
        </w:rPr>
        <w:t>un</w:t>
      </w:r>
      <w:r w:rsidR="00FA019D" w:rsidRPr="0070292F">
        <w:rPr>
          <w:lang w:val="fr-FR"/>
        </w:rPr>
        <w:t>e infraction</w:t>
      </w:r>
      <w:r w:rsidRPr="0070292F">
        <w:rPr>
          <w:lang w:val="fr-FR"/>
        </w:rPr>
        <w:t xml:space="preserve">, </w:t>
      </w:r>
      <w:r w:rsidR="00FA019D" w:rsidRPr="0070292F">
        <w:rPr>
          <w:lang w:val="fr-FR"/>
        </w:rPr>
        <w:t>même si celle-ci pouvait</w:t>
      </w:r>
      <w:r w:rsidRPr="0070292F">
        <w:rPr>
          <w:lang w:val="fr-FR"/>
        </w:rPr>
        <w:t xml:space="preserve"> éventuellement entrer en ligne de compte. Ce qui import</w:t>
      </w:r>
      <w:r w:rsidR="00FA019D" w:rsidRPr="0070292F">
        <w:rPr>
          <w:lang w:val="fr-FR"/>
        </w:rPr>
        <w:t>ait, pour la Cour de cassation, c</w:t>
      </w:r>
      <w:r w:rsidR="0070292F" w:rsidRPr="0070292F">
        <w:rPr>
          <w:lang w:val="fr-FR"/>
        </w:rPr>
        <w:t>’</w:t>
      </w:r>
      <w:r w:rsidR="00FA019D" w:rsidRPr="0070292F">
        <w:rPr>
          <w:lang w:val="fr-FR"/>
        </w:rPr>
        <w:t xml:space="preserve">était </w:t>
      </w:r>
      <w:r w:rsidRPr="0070292F">
        <w:rPr>
          <w:lang w:val="fr-FR"/>
        </w:rPr>
        <w:t>l</w:t>
      </w:r>
      <w:r w:rsidR="0070292F" w:rsidRPr="0070292F">
        <w:rPr>
          <w:lang w:val="fr-FR"/>
        </w:rPr>
        <w:t>’</w:t>
      </w:r>
      <w:r w:rsidRPr="0070292F">
        <w:rPr>
          <w:lang w:val="fr-FR"/>
        </w:rPr>
        <w:t>existence d</w:t>
      </w:r>
      <w:r w:rsidR="0070292F" w:rsidRPr="0070292F">
        <w:rPr>
          <w:lang w:val="fr-FR"/>
        </w:rPr>
        <w:t>’</w:t>
      </w:r>
      <w:r w:rsidRPr="0070292F">
        <w:rPr>
          <w:lang w:val="fr-FR"/>
        </w:rPr>
        <w:t>une situation complexe d</w:t>
      </w:r>
      <w:r w:rsidR="0070292F" w:rsidRPr="0070292F">
        <w:rPr>
          <w:lang w:val="fr-FR"/>
        </w:rPr>
        <w:t>’</w:t>
      </w:r>
      <w:r w:rsidRPr="0070292F">
        <w:rPr>
          <w:lang w:val="fr-FR"/>
        </w:rPr>
        <w:t>une certaine durée, qui rév</w:t>
      </w:r>
      <w:r w:rsidR="00FA019D" w:rsidRPr="0070292F">
        <w:rPr>
          <w:lang w:val="fr-FR"/>
        </w:rPr>
        <w:t xml:space="preserve">élait </w:t>
      </w:r>
      <w:r w:rsidRPr="0070292F">
        <w:rPr>
          <w:lang w:val="fr-FR"/>
        </w:rPr>
        <w:t>un mode de vie de l</w:t>
      </w:r>
      <w:r w:rsidR="0070292F" w:rsidRPr="0070292F">
        <w:rPr>
          <w:lang w:val="fr-FR"/>
        </w:rPr>
        <w:t>’</w:t>
      </w:r>
      <w:r w:rsidRPr="0070292F">
        <w:rPr>
          <w:lang w:val="fr-FR"/>
        </w:rPr>
        <w:t xml:space="preserve">intéressé </w:t>
      </w:r>
      <w:r w:rsidR="00FA019D" w:rsidRPr="0070292F">
        <w:rPr>
          <w:lang w:val="fr-FR"/>
        </w:rPr>
        <w:t>posant</w:t>
      </w:r>
      <w:r w:rsidRPr="0070292F">
        <w:rPr>
          <w:lang w:val="fr-FR"/>
        </w:rPr>
        <w:t xml:space="preserve"> problème </w:t>
      </w:r>
      <w:r w:rsidR="00FA019D" w:rsidRPr="0070292F">
        <w:rPr>
          <w:lang w:val="fr-FR"/>
        </w:rPr>
        <w:t>sur le plan</w:t>
      </w:r>
      <w:r w:rsidRPr="0070292F">
        <w:rPr>
          <w:lang w:val="fr-FR"/>
        </w:rPr>
        <w:t xml:space="preserve"> de la sécurité publique. L</w:t>
      </w:r>
      <w:r w:rsidR="0070292F" w:rsidRPr="0070292F">
        <w:rPr>
          <w:lang w:val="fr-FR"/>
        </w:rPr>
        <w:t>’</w:t>
      </w:r>
      <w:r w:rsidRPr="0070292F">
        <w:rPr>
          <w:lang w:val="fr-FR"/>
        </w:rPr>
        <w:t xml:space="preserve">évaluation de la « dangerosité actuelle » </w:t>
      </w:r>
      <w:r w:rsidR="00FA019D" w:rsidRPr="0070292F">
        <w:rPr>
          <w:lang w:val="fr-FR"/>
        </w:rPr>
        <w:t xml:space="preserve">était </w:t>
      </w:r>
      <w:r w:rsidRPr="0070292F">
        <w:rPr>
          <w:lang w:val="fr-FR"/>
        </w:rPr>
        <w:t>donc « une évaluation s</w:t>
      </w:r>
      <w:r w:rsidR="0070292F" w:rsidRPr="0070292F">
        <w:rPr>
          <w:lang w:val="fr-FR"/>
        </w:rPr>
        <w:t>’</w:t>
      </w:r>
      <w:r w:rsidRPr="0070292F">
        <w:rPr>
          <w:lang w:val="fr-FR"/>
        </w:rPr>
        <w:t xml:space="preserve">articulant </w:t>
      </w:r>
      <w:r w:rsidR="00FA019D" w:rsidRPr="0070292F">
        <w:rPr>
          <w:lang w:val="fr-FR"/>
        </w:rPr>
        <w:t xml:space="preserve">autour de </w:t>
      </w:r>
      <w:r w:rsidRPr="0070292F">
        <w:rPr>
          <w:lang w:val="fr-FR"/>
        </w:rPr>
        <w:t xml:space="preserve">plusieurs </w:t>
      </w:r>
      <w:r w:rsidR="00FA019D" w:rsidRPr="0070292F">
        <w:rPr>
          <w:lang w:val="fr-FR"/>
        </w:rPr>
        <w:t xml:space="preserve">axes </w:t>
      </w:r>
      <w:r w:rsidRPr="0070292F">
        <w:rPr>
          <w:lang w:val="fr-FR"/>
        </w:rPr>
        <w:t xml:space="preserve">et prenant en considération </w:t>
      </w:r>
      <w:r w:rsidR="00FA019D" w:rsidRPr="0070292F">
        <w:rPr>
          <w:lang w:val="fr-FR"/>
        </w:rPr>
        <w:t xml:space="preserve">divers </w:t>
      </w:r>
      <w:r w:rsidRPr="0070292F">
        <w:rPr>
          <w:lang w:val="fr-FR"/>
        </w:rPr>
        <w:t xml:space="preserve">comportements du sujet, qui </w:t>
      </w:r>
      <w:r w:rsidR="00FA019D" w:rsidRPr="0070292F">
        <w:rPr>
          <w:lang w:val="fr-FR"/>
        </w:rPr>
        <w:t>n</w:t>
      </w:r>
      <w:r w:rsidR="0070292F" w:rsidRPr="0070292F">
        <w:rPr>
          <w:lang w:val="fr-FR"/>
        </w:rPr>
        <w:t>’</w:t>
      </w:r>
      <w:r w:rsidR="00FA019D" w:rsidRPr="0070292F">
        <w:rPr>
          <w:lang w:val="fr-FR"/>
        </w:rPr>
        <w:t>étaient</w:t>
      </w:r>
      <w:r w:rsidRPr="0070292F">
        <w:rPr>
          <w:lang w:val="fr-FR"/>
        </w:rPr>
        <w:t xml:space="preserve"> pas nécessairement susceptibles de poursuites pénales mais </w:t>
      </w:r>
      <w:r w:rsidR="00FA019D" w:rsidRPr="0070292F">
        <w:rPr>
          <w:lang w:val="fr-FR"/>
        </w:rPr>
        <w:t xml:space="preserve">néanmoins </w:t>
      </w:r>
      <w:r w:rsidRPr="0070292F">
        <w:rPr>
          <w:lang w:val="fr-FR"/>
        </w:rPr>
        <w:t xml:space="preserve">révélateurs de </w:t>
      </w:r>
      <w:r w:rsidR="00FA019D" w:rsidRPr="0070292F">
        <w:rPr>
          <w:lang w:val="fr-FR"/>
        </w:rPr>
        <w:t>la</w:t>
      </w:r>
      <w:r w:rsidRPr="0070292F">
        <w:rPr>
          <w:lang w:val="fr-FR"/>
        </w:rPr>
        <w:t xml:space="preserve"> dangerosité sociale</w:t>
      </w:r>
      <w:r w:rsidR="00FA019D" w:rsidRPr="0070292F">
        <w:rPr>
          <w:lang w:val="fr-FR"/>
        </w:rPr>
        <w:t xml:space="preserve"> de l</w:t>
      </w:r>
      <w:r w:rsidR="0070292F" w:rsidRPr="0070292F">
        <w:rPr>
          <w:lang w:val="fr-FR"/>
        </w:rPr>
        <w:t>’</w:t>
      </w:r>
      <w:r w:rsidR="00FA019D" w:rsidRPr="0070292F">
        <w:rPr>
          <w:lang w:val="fr-FR"/>
        </w:rPr>
        <w:t>intéressé</w:t>
      </w:r>
      <w:r w:rsidRPr="0070292F">
        <w:rPr>
          <w:lang w:val="fr-FR"/>
        </w:rPr>
        <w:t> ».</w:t>
      </w:r>
    </w:p>
    <w:bookmarkStart w:id="22" w:name="para58"/>
    <w:p w:rsidR="00186E84" w:rsidRPr="0070292F" w:rsidRDefault="00186E84" w:rsidP="0070292F">
      <w:pPr>
        <w:pStyle w:val="ECHRPara"/>
        <w:rPr>
          <w:rFonts w:eastAsia="Calibri"/>
          <w:lang w:val="fr-FR"/>
        </w:rPr>
      </w:pPr>
      <w:r w:rsidRPr="0070292F">
        <w:rPr>
          <w:rFonts w:ascii="Times New Roman" w:eastAsia="Cambria" w:hAnsi="Times New Roman"/>
          <w:szCs w:val="24"/>
          <w:lang w:val="fr-FR"/>
        </w:rPr>
        <w:fldChar w:fldCharType="begin"/>
      </w:r>
      <w:r w:rsidRPr="0070292F">
        <w:rPr>
          <w:rFonts w:ascii="Times New Roman" w:eastAsia="Cambria" w:hAnsi="Times New Roman"/>
          <w:szCs w:val="24"/>
          <w:lang w:val="fr-FR"/>
        </w:rPr>
        <w:instrText xml:space="preserve"> SEQ level0 \*arabic </w:instrText>
      </w:r>
      <w:r w:rsidRPr="0070292F">
        <w:rPr>
          <w:rFonts w:ascii="Times New Roman" w:eastAsia="Cambria" w:hAnsi="Times New Roman"/>
          <w:szCs w:val="24"/>
          <w:lang w:val="fr-FR"/>
        </w:rPr>
        <w:fldChar w:fldCharType="separate"/>
      </w:r>
      <w:r w:rsidR="0070292F" w:rsidRPr="0070292F">
        <w:rPr>
          <w:rFonts w:ascii="Times New Roman" w:eastAsia="Cambria" w:hAnsi="Times New Roman"/>
          <w:noProof/>
          <w:szCs w:val="24"/>
          <w:lang w:val="fr-FR"/>
        </w:rPr>
        <w:t>63</w:t>
      </w:r>
      <w:r w:rsidRPr="0070292F">
        <w:rPr>
          <w:rFonts w:ascii="Times New Roman" w:eastAsia="Cambria" w:hAnsi="Times New Roman"/>
          <w:szCs w:val="24"/>
          <w:lang w:val="fr-FR"/>
        </w:rPr>
        <w:fldChar w:fldCharType="end"/>
      </w:r>
      <w:bookmarkEnd w:id="22"/>
      <w:r w:rsidRPr="0070292F">
        <w:rPr>
          <w:rFonts w:ascii="Times New Roman" w:eastAsia="Cambria" w:hAnsi="Times New Roman"/>
          <w:szCs w:val="24"/>
          <w:lang w:val="fr-FR"/>
        </w:rPr>
        <w:t>.  Dans l</w:t>
      </w:r>
      <w:r w:rsidR="0070292F" w:rsidRPr="0070292F">
        <w:rPr>
          <w:rFonts w:ascii="Times New Roman" w:eastAsia="Cambria" w:hAnsi="Times New Roman"/>
          <w:szCs w:val="24"/>
          <w:lang w:val="fr-FR"/>
        </w:rPr>
        <w:t>’</w:t>
      </w:r>
      <w:r w:rsidRPr="0070292F">
        <w:rPr>
          <w:rFonts w:ascii="Times New Roman" w:eastAsia="Cambria" w:hAnsi="Times New Roman"/>
          <w:szCs w:val="24"/>
          <w:lang w:val="fr-FR"/>
        </w:rPr>
        <w:t xml:space="preserve">arrêt </w:t>
      </w:r>
      <w:r w:rsidRPr="0070292F">
        <w:rPr>
          <w:rFonts w:eastAsia="Calibri"/>
          <w:lang w:val="fr-FR"/>
        </w:rPr>
        <w:t>n</w:t>
      </w:r>
      <w:r w:rsidR="008C1E94" w:rsidRPr="0070292F">
        <w:rPr>
          <w:rFonts w:eastAsia="Calibri"/>
          <w:vertAlign w:val="superscript"/>
          <w:lang w:val="fr-FR"/>
        </w:rPr>
        <w:t>o</w:t>
      </w:r>
      <w:r w:rsidRPr="0070292F">
        <w:rPr>
          <w:rFonts w:eastAsia="Calibri"/>
          <w:lang w:val="fr-FR"/>
        </w:rPr>
        <w:t xml:space="preserve"> 23641 de 2014, la Cour de cassation jug</w:t>
      </w:r>
      <w:r w:rsidR="00FA019D" w:rsidRPr="0070292F">
        <w:rPr>
          <w:rFonts w:eastAsia="Calibri"/>
          <w:lang w:val="fr-FR"/>
        </w:rPr>
        <w:t>ea</w:t>
      </w:r>
      <w:r w:rsidRPr="0070292F">
        <w:rPr>
          <w:rFonts w:eastAsia="Calibri"/>
          <w:lang w:val="fr-FR"/>
        </w:rPr>
        <w:t xml:space="preserve"> que l</w:t>
      </w:r>
      <w:r w:rsidR="0070292F" w:rsidRPr="0070292F">
        <w:rPr>
          <w:rFonts w:eastAsia="Calibri"/>
          <w:lang w:val="fr-FR"/>
        </w:rPr>
        <w:t>’</w:t>
      </w:r>
      <w:r w:rsidRPr="0070292F">
        <w:rPr>
          <w:rFonts w:eastAsia="Calibri"/>
          <w:lang w:val="fr-FR"/>
        </w:rPr>
        <w:t>évaluation</w:t>
      </w:r>
      <w:r w:rsidR="00446664" w:rsidRPr="0070292F">
        <w:rPr>
          <w:rFonts w:eastAsia="Calibri"/>
          <w:lang w:val="fr-FR"/>
        </w:rPr>
        <w:t xml:space="preserve"> de la dangerosité </w:t>
      </w:r>
      <w:r w:rsidRPr="0070292F">
        <w:rPr>
          <w:rFonts w:eastAsia="Calibri"/>
          <w:lang w:val="fr-FR"/>
        </w:rPr>
        <w:t>aux fins de l</w:t>
      </w:r>
      <w:r w:rsidR="0070292F" w:rsidRPr="0070292F">
        <w:rPr>
          <w:rFonts w:eastAsia="Calibri"/>
          <w:lang w:val="fr-FR"/>
        </w:rPr>
        <w:t>’</w:t>
      </w:r>
      <w:r w:rsidRPr="0070292F">
        <w:rPr>
          <w:rFonts w:eastAsia="Calibri"/>
          <w:lang w:val="fr-FR"/>
        </w:rPr>
        <w:t xml:space="preserve">application </w:t>
      </w:r>
      <w:r w:rsidR="00515574" w:rsidRPr="0070292F">
        <w:rPr>
          <w:rFonts w:eastAsia="Calibri"/>
          <w:lang w:val="fr-FR"/>
        </w:rPr>
        <w:t>d</w:t>
      </w:r>
      <w:r w:rsidR="0070292F" w:rsidRPr="0070292F">
        <w:rPr>
          <w:rFonts w:eastAsia="Calibri"/>
          <w:lang w:val="fr-FR"/>
        </w:rPr>
        <w:t>’</w:t>
      </w:r>
      <w:r w:rsidR="00515574" w:rsidRPr="0070292F">
        <w:rPr>
          <w:rFonts w:eastAsia="Calibri"/>
          <w:lang w:val="fr-FR"/>
        </w:rPr>
        <w:t>une</w:t>
      </w:r>
      <w:r w:rsidRPr="0070292F">
        <w:rPr>
          <w:rFonts w:eastAsia="Calibri"/>
          <w:lang w:val="fr-FR"/>
        </w:rPr>
        <w:t xml:space="preserve"> mesure de prévention ne consist</w:t>
      </w:r>
      <w:r w:rsidR="00FA019D" w:rsidRPr="0070292F">
        <w:rPr>
          <w:rFonts w:eastAsia="Calibri"/>
          <w:lang w:val="fr-FR"/>
        </w:rPr>
        <w:t>ait</w:t>
      </w:r>
      <w:r w:rsidRPr="0070292F">
        <w:rPr>
          <w:rFonts w:eastAsia="Calibri"/>
          <w:lang w:val="fr-FR"/>
        </w:rPr>
        <w:t xml:space="preserve"> pas en une simple appréciation de la dangerosité subjective mais </w:t>
      </w:r>
      <w:r w:rsidR="00FA019D" w:rsidRPr="0070292F">
        <w:rPr>
          <w:rFonts w:eastAsia="Calibri"/>
          <w:lang w:val="fr-FR"/>
        </w:rPr>
        <w:t>correspondait à</w:t>
      </w:r>
      <w:r w:rsidRPr="0070292F">
        <w:rPr>
          <w:rFonts w:eastAsia="Calibri"/>
          <w:lang w:val="fr-FR"/>
        </w:rPr>
        <w:t xml:space="preserve"> l</w:t>
      </w:r>
      <w:r w:rsidR="0070292F" w:rsidRPr="0070292F">
        <w:rPr>
          <w:rFonts w:eastAsia="Calibri"/>
          <w:lang w:val="fr-FR"/>
        </w:rPr>
        <w:t>’</w:t>
      </w:r>
      <w:r w:rsidRPr="0070292F">
        <w:rPr>
          <w:rFonts w:eastAsia="Calibri"/>
          <w:lang w:val="fr-FR"/>
        </w:rPr>
        <w:t xml:space="preserve">appréciation de « faits » </w:t>
      </w:r>
      <w:r w:rsidR="00FA019D" w:rsidRPr="0070292F">
        <w:rPr>
          <w:rFonts w:eastAsia="Calibri"/>
          <w:lang w:val="fr-FR"/>
        </w:rPr>
        <w:t>que l</w:t>
      </w:r>
      <w:r w:rsidR="0070292F" w:rsidRPr="0070292F">
        <w:rPr>
          <w:rFonts w:eastAsia="Calibri"/>
          <w:lang w:val="fr-FR"/>
        </w:rPr>
        <w:t>’</w:t>
      </w:r>
      <w:r w:rsidR="00FA019D" w:rsidRPr="0070292F">
        <w:rPr>
          <w:rFonts w:eastAsia="Calibri"/>
          <w:lang w:val="fr-FR"/>
        </w:rPr>
        <w:t>on pouvait</w:t>
      </w:r>
      <w:r w:rsidRPr="0070292F">
        <w:rPr>
          <w:rFonts w:eastAsia="Calibri"/>
          <w:lang w:val="fr-FR"/>
        </w:rPr>
        <w:t xml:space="preserve"> évaluer </w:t>
      </w:r>
      <w:r w:rsidR="00FA019D" w:rsidRPr="0070292F">
        <w:rPr>
          <w:rFonts w:eastAsia="Calibri"/>
          <w:lang w:val="fr-FR"/>
        </w:rPr>
        <w:t xml:space="preserve">historiquement </w:t>
      </w:r>
      <w:r w:rsidRPr="0070292F">
        <w:rPr>
          <w:rFonts w:eastAsia="Calibri"/>
          <w:lang w:val="fr-FR"/>
        </w:rPr>
        <w:t xml:space="preserve">et qui </w:t>
      </w:r>
      <w:r w:rsidR="00FA019D" w:rsidRPr="0070292F">
        <w:rPr>
          <w:rFonts w:eastAsia="Calibri"/>
          <w:lang w:val="fr-FR"/>
        </w:rPr>
        <w:t>étaient eux-mêmes</w:t>
      </w:r>
      <w:r w:rsidRPr="0070292F">
        <w:rPr>
          <w:rFonts w:eastAsia="Calibri"/>
          <w:lang w:val="fr-FR"/>
        </w:rPr>
        <w:t xml:space="preserve"> des « indicateurs » de la </w:t>
      </w:r>
      <w:r w:rsidRPr="0070292F">
        <w:rPr>
          <w:rFonts w:eastAsia="Calibri"/>
          <w:lang w:val="fr-FR"/>
        </w:rPr>
        <w:lastRenderedPageBreak/>
        <w:t>possibilité d</w:t>
      </w:r>
      <w:r w:rsidR="0070292F" w:rsidRPr="0070292F">
        <w:rPr>
          <w:rFonts w:eastAsia="Calibri"/>
          <w:lang w:val="fr-FR"/>
        </w:rPr>
        <w:t>’</w:t>
      </w:r>
      <w:r w:rsidRPr="0070292F">
        <w:rPr>
          <w:rFonts w:eastAsia="Calibri"/>
          <w:lang w:val="fr-FR"/>
        </w:rPr>
        <w:t>inscrire le sujet concerné dans l</w:t>
      </w:r>
      <w:r w:rsidR="0070292F" w:rsidRPr="0070292F">
        <w:rPr>
          <w:rFonts w:eastAsia="Calibri"/>
          <w:lang w:val="fr-FR"/>
        </w:rPr>
        <w:t>’</w:t>
      </w:r>
      <w:r w:rsidRPr="0070292F">
        <w:rPr>
          <w:rFonts w:eastAsia="Calibri"/>
          <w:lang w:val="fr-FR"/>
        </w:rPr>
        <w:t xml:space="preserve">une des catégories criminologiques </w:t>
      </w:r>
      <w:r w:rsidR="00FA019D" w:rsidRPr="0070292F">
        <w:rPr>
          <w:rFonts w:eastAsia="Calibri"/>
          <w:lang w:val="fr-FR"/>
        </w:rPr>
        <w:t xml:space="preserve">définies </w:t>
      </w:r>
      <w:r w:rsidRPr="0070292F">
        <w:rPr>
          <w:rFonts w:eastAsia="Calibri"/>
          <w:lang w:val="fr-FR"/>
        </w:rPr>
        <w:t>par la loi.</w:t>
      </w:r>
    </w:p>
    <w:p w:rsidR="00186E84" w:rsidRPr="0070292F" w:rsidRDefault="00186E84" w:rsidP="0070292F">
      <w:pPr>
        <w:pStyle w:val="ECHRPara"/>
        <w:rPr>
          <w:rFonts w:eastAsia="Calibri"/>
          <w:lang w:val="fr-FR"/>
        </w:rPr>
      </w:pPr>
      <w:r w:rsidRPr="0070292F">
        <w:rPr>
          <w:rFonts w:eastAsia="Calibri"/>
          <w:lang w:val="fr-FR"/>
        </w:rPr>
        <w:t xml:space="preserve">Ainsi, </w:t>
      </w:r>
      <w:r w:rsidR="006E188B" w:rsidRPr="0070292F">
        <w:rPr>
          <w:rFonts w:eastAsia="Calibri"/>
          <w:lang w:val="fr-FR"/>
        </w:rPr>
        <w:t xml:space="preserve">pour </w:t>
      </w:r>
      <w:r w:rsidR="00FA019D" w:rsidRPr="0070292F">
        <w:rPr>
          <w:rFonts w:eastAsia="Calibri"/>
          <w:lang w:val="fr-FR"/>
        </w:rPr>
        <w:t xml:space="preserve">la Cour de cassation, </w:t>
      </w:r>
      <w:r w:rsidRPr="0070292F">
        <w:rPr>
          <w:rFonts w:eastAsia="Calibri"/>
          <w:lang w:val="fr-FR"/>
        </w:rPr>
        <w:t xml:space="preserve">le sujet « examiné dans une procédure de prévention </w:t>
      </w:r>
      <w:r w:rsidR="00FA019D" w:rsidRPr="0070292F">
        <w:rPr>
          <w:rFonts w:eastAsia="Calibri"/>
          <w:lang w:val="fr-FR"/>
        </w:rPr>
        <w:t>n</w:t>
      </w:r>
      <w:r w:rsidR="0070292F" w:rsidRPr="0070292F">
        <w:rPr>
          <w:rFonts w:eastAsia="Calibri"/>
          <w:lang w:val="fr-FR"/>
        </w:rPr>
        <w:t>’</w:t>
      </w:r>
      <w:r w:rsidR="00FA019D" w:rsidRPr="0070292F">
        <w:rPr>
          <w:rFonts w:eastAsia="Calibri"/>
          <w:lang w:val="fr-FR"/>
        </w:rPr>
        <w:t xml:space="preserve">était </w:t>
      </w:r>
      <w:r w:rsidRPr="0070292F">
        <w:rPr>
          <w:rFonts w:eastAsia="Calibri"/>
          <w:lang w:val="fr-FR"/>
        </w:rPr>
        <w:t xml:space="preserve">pas </w:t>
      </w:r>
      <w:r w:rsidR="00FA019D" w:rsidRPr="0070292F">
        <w:rPr>
          <w:rFonts w:eastAsia="Calibri"/>
          <w:lang w:val="fr-FR"/>
        </w:rPr>
        <w:t xml:space="preserve">tenu pour </w:t>
      </w:r>
      <w:r w:rsidRPr="0070292F">
        <w:rPr>
          <w:rFonts w:eastAsia="Calibri"/>
          <w:lang w:val="fr-FR"/>
        </w:rPr>
        <w:t xml:space="preserve">« coupable » ou « non coupable » </w:t>
      </w:r>
      <w:r w:rsidR="00FA019D" w:rsidRPr="0070292F">
        <w:rPr>
          <w:rFonts w:eastAsia="Calibri"/>
          <w:lang w:val="fr-FR"/>
        </w:rPr>
        <w:t>de la commission</w:t>
      </w:r>
      <w:r w:rsidRPr="0070292F">
        <w:rPr>
          <w:rFonts w:eastAsia="Calibri"/>
          <w:lang w:val="fr-FR"/>
        </w:rPr>
        <w:t xml:space="preserve"> d</w:t>
      </w:r>
      <w:r w:rsidR="0070292F" w:rsidRPr="0070292F">
        <w:rPr>
          <w:rFonts w:eastAsia="Calibri"/>
          <w:lang w:val="fr-FR"/>
        </w:rPr>
        <w:t>’</w:t>
      </w:r>
      <w:r w:rsidRPr="0070292F">
        <w:rPr>
          <w:rFonts w:eastAsia="Calibri"/>
          <w:lang w:val="fr-FR"/>
        </w:rPr>
        <w:t xml:space="preserve">un </w:t>
      </w:r>
      <w:r w:rsidR="00FA019D" w:rsidRPr="0070292F">
        <w:rPr>
          <w:rFonts w:eastAsia="Calibri"/>
          <w:lang w:val="fr-FR"/>
        </w:rPr>
        <w:t>acte</w:t>
      </w:r>
      <w:r w:rsidRPr="0070292F">
        <w:rPr>
          <w:rFonts w:eastAsia="Calibri"/>
          <w:lang w:val="fr-FR"/>
        </w:rPr>
        <w:t xml:space="preserve"> spécifique, mais </w:t>
      </w:r>
      <w:r w:rsidR="00FA019D" w:rsidRPr="0070292F">
        <w:rPr>
          <w:rFonts w:eastAsia="Calibri"/>
          <w:lang w:val="fr-FR"/>
        </w:rPr>
        <w:t>pour</w:t>
      </w:r>
      <w:r w:rsidRPr="0070292F">
        <w:rPr>
          <w:rFonts w:eastAsia="Calibri"/>
          <w:lang w:val="fr-FR"/>
        </w:rPr>
        <w:t xml:space="preserve"> « dangereux » ou « non dangereux » </w:t>
      </w:r>
      <w:r w:rsidR="00FA019D" w:rsidRPr="0070292F">
        <w:rPr>
          <w:rFonts w:eastAsia="Calibri"/>
          <w:lang w:val="fr-FR"/>
        </w:rPr>
        <w:t>eu égard</w:t>
      </w:r>
      <w:r w:rsidRPr="0070292F">
        <w:rPr>
          <w:rFonts w:eastAsia="Calibri"/>
          <w:lang w:val="fr-FR"/>
        </w:rPr>
        <w:t xml:space="preserve"> à son comportement antérieur (tel que reconst</w:t>
      </w:r>
      <w:r w:rsidR="00FA019D" w:rsidRPr="0070292F">
        <w:rPr>
          <w:rFonts w:eastAsia="Calibri"/>
          <w:lang w:val="fr-FR"/>
        </w:rPr>
        <w:t>itué</w:t>
      </w:r>
      <w:r w:rsidRPr="0070292F">
        <w:rPr>
          <w:rFonts w:eastAsia="Calibri"/>
          <w:lang w:val="fr-FR"/>
        </w:rPr>
        <w:t xml:space="preserve"> </w:t>
      </w:r>
      <w:r w:rsidR="00FA019D" w:rsidRPr="0070292F">
        <w:rPr>
          <w:rFonts w:eastAsia="Calibri"/>
          <w:lang w:val="fr-FR"/>
        </w:rPr>
        <w:t>à partir de</w:t>
      </w:r>
      <w:r w:rsidRPr="0070292F">
        <w:rPr>
          <w:rFonts w:eastAsia="Calibri"/>
          <w:lang w:val="fr-FR"/>
        </w:rPr>
        <w:t xml:space="preserve"> différentes sources d</w:t>
      </w:r>
      <w:r w:rsidR="0070292F" w:rsidRPr="0070292F">
        <w:rPr>
          <w:rFonts w:eastAsia="Calibri"/>
          <w:lang w:val="fr-FR"/>
        </w:rPr>
        <w:t>’</w:t>
      </w:r>
      <w:r w:rsidRPr="0070292F">
        <w:rPr>
          <w:rFonts w:eastAsia="Calibri"/>
          <w:lang w:val="fr-FR"/>
        </w:rPr>
        <w:t>information), considéré comme « indice révélateur » de la possibilité de futurs comportement</w:t>
      </w:r>
      <w:r w:rsidR="0002688E" w:rsidRPr="0070292F">
        <w:rPr>
          <w:rFonts w:eastAsia="Calibri"/>
          <w:lang w:val="fr-FR"/>
        </w:rPr>
        <w:t>s</w:t>
      </w:r>
      <w:r w:rsidRPr="0070292F">
        <w:rPr>
          <w:rFonts w:eastAsia="Calibri"/>
          <w:lang w:val="fr-FR"/>
        </w:rPr>
        <w:t xml:space="preserve"> tendant à perturber l</w:t>
      </w:r>
      <w:r w:rsidR="0070292F" w:rsidRPr="0070292F">
        <w:rPr>
          <w:rFonts w:eastAsia="Calibri"/>
          <w:lang w:val="fr-FR"/>
        </w:rPr>
        <w:t>’</w:t>
      </w:r>
      <w:r w:rsidRPr="0070292F">
        <w:rPr>
          <w:rFonts w:eastAsia="Calibri"/>
          <w:lang w:val="fr-FR"/>
        </w:rPr>
        <w:t>ordre social ou l</w:t>
      </w:r>
      <w:r w:rsidR="0070292F" w:rsidRPr="0070292F">
        <w:rPr>
          <w:rFonts w:eastAsia="Calibri"/>
          <w:lang w:val="fr-FR"/>
        </w:rPr>
        <w:t>’</w:t>
      </w:r>
      <w:r w:rsidRPr="0070292F">
        <w:rPr>
          <w:rFonts w:eastAsia="Calibri"/>
          <w:lang w:val="fr-FR"/>
        </w:rPr>
        <w:t>ordre économique</w:t>
      </w:r>
      <w:r w:rsidR="008C671D" w:rsidRPr="0070292F">
        <w:rPr>
          <w:rFonts w:eastAsia="Calibri"/>
          <w:lang w:val="fr-FR"/>
        </w:rPr>
        <w:t>,</w:t>
      </w:r>
      <w:r w:rsidRPr="0070292F">
        <w:rPr>
          <w:rFonts w:eastAsia="Calibri"/>
          <w:lang w:val="fr-FR"/>
        </w:rPr>
        <w:t xml:space="preserve"> et ce </w:t>
      </w:r>
      <w:r w:rsidR="008C671D" w:rsidRPr="0070292F">
        <w:rPr>
          <w:rFonts w:eastAsia="Calibri"/>
          <w:lang w:val="fr-FR"/>
        </w:rPr>
        <w:t xml:space="preserve">au regard </w:t>
      </w:r>
      <w:r w:rsidRPr="0070292F">
        <w:rPr>
          <w:rFonts w:eastAsia="Calibri"/>
          <w:lang w:val="fr-FR"/>
        </w:rPr>
        <w:t>de dispositions législatives précises qui « qualifient » les div</w:t>
      </w:r>
      <w:r w:rsidR="009A7174" w:rsidRPr="0070292F">
        <w:rPr>
          <w:rFonts w:eastAsia="Calibri"/>
          <w:lang w:val="fr-FR"/>
        </w:rPr>
        <w:t>erses catégories de dangerosité.</w:t>
      </w:r>
    </w:p>
    <w:p w:rsidR="00186E84" w:rsidRPr="0070292F" w:rsidRDefault="00B97F40" w:rsidP="0070292F">
      <w:pPr>
        <w:pStyle w:val="ECHRPara"/>
        <w:rPr>
          <w:rFonts w:eastAsia="Calibri"/>
          <w:lang w:val="fr-FR"/>
        </w:rPr>
      </w:pPr>
      <w:r w:rsidRPr="0070292F">
        <w:rPr>
          <w:rFonts w:eastAsia="Calibri"/>
          <w:lang w:val="fr-FR"/>
        </w:rPr>
        <w:fldChar w:fldCharType="begin"/>
      </w:r>
      <w:r w:rsidRPr="0070292F">
        <w:rPr>
          <w:rFonts w:eastAsia="Calibri"/>
          <w:lang w:val="fr-FR"/>
        </w:rPr>
        <w:instrText xml:space="preserve"> SEQ level0 \*arabic </w:instrText>
      </w:r>
      <w:r w:rsidRPr="0070292F">
        <w:rPr>
          <w:rFonts w:eastAsia="Calibri"/>
          <w:lang w:val="fr-FR"/>
        </w:rPr>
        <w:fldChar w:fldCharType="separate"/>
      </w:r>
      <w:r w:rsidR="0070292F" w:rsidRPr="0070292F">
        <w:rPr>
          <w:rFonts w:eastAsia="Calibri"/>
          <w:noProof/>
          <w:lang w:val="fr-FR"/>
        </w:rPr>
        <w:t>64</w:t>
      </w:r>
      <w:r w:rsidRPr="0070292F">
        <w:rPr>
          <w:rFonts w:eastAsia="Calibri"/>
          <w:lang w:val="fr-FR"/>
        </w:rPr>
        <w:fldChar w:fldCharType="end"/>
      </w:r>
      <w:r w:rsidRPr="0070292F">
        <w:rPr>
          <w:rFonts w:eastAsia="Calibri"/>
          <w:lang w:val="fr-FR"/>
        </w:rPr>
        <w:t>.  </w:t>
      </w:r>
      <w:r w:rsidR="00EA417F" w:rsidRPr="0070292F">
        <w:rPr>
          <w:rFonts w:eastAsia="Calibri"/>
          <w:lang w:val="fr-FR"/>
        </w:rPr>
        <w:t>Selon la Cour de cassation, le rattachement à une</w:t>
      </w:r>
      <w:r w:rsidR="00186E84" w:rsidRPr="0070292F">
        <w:rPr>
          <w:rFonts w:eastAsia="Calibri"/>
          <w:lang w:val="fr-FR"/>
        </w:rPr>
        <w:t xml:space="preserve"> telle catégorie </w:t>
      </w:r>
      <w:r w:rsidR="00EA417F" w:rsidRPr="0070292F">
        <w:rPr>
          <w:rFonts w:eastAsia="Calibri"/>
          <w:lang w:val="fr-FR"/>
        </w:rPr>
        <w:t xml:space="preserve">était </w:t>
      </w:r>
      <w:r w:rsidR="00186E84" w:rsidRPr="0070292F">
        <w:rPr>
          <w:rFonts w:eastAsia="Calibri"/>
          <w:lang w:val="fr-FR"/>
        </w:rPr>
        <w:t xml:space="preserve">la condition nécessaire mais </w:t>
      </w:r>
      <w:r w:rsidR="00EA417F" w:rsidRPr="0070292F">
        <w:rPr>
          <w:rFonts w:eastAsia="Calibri"/>
          <w:lang w:val="fr-FR"/>
        </w:rPr>
        <w:t xml:space="preserve">non </w:t>
      </w:r>
      <w:r w:rsidR="00186E84" w:rsidRPr="0070292F">
        <w:rPr>
          <w:rFonts w:eastAsia="Calibri"/>
          <w:lang w:val="fr-FR"/>
        </w:rPr>
        <w:t>suffisante pour l</w:t>
      </w:r>
      <w:r w:rsidR="0070292F" w:rsidRPr="0070292F">
        <w:rPr>
          <w:rFonts w:eastAsia="Calibri"/>
          <w:lang w:val="fr-FR"/>
        </w:rPr>
        <w:t>’</w:t>
      </w:r>
      <w:r w:rsidR="00186E84" w:rsidRPr="0070292F">
        <w:rPr>
          <w:rFonts w:eastAsia="Calibri"/>
          <w:lang w:val="fr-FR"/>
        </w:rPr>
        <w:t xml:space="preserve">application de la mesure de prévention personnelle, </w:t>
      </w:r>
      <w:r w:rsidR="00EA417F" w:rsidRPr="0070292F">
        <w:rPr>
          <w:rFonts w:eastAsia="Calibri"/>
          <w:lang w:val="fr-FR"/>
        </w:rPr>
        <w:t>dès lors</w:t>
      </w:r>
      <w:r w:rsidR="00186E84" w:rsidRPr="0070292F">
        <w:rPr>
          <w:rFonts w:eastAsia="Calibri"/>
          <w:lang w:val="fr-FR"/>
        </w:rPr>
        <w:t xml:space="preserve"> que </w:t>
      </w:r>
      <w:r w:rsidR="00EA417F" w:rsidRPr="0070292F">
        <w:rPr>
          <w:rFonts w:eastAsia="Calibri"/>
          <w:lang w:val="fr-FR"/>
        </w:rPr>
        <w:t xml:space="preserve">les </w:t>
      </w:r>
      <w:r w:rsidR="00186E84" w:rsidRPr="0070292F">
        <w:rPr>
          <w:rFonts w:eastAsia="Calibri"/>
          <w:lang w:val="fr-FR"/>
        </w:rPr>
        <w:t xml:space="preserve">catégories </w:t>
      </w:r>
      <w:r w:rsidR="00EA417F" w:rsidRPr="0070292F">
        <w:rPr>
          <w:rFonts w:eastAsia="Calibri"/>
          <w:lang w:val="fr-FR"/>
        </w:rPr>
        <w:t xml:space="preserve">en question </w:t>
      </w:r>
      <w:r w:rsidR="00186E84" w:rsidRPr="0070292F">
        <w:rPr>
          <w:rFonts w:eastAsia="Calibri"/>
          <w:lang w:val="fr-FR"/>
        </w:rPr>
        <w:t>représent</w:t>
      </w:r>
      <w:r w:rsidR="00EA417F" w:rsidRPr="0070292F">
        <w:rPr>
          <w:rFonts w:eastAsia="Calibri"/>
          <w:lang w:val="fr-FR"/>
        </w:rPr>
        <w:t>ai</w:t>
      </w:r>
      <w:r w:rsidR="00186E84" w:rsidRPr="0070292F">
        <w:rPr>
          <w:rFonts w:eastAsia="Calibri"/>
          <w:lang w:val="fr-FR"/>
        </w:rPr>
        <w:t>ent des indicateurs de la dangerosité sociale du sujet</w:t>
      </w:r>
      <w:r w:rsidR="00EA417F" w:rsidRPr="0070292F">
        <w:rPr>
          <w:rFonts w:eastAsia="Calibri"/>
          <w:lang w:val="fr-FR"/>
        </w:rPr>
        <w:t>,</w:t>
      </w:r>
      <w:r w:rsidR="00186E84" w:rsidRPr="0070292F">
        <w:rPr>
          <w:rFonts w:eastAsia="Calibri"/>
          <w:lang w:val="fr-FR"/>
        </w:rPr>
        <w:t xml:space="preserve"> comme </w:t>
      </w:r>
      <w:r w:rsidR="00EA417F" w:rsidRPr="0070292F">
        <w:rPr>
          <w:rFonts w:eastAsia="Calibri"/>
          <w:lang w:val="fr-FR"/>
        </w:rPr>
        <w:t xml:space="preserve">cela ressortait </w:t>
      </w:r>
      <w:r w:rsidR="00186E84" w:rsidRPr="0070292F">
        <w:rPr>
          <w:rFonts w:eastAsia="Calibri"/>
          <w:lang w:val="fr-FR"/>
        </w:rPr>
        <w:t xml:space="preserve">clairement </w:t>
      </w:r>
      <w:r w:rsidR="00EA417F" w:rsidRPr="0070292F">
        <w:rPr>
          <w:rFonts w:eastAsia="Calibri"/>
          <w:lang w:val="fr-FR"/>
        </w:rPr>
        <w:t xml:space="preserve">de </w:t>
      </w:r>
      <w:r w:rsidR="009A7174" w:rsidRPr="0070292F">
        <w:rPr>
          <w:rFonts w:eastAsia="Calibri"/>
          <w:lang w:val="fr-FR"/>
        </w:rPr>
        <w:t>l</w:t>
      </w:r>
      <w:r w:rsidR="0070292F" w:rsidRPr="0070292F">
        <w:rPr>
          <w:rFonts w:eastAsia="Calibri"/>
          <w:lang w:val="fr-FR"/>
        </w:rPr>
        <w:t>’</w:t>
      </w:r>
      <w:r w:rsidR="009A7174" w:rsidRPr="0070292F">
        <w:rPr>
          <w:rFonts w:eastAsia="Calibri"/>
          <w:lang w:val="fr-FR"/>
        </w:rPr>
        <w:t>article</w:t>
      </w:r>
      <w:r w:rsidR="00186E84" w:rsidRPr="0070292F">
        <w:rPr>
          <w:rFonts w:eastAsia="Calibri"/>
          <w:lang w:val="fr-FR"/>
        </w:rPr>
        <w:t xml:space="preserve"> 1</w:t>
      </w:r>
      <w:r w:rsidR="00EA417F" w:rsidRPr="0070292F">
        <w:rPr>
          <w:rFonts w:eastAsia="Calibri"/>
          <w:lang w:val="fr-FR"/>
        </w:rPr>
        <w:t>,</w:t>
      </w:r>
      <w:r w:rsidR="00186E84" w:rsidRPr="0070292F">
        <w:rPr>
          <w:rFonts w:eastAsia="Calibri"/>
          <w:lang w:val="fr-FR"/>
        </w:rPr>
        <w:t xml:space="preserve"> alinéa 3</w:t>
      </w:r>
      <w:r w:rsidR="00EA417F" w:rsidRPr="0070292F">
        <w:rPr>
          <w:rFonts w:eastAsia="Calibri"/>
          <w:lang w:val="fr-FR"/>
        </w:rPr>
        <w:t>,</w:t>
      </w:r>
      <w:r w:rsidR="00186E84" w:rsidRPr="0070292F">
        <w:rPr>
          <w:rFonts w:eastAsia="Calibri"/>
          <w:lang w:val="fr-FR"/>
        </w:rPr>
        <w:t xml:space="preserve"> de la loi de délégation du </w:t>
      </w:r>
      <w:r w:rsidR="0002688E" w:rsidRPr="0070292F">
        <w:rPr>
          <w:rFonts w:eastAsia="Calibri"/>
          <w:lang w:val="fr-FR"/>
        </w:rPr>
        <w:t>13</w:t>
      </w:r>
      <w:r w:rsidR="00FC5DC6" w:rsidRPr="0070292F">
        <w:rPr>
          <w:rFonts w:eastAsia="Calibri"/>
          <w:lang w:val="fr-FR"/>
        </w:rPr>
        <w:t> </w:t>
      </w:r>
      <w:r w:rsidR="0002688E" w:rsidRPr="0070292F">
        <w:rPr>
          <w:rFonts w:eastAsia="Calibri"/>
          <w:lang w:val="fr-FR"/>
        </w:rPr>
        <w:t>août 2010 n</w:t>
      </w:r>
      <w:r w:rsidR="008C1E94" w:rsidRPr="0070292F">
        <w:rPr>
          <w:rFonts w:eastAsia="Calibri"/>
          <w:vertAlign w:val="superscript"/>
          <w:lang w:val="fr-FR"/>
        </w:rPr>
        <w:t>o</w:t>
      </w:r>
      <w:r w:rsidR="0002688E" w:rsidRPr="0070292F">
        <w:rPr>
          <w:rFonts w:eastAsia="Calibri"/>
          <w:lang w:val="fr-FR"/>
        </w:rPr>
        <w:t> </w:t>
      </w:r>
      <w:r w:rsidR="00186E84" w:rsidRPr="0070292F">
        <w:rPr>
          <w:rFonts w:eastAsia="Calibri"/>
          <w:lang w:val="fr-FR"/>
        </w:rPr>
        <w:t>136</w:t>
      </w:r>
      <w:r w:rsidR="00EA417F" w:rsidRPr="0070292F">
        <w:rPr>
          <w:rFonts w:eastAsia="Calibri"/>
          <w:lang w:val="fr-FR"/>
        </w:rPr>
        <w:t>,</w:t>
      </w:r>
      <w:r w:rsidR="00186E84" w:rsidRPr="0070292F">
        <w:rPr>
          <w:rFonts w:eastAsia="Calibri"/>
          <w:lang w:val="fr-FR"/>
        </w:rPr>
        <w:t xml:space="preserve"> sur la base de laquelle a été promul</w:t>
      </w:r>
      <w:r w:rsidR="009A7174" w:rsidRPr="0070292F">
        <w:rPr>
          <w:rFonts w:eastAsia="Calibri"/>
          <w:lang w:val="fr-FR"/>
        </w:rPr>
        <w:t xml:space="preserve">gué le </w:t>
      </w:r>
      <w:r w:rsidR="00EA417F" w:rsidRPr="0070292F">
        <w:rPr>
          <w:rFonts w:eastAsia="Calibri"/>
          <w:lang w:val="fr-FR"/>
        </w:rPr>
        <w:t>d</w:t>
      </w:r>
      <w:r w:rsidR="009A7174" w:rsidRPr="0070292F">
        <w:rPr>
          <w:rFonts w:eastAsia="Calibri"/>
          <w:lang w:val="fr-FR"/>
        </w:rPr>
        <w:t>écret législatif n</w:t>
      </w:r>
      <w:r w:rsidR="008C1E94" w:rsidRPr="0070292F">
        <w:rPr>
          <w:rFonts w:eastAsia="Calibri"/>
          <w:vertAlign w:val="superscript"/>
          <w:lang w:val="fr-FR"/>
        </w:rPr>
        <w:t>o</w:t>
      </w:r>
      <w:r w:rsidR="00E36453" w:rsidRPr="0070292F">
        <w:rPr>
          <w:lang w:val="fr-FR"/>
        </w:rPr>
        <w:t> </w:t>
      </w:r>
      <w:r w:rsidR="009A7174" w:rsidRPr="0070292F">
        <w:rPr>
          <w:rFonts w:eastAsia="Calibri"/>
          <w:lang w:val="fr-FR"/>
        </w:rPr>
        <w:t>159 de 2011.</w:t>
      </w:r>
    </w:p>
    <w:p w:rsidR="00217ABA" w:rsidRPr="0070292F" w:rsidRDefault="001B01D1" w:rsidP="0070292F">
      <w:pPr>
        <w:pStyle w:val="ECHRHeading2"/>
        <w:rPr>
          <w:lang w:val="fr-FR"/>
        </w:rPr>
      </w:pPr>
      <w:bookmarkStart w:id="23" w:name="_Toc475451841"/>
      <w:r w:rsidRPr="0070292F">
        <w:rPr>
          <w:lang w:val="fr-FR"/>
        </w:rPr>
        <w:t>D</w:t>
      </w:r>
      <w:r w:rsidR="00217ABA" w:rsidRPr="0070292F">
        <w:rPr>
          <w:lang w:val="fr-FR"/>
        </w:rPr>
        <w:t>.</w:t>
      </w:r>
      <w:r w:rsidR="00E36453" w:rsidRPr="0070292F">
        <w:rPr>
          <w:lang w:val="fr-FR"/>
        </w:rPr>
        <w:t>  </w:t>
      </w:r>
      <w:r w:rsidR="00217ABA" w:rsidRPr="0070292F">
        <w:rPr>
          <w:lang w:val="fr-FR"/>
        </w:rPr>
        <w:t>Le décret législatif n</w:t>
      </w:r>
      <w:r w:rsidR="008C1E94" w:rsidRPr="0070292F">
        <w:rPr>
          <w:vertAlign w:val="superscript"/>
          <w:lang w:val="fr-FR"/>
        </w:rPr>
        <w:t>o</w:t>
      </w:r>
      <w:r w:rsidR="00217ABA" w:rsidRPr="0070292F">
        <w:rPr>
          <w:lang w:val="fr-FR"/>
        </w:rPr>
        <w:t xml:space="preserve"> 159 du 6 septembre 2011</w:t>
      </w:r>
      <w:bookmarkEnd w:id="23"/>
    </w:p>
    <w:p w:rsidR="000A0183" w:rsidRPr="0070292F" w:rsidRDefault="002E0B78"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65</w:t>
      </w:r>
      <w:r w:rsidRPr="0070292F">
        <w:rPr>
          <w:lang w:val="fr-FR"/>
        </w:rPr>
        <w:fldChar w:fldCharType="end"/>
      </w:r>
      <w:r w:rsidRPr="0070292F">
        <w:rPr>
          <w:lang w:val="fr-FR"/>
        </w:rPr>
        <w:t>.  </w:t>
      </w:r>
      <w:r w:rsidR="00860D5E" w:rsidRPr="0070292F">
        <w:rPr>
          <w:lang w:val="fr-FR"/>
        </w:rPr>
        <w:t>Le nouveau « code antimafia », qui rassemble la législation relative à la lutte contre la mafia et les mesures de prévention personnelles et patrimoniales, est entré en vigueur en septembre 2011.</w:t>
      </w:r>
      <w:r w:rsidR="006603B9" w:rsidRPr="0070292F">
        <w:rPr>
          <w:lang w:val="fr-FR"/>
        </w:rPr>
        <w:t xml:space="preserve"> Il a abrogé la loi n</w:t>
      </w:r>
      <w:r w:rsidR="008C1E94" w:rsidRPr="0070292F">
        <w:rPr>
          <w:vertAlign w:val="superscript"/>
          <w:lang w:val="fr-FR"/>
        </w:rPr>
        <w:t>o</w:t>
      </w:r>
      <w:r w:rsidR="006603B9" w:rsidRPr="0070292F">
        <w:rPr>
          <w:lang w:val="fr-FR"/>
        </w:rPr>
        <w:t> </w:t>
      </w:r>
      <w:r w:rsidRPr="0070292F">
        <w:rPr>
          <w:lang w:val="fr-FR"/>
        </w:rPr>
        <w:t>1423 de 1956</w:t>
      </w:r>
      <w:r w:rsidR="000A0183" w:rsidRPr="0070292F">
        <w:rPr>
          <w:lang w:val="fr-FR"/>
        </w:rPr>
        <w:t xml:space="preserve"> mais </w:t>
      </w:r>
      <w:r w:rsidR="00515574" w:rsidRPr="0070292F">
        <w:rPr>
          <w:lang w:val="fr-FR"/>
        </w:rPr>
        <w:t xml:space="preserve">a laissé inchangée </w:t>
      </w:r>
      <w:r w:rsidR="000A0183" w:rsidRPr="0070292F">
        <w:rPr>
          <w:lang w:val="fr-FR"/>
        </w:rPr>
        <w:t>la catégorie des personnes concernées. Quant aux mesures applicable</w:t>
      </w:r>
      <w:r w:rsidR="0018577B" w:rsidRPr="0070292F">
        <w:rPr>
          <w:lang w:val="fr-FR"/>
        </w:rPr>
        <w:t>s</w:t>
      </w:r>
      <w:r w:rsidR="000A0183" w:rsidRPr="0070292F">
        <w:rPr>
          <w:lang w:val="fr-FR"/>
        </w:rPr>
        <w:t xml:space="preserve">, la nouvelle loi </w:t>
      </w:r>
      <w:r w:rsidR="00EB6328" w:rsidRPr="0070292F">
        <w:rPr>
          <w:lang w:val="fr-FR"/>
        </w:rPr>
        <w:t xml:space="preserve">a </w:t>
      </w:r>
      <w:r w:rsidR="00EA417F" w:rsidRPr="0070292F">
        <w:rPr>
          <w:lang w:val="fr-FR"/>
        </w:rPr>
        <w:t xml:space="preserve">uniquement </w:t>
      </w:r>
      <w:r w:rsidR="000A0183" w:rsidRPr="0070292F">
        <w:rPr>
          <w:lang w:val="fr-FR"/>
        </w:rPr>
        <w:t>abrogé l</w:t>
      </w:r>
      <w:r w:rsidR="0070292F" w:rsidRPr="0070292F">
        <w:rPr>
          <w:lang w:val="fr-FR"/>
        </w:rPr>
        <w:t>’</w:t>
      </w:r>
      <w:r w:rsidR="000A0183" w:rsidRPr="0070292F">
        <w:rPr>
          <w:lang w:val="fr-FR"/>
        </w:rPr>
        <w:t>obligation de ne pas fréquenter les cafés, cabarets, salles de jeux et lieu</w:t>
      </w:r>
      <w:r w:rsidR="00EA417F" w:rsidRPr="0070292F">
        <w:rPr>
          <w:lang w:val="fr-FR"/>
        </w:rPr>
        <w:t>x</w:t>
      </w:r>
      <w:r w:rsidR="000A0183" w:rsidRPr="0070292F">
        <w:rPr>
          <w:lang w:val="fr-FR"/>
        </w:rPr>
        <w:t xml:space="preserve"> de prostitution.</w:t>
      </w:r>
    </w:p>
    <w:p w:rsidR="0070292F" w:rsidRPr="0070292F" w:rsidRDefault="002E0B78" w:rsidP="0070292F">
      <w:pPr>
        <w:pStyle w:val="ECHRPara"/>
        <w:rPr>
          <w:lang w:val="fr-FR"/>
        </w:rPr>
      </w:pPr>
      <w:r w:rsidRPr="0070292F">
        <w:rPr>
          <w:lang w:val="fr-FR"/>
        </w:rPr>
        <w:t>En ce qui concerne la procédure d</w:t>
      </w:r>
      <w:r w:rsidR="0070292F" w:rsidRPr="0070292F">
        <w:rPr>
          <w:lang w:val="fr-FR"/>
        </w:rPr>
        <w:t>’</w:t>
      </w:r>
      <w:r w:rsidRPr="0070292F">
        <w:rPr>
          <w:lang w:val="fr-FR"/>
        </w:rPr>
        <w:t xml:space="preserve">application des mesures de prévention, </w:t>
      </w:r>
      <w:r w:rsidR="00EA417F" w:rsidRPr="0070292F">
        <w:rPr>
          <w:lang w:val="fr-FR"/>
        </w:rPr>
        <w:t>l</w:t>
      </w:r>
      <w:r w:rsidR="0070292F" w:rsidRPr="0070292F">
        <w:rPr>
          <w:lang w:val="fr-FR"/>
        </w:rPr>
        <w:t>’</w:t>
      </w:r>
      <w:r w:rsidRPr="0070292F">
        <w:rPr>
          <w:lang w:val="fr-FR"/>
        </w:rPr>
        <w:t xml:space="preserve">article 7 </w:t>
      </w:r>
      <w:r w:rsidR="00EA417F" w:rsidRPr="0070292F">
        <w:rPr>
          <w:lang w:val="fr-FR"/>
        </w:rPr>
        <w:t xml:space="preserve">de ce texte </w:t>
      </w:r>
      <w:r w:rsidRPr="0070292F">
        <w:rPr>
          <w:lang w:val="fr-FR"/>
        </w:rPr>
        <w:t>prévoit que, sur demande de l</w:t>
      </w:r>
      <w:r w:rsidR="0070292F" w:rsidRPr="0070292F">
        <w:rPr>
          <w:lang w:val="fr-FR"/>
        </w:rPr>
        <w:t>’</w:t>
      </w:r>
      <w:r w:rsidRPr="0070292F">
        <w:rPr>
          <w:lang w:val="fr-FR"/>
        </w:rPr>
        <w:t>intéressé, l</w:t>
      </w:r>
      <w:r w:rsidR="0070292F" w:rsidRPr="0070292F">
        <w:rPr>
          <w:lang w:val="fr-FR"/>
        </w:rPr>
        <w:t>’</w:t>
      </w:r>
      <w:r w:rsidRPr="0070292F">
        <w:rPr>
          <w:lang w:val="fr-FR"/>
        </w:rPr>
        <w:t>audience peut être publique.</w:t>
      </w:r>
    </w:p>
    <w:p w:rsidR="0070292F" w:rsidRPr="0070292F" w:rsidRDefault="00B97F40"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66</w:t>
      </w:r>
      <w:r w:rsidRPr="0070292F">
        <w:rPr>
          <w:lang w:val="fr-FR"/>
        </w:rPr>
        <w:fldChar w:fldCharType="end"/>
      </w:r>
      <w:r w:rsidRPr="0070292F">
        <w:rPr>
          <w:lang w:val="fr-FR"/>
        </w:rPr>
        <w:t>.  </w:t>
      </w:r>
      <w:r w:rsidR="00644F2A" w:rsidRPr="0070292F">
        <w:rPr>
          <w:lang w:val="fr-FR"/>
        </w:rPr>
        <w:t>Enfin, en février 2015, le gouvernement italien a adopté le décret-loi n</w:t>
      </w:r>
      <w:r w:rsidR="008C1E94" w:rsidRPr="0070292F">
        <w:rPr>
          <w:vertAlign w:val="superscript"/>
          <w:lang w:val="fr-FR"/>
        </w:rPr>
        <w:t>o</w:t>
      </w:r>
      <w:r w:rsidR="00644F2A" w:rsidRPr="0070292F">
        <w:rPr>
          <w:lang w:val="fr-FR"/>
        </w:rPr>
        <w:t> 7, devenu la loi n</w:t>
      </w:r>
      <w:r w:rsidR="008C1E94" w:rsidRPr="0070292F">
        <w:rPr>
          <w:vertAlign w:val="superscript"/>
          <w:lang w:val="fr-FR"/>
        </w:rPr>
        <w:t>o</w:t>
      </w:r>
      <w:r w:rsidR="00644F2A" w:rsidRPr="0070292F">
        <w:rPr>
          <w:lang w:val="fr-FR"/>
        </w:rPr>
        <w:t xml:space="preserve"> 43 du 17 avril 2015</w:t>
      </w:r>
      <w:r w:rsidR="00394986" w:rsidRPr="0070292F">
        <w:rPr>
          <w:lang w:val="fr-FR"/>
        </w:rPr>
        <w:t xml:space="preserve">, </w:t>
      </w:r>
      <w:r w:rsidR="00EA417F" w:rsidRPr="0070292F">
        <w:rPr>
          <w:lang w:val="fr-FR"/>
        </w:rPr>
        <w:t>qui contient</w:t>
      </w:r>
      <w:r w:rsidR="002E0B78" w:rsidRPr="0070292F">
        <w:rPr>
          <w:lang w:val="fr-FR"/>
        </w:rPr>
        <w:t xml:space="preserve"> des mesures urgentes contre le terrorisme international. De nouvelles infractions terroristes ont </w:t>
      </w:r>
      <w:r w:rsidR="00EA417F" w:rsidRPr="0070292F">
        <w:rPr>
          <w:lang w:val="fr-FR"/>
        </w:rPr>
        <w:t xml:space="preserve">ainsi </w:t>
      </w:r>
      <w:r w:rsidR="002E0B78" w:rsidRPr="0070292F">
        <w:rPr>
          <w:lang w:val="fr-FR"/>
        </w:rPr>
        <w:t xml:space="preserve">été </w:t>
      </w:r>
      <w:r w:rsidR="00EA417F" w:rsidRPr="0070292F">
        <w:rPr>
          <w:lang w:val="fr-FR"/>
        </w:rPr>
        <w:t xml:space="preserve">inscrites </w:t>
      </w:r>
      <w:r w:rsidR="002E0B78" w:rsidRPr="0070292F">
        <w:rPr>
          <w:lang w:val="fr-FR"/>
        </w:rPr>
        <w:t>dans le code pénal, l</w:t>
      </w:r>
      <w:r w:rsidR="0070292F" w:rsidRPr="0070292F">
        <w:rPr>
          <w:lang w:val="fr-FR"/>
        </w:rPr>
        <w:t>’</w:t>
      </w:r>
      <w:r w:rsidR="002E0B78" w:rsidRPr="0070292F">
        <w:rPr>
          <w:lang w:val="fr-FR"/>
        </w:rPr>
        <w:t xml:space="preserve">une en particulier </w:t>
      </w:r>
      <w:r w:rsidR="00EA417F" w:rsidRPr="0070292F">
        <w:rPr>
          <w:lang w:val="fr-FR"/>
        </w:rPr>
        <w:t>concernant les</w:t>
      </w:r>
      <w:r w:rsidR="002E0B78" w:rsidRPr="0070292F">
        <w:rPr>
          <w:lang w:val="fr-FR"/>
        </w:rPr>
        <w:t xml:space="preserve"> déplacement</w:t>
      </w:r>
      <w:r w:rsidR="00EA417F" w:rsidRPr="0070292F">
        <w:rPr>
          <w:lang w:val="fr-FR"/>
        </w:rPr>
        <w:t>s</w:t>
      </w:r>
      <w:r w:rsidR="002E0B78" w:rsidRPr="0070292F">
        <w:rPr>
          <w:lang w:val="fr-FR"/>
        </w:rPr>
        <w:t xml:space="preserve"> de combattants étrangers (</w:t>
      </w:r>
      <w:r w:rsidR="002E0B78" w:rsidRPr="0070292F">
        <w:rPr>
          <w:i/>
          <w:lang w:val="fr-FR"/>
        </w:rPr>
        <w:t>foreign fighters</w:t>
      </w:r>
      <w:r w:rsidR="002E0B78" w:rsidRPr="0070292F">
        <w:rPr>
          <w:lang w:val="fr-FR"/>
        </w:rPr>
        <w:t>) à des fins terroristes. Par ailleurs, le champ d</w:t>
      </w:r>
      <w:r w:rsidR="0070292F" w:rsidRPr="0070292F">
        <w:rPr>
          <w:lang w:val="fr-FR"/>
        </w:rPr>
        <w:t>’</w:t>
      </w:r>
      <w:r w:rsidR="002E0B78" w:rsidRPr="0070292F">
        <w:rPr>
          <w:lang w:val="fr-FR"/>
        </w:rPr>
        <w:t>application des mesures de prévention personnelles (ainsi que patrimoniales) a été élargi. Une nouvelle mesure de retrait du passeport et de la carte d</w:t>
      </w:r>
      <w:r w:rsidR="0070292F" w:rsidRPr="0070292F">
        <w:rPr>
          <w:lang w:val="fr-FR"/>
        </w:rPr>
        <w:t>’</w:t>
      </w:r>
      <w:r w:rsidR="002E0B78" w:rsidRPr="0070292F">
        <w:rPr>
          <w:lang w:val="fr-FR"/>
        </w:rPr>
        <w:t>identité a été introduite.</w:t>
      </w:r>
    </w:p>
    <w:p w:rsidR="000B02FA" w:rsidRPr="0070292F" w:rsidRDefault="001B01D1" w:rsidP="0070292F">
      <w:pPr>
        <w:pStyle w:val="ECHRHeading2"/>
        <w:rPr>
          <w:lang w:val="fr-FR"/>
        </w:rPr>
      </w:pPr>
      <w:bookmarkStart w:id="24" w:name="_Toc475451842"/>
      <w:r w:rsidRPr="0070292F">
        <w:rPr>
          <w:lang w:val="fr-FR"/>
        </w:rPr>
        <w:lastRenderedPageBreak/>
        <w:t>E</w:t>
      </w:r>
      <w:r w:rsidR="000B02FA" w:rsidRPr="0070292F">
        <w:rPr>
          <w:lang w:val="fr-FR"/>
        </w:rPr>
        <w:t>.</w:t>
      </w:r>
      <w:r w:rsidR="00B672FC" w:rsidRPr="0070292F">
        <w:rPr>
          <w:lang w:val="fr-FR"/>
        </w:rPr>
        <w:t>  </w:t>
      </w:r>
      <w:r w:rsidR="000B02FA" w:rsidRPr="0070292F">
        <w:rPr>
          <w:lang w:val="fr-FR"/>
        </w:rPr>
        <w:t>La loi n</w:t>
      </w:r>
      <w:r w:rsidR="008C1E94" w:rsidRPr="0070292F">
        <w:rPr>
          <w:vertAlign w:val="superscript"/>
          <w:lang w:val="fr-FR"/>
        </w:rPr>
        <w:t>o</w:t>
      </w:r>
      <w:r w:rsidR="000B02FA" w:rsidRPr="0070292F">
        <w:rPr>
          <w:lang w:val="fr-FR"/>
        </w:rPr>
        <w:t xml:space="preserve"> 117 du 13 avril 1988 sur la réparation des dommages causés dans l</w:t>
      </w:r>
      <w:r w:rsidR="0070292F" w:rsidRPr="0070292F">
        <w:rPr>
          <w:lang w:val="fr-FR"/>
        </w:rPr>
        <w:t>’</w:t>
      </w:r>
      <w:r w:rsidR="000B02FA" w:rsidRPr="0070292F">
        <w:rPr>
          <w:lang w:val="fr-FR"/>
        </w:rPr>
        <w:t>exercice de fonctions juridictionnelles et la responsabilité civile des magistrats</w:t>
      </w:r>
      <w:bookmarkEnd w:id="24"/>
    </w:p>
    <w:bookmarkStart w:id="25" w:name="para62"/>
    <w:p w:rsidR="0070292F" w:rsidRPr="0070292F" w:rsidRDefault="000B02FA" w:rsidP="0070292F">
      <w:pPr>
        <w:pStyle w:val="ECHRPara"/>
        <w:rPr>
          <w:rFonts w:eastAsia="Calibri"/>
          <w:lang w:val="fr-FR"/>
        </w:rPr>
      </w:pPr>
      <w:r w:rsidRPr="0070292F">
        <w:rPr>
          <w:rFonts w:eastAsia="Calibri"/>
          <w:lang w:val="fr-FR"/>
        </w:rPr>
        <w:fldChar w:fldCharType="begin"/>
      </w:r>
      <w:r w:rsidRPr="0070292F">
        <w:rPr>
          <w:rFonts w:eastAsia="Calibri"/>
          <w:lang w:val="fr-FR"/>
        </w:rPr>
        <w:instrText xml:space="preserve"> SEQ level0 \*arabic </w:instrText>
      </w:r>
      <w:r w:rsidRPr="0070292F">
        <w:rPr>
          <w:rFonts w:eastAsia="Calibri"/>
          <w:lang w:val="fr-FR"/>
        </w:rPr>
        <w:fldChar w:fldCharType="separate"/>
      </w:r>
      <w:r w:rsidR="0070292F" w:rsidRPr="0070292F">
        <w:rPr>
          <w:rFonts w:eastAsia="Calibri"/>
          <w:noProof/>
          <w:lang w:val="fr-FR"/>
        </w:rPr>
        <w:t>67</w:t>
      </w:r>
      <w:r w:rsidRPr="0070292F">
        <w:rPr>
          <w:rFonts w:eastAsia="Calibri"/>
          <w:lang w:val="fr-FR"/>
        </w:rPr>
        <w:fldChar w:fldCharType="end"/>
      </w:r>
      <w:bookmarkEnd w:id="25"/>
      <w:r w:rsidRPr="0070292F">
        <w:rPr>
          <w:rFonts w:eastAsia="Calibri"/>
          <w:lang w:val="fr-FR"/>
        </w:rPr>
        <w:t>.  Aux termes de l</w:t>
      </w:r>
      <w:r w:rsidR="0070292F" w:rsidRPr="0070292F">
        <w:rPr>
          <w:rFonts w:eastAsia="Calibri"/>
          <w:lang w:val="fr-FR"/>
        </w:rPr>
        <w:t>’</w:t>
      </w:r>
      <w:r w:rsidRPr="0070292F">
        <w:rPr>
          <w:rFonts w:eastAsia="Calibri"/>
          <w:lang w:val="fr-FR"/>
        </w:rPr>
        <w:t xml:space="preserve">article 1, paragraphe 1, </w:t>
      </w:r>
      <w:r w:rsidR="00EC280A" w:rsidRPr="0070292F">
        <w:rPr>
          <w:rFonts w:eastAsia="Calibri"/>
          <w:lang w:val="fr-FR"/>
        </w:rPr>
        <w:t xml:space="preserve">de </w:t>
      </w:r>
      <w:r w:rsidRPr="0070292F">
        <w:rPr>
          <w:rFonts w:eastAsia="Calibri"/>
          <w:lang w:val="fr-FR"/>
        </w:rPr>
        <w:t>cette loi</w:t>
      </w:r>
      <w:r w:rsidR="00EC280A" w:rsidRPr="0070292F">
        <w:rPr>
          <w:rFonts w:eastAsia="Calibri"/>
          <w:lang w:val="fr-FR"/>
        </w:rPr>
        <w:t>, celle-ci</w:t>
      </w:r>
      <w:r w:rsidRPr="0070292F">
        <w:rPr>
          <w:rFonts w:eastAsia="Calibri"/>
          <w:lang w:val="fr-FR"/>
        </w:rPr>
        <w:t xml:space="preserve"> s</w:t>
      </w:r>
      <w:r w:rsidR="0070292F" w:rsidRPr="0070292F">
        <w:rPr>
          <w:rFonts w:eastAsia="Calibri"/>
          <w:lang w:val="fr-FR"/>
        </w:rPr>
        <w:t>’</w:t>
      </w:r>
      <w:r w:rsidRPr="0070292F">
        <w:rPr>
          <w:rFonts w:eastAsia="Calibri"/>
          <w:lang w:val="fr-FR"/>
        </w:rPr>
        <w:t>applique «</w:t>
      </w:r>
      <w:r w:rsidR="00EC280A" w:rsidRPr="0070292F">
        <w:rPr>
          <w:rFonts w:eastAsia="Calibri"/>
          <w:lang w:val="fr-FR"/>
        </w:rPr>
        <w:t> </w:t>
      </w:r>
      <w:r w:rsidRPr="0070292F">
        <w:rPr>
          <w:rFonts w:eastAsia="Calibri"/>
          <w:lang w:val="fr-FR"/>
        </w:rPr>
        <w:t>à tous les membres des magistratures de droit commun, administrative, financière, militaire et spéciale, qui exercent une activité juridictionnelle, indépendamment de la nature des fonctions, ainsi qu</w:t>
      </w:r>
      <w:r w:rsidR="0070292F" w:rsidRPr="0070292F">
        <w:rPr>
          <w:rFonts w:eastAsia="Calibri"/>
          <w:lang w:val="fr-FR"/>
        </w:rPr>
        <w:t>’</w:t>
      </w:r>
      <w:r w:rsidRPr="0070292F">
        <w:rPr>
          <w:rFonts w:eastAsia="Calibri"/>
          <w:lang w:val="fr-FR"/>
        </w:rPr>
        <w:t>aux autres personnes qui participent à l</w:t>
      </w:r>
      <w:r w:rsidR="0070292F" w:rsidRPr="0070292F">
        <w:rPr>
          <w:rFonts w:eastAsia="Calibri"/>
          <w:lang w:val="fr-FR"/>
        </w:rPr>
        <w:t>’</w:t>
      </w:r>
      <w:r w:rsidRPr="0070292F">
        <w:rPr>
          <w:rFonts w:eastAsia="Calibri"/>
          <w:lang w:val="fr-FR"/>
        </w:rPr>
        <w:t>exercice de la fonction juridictionnelle</w:t>
      </w:r>
      <w:r w:rsidR="00B672FC" w:rsidRPr="0070292F">
        <w:rPr>
          <w:lang w:val="fr-FR"/>
        </w:rPr>
        <w:t> </w:t>
      </w:r>
      <w:r w:rsidRPr="0070292F">
        <w:rPr>
          <w:rFonts w:eastAsia="Calibri"/>
          <w:lang w:val="fr-FR"/>
        </w:rPr>
        <w:t>».</w:t>
      </w:r>
    </w:p>
    <w:p w:rsidR="000B02FA" w:rsidRPr="0070292F" w:rsidRDefault="000B02FA" w:rsidP="0070292F">
      <w:pPr>
        <w:pStyle w:val="ECHRPara"/>
        <w:rPr>
          <w:rFonts w:eastAsia="Calibri"/>
          <w:lang w:val="fr-FR"/>
        </w:rPr>
      </w:pPr>
      <w:r w:rsidRPr="0070292F">
        <w:rPr>
          <w:rFonts w:eastAsia="Calibri"/>
          <w:lang w:val="fr-FR"/>
        </w:rPr>
        <w:t>L</w:t>
      </w:r>
      <w:r w:rsidR="0070292F" w:rsidRPr="0070292F">
        <w:rPr>
          <w:rFonts w:eastAsia="Calibri"/>
          <w:lang w:val="fr-FR"/>
        </w:rPr>
        <w:t>’</w:t>
      </w:r>
      <w:r w:rsidRPr="0070292F">
        <w:rPr>
          <w:rFonts w:eastAsia="Calibri"/>
          <w:lang w:val="fr-FR"/>
        </w:rPr>
        <w:t>article 2 de la loi n</w:t>
      </w:r>
      <w:r w:rsidR="008C1E94" w:rsidRPr="0070292F">
        <w:rPr>
          <w:rFonts w:eastAsia="Calibri"/>
          <w:vertAlign w:val="superscript"/>
          <w:lang w:val="fr-FR"/>
        </w:rPr>
        <w:t>o</w:t>
      </w:r>
      <w:r w:rsidRPr="0070292F">
        <w:rPr>
          <w:rFonts w:eastAsia="Calibri"/>
          <w:lang w:val="fr-FR"/>
        </w:rPr>
        <w:t xml:space="preserve"> 117/88 </w:t>
      </w:r>
      <w:r w:rsidR="00EC280A" w:rsidRPr="0070292F">
        <w:rPr>
          <w:rFonts w:eastAsia="Calibri"/>
          <w:lang w:val="fr-FR"/>
        </w:rPr>
        <w:t>énonce </w:t>
      </w:r>
      <w:r w:rsidRPr="0070292F">
        <w:rPr>
          <w:rFonts w:eastAsia="Calibri"/>
          <w:lang w:val="fr-FR"/>
        </w:rPr>
        <w:t>:</w:t>
      </w:r>
    </w:p>
    <w:p w:rsidR="0070292F" w:rsidRPr="0070292F" w:rsidRDefault="00C32414" w:rsidP="0070292F">
      <w:pPr>
        <w:pStyle w:val="JuQuotSub"/>
        <w:rPr>
          <w:rFonts w:eastAsia="Calibri"/>
          <w:lang w:val="fr-FR"/>
        </w:rPr>
      </w:pPr>
      <w:r w:rsidRPr="0070292F">
        <w:rPr>
          <w:rFonts w:eastAsia="Calibri"/>
          <w:lang w:val="fr-FR"/>
        </w:rPr>
        <w:t>«</w:t>
      </w:r>
      <w:r w:rsidR="00B672FC" w:rsidRPr="0070292F">
        <w:rPr>
          <w:lang w:val="fr-FR"/>
        </w:rPr>
        <w:t> </w:t>
      </w:r>
      <w:r w:rsidRPr="0070292F">
        <w:rPr>
          <w:rFonts w:eastAsia="Calibri"/>
          <w:lang w:val="fr-FR"/>
        </w:rPr>
        <w:t>1.</w:t>
      </w:r>
      <w:r w:rsidR="00B672FC" w:rsidRPr="0070292F">
        <w:rPr>
          <w:lang w:val="fr-FR"/>
        </w:rPr>
        <w:t>  </w:t>
      </w:r>
      <w:r w:rsidRPr="0070292F">
        <w:rPr>
          <w:rFonts w:eastAsia="Calibri"/>
          <w:lang w:val="fr-FR"/>
        </w:rPr>
        <w:t>Toute personne ayant subi un dommage injustifié en raison d</w:t>
      </w:r>
      <w:r w:rsidR="0070292F" w:rsidRPr="0070292F">
        <w:rPr>
          <w:rFonts w:eastAsia="Calibri"/>
          <w:lang w:val="fr-FR"/>
        </w:rPr>
        <w:t>’</w:t>
      </w:r>
      <w:r w:rsidRPr="0070292F">
        <w:rPr>
          <w:rFonts w:eastAsia="Calibri"/>
          <w:lang w:val="fr-FR"/>
        </w:rPr>
        <w:t>un comportement, d</w:t>
      </w:r>
      <w:r w:rsidR="0070292F" w:rsidRPr="0070292F">
        <w:rPr>
          <w:rFonts w:eastAsia="Calibri"/>
          <w:lang w:val="fr-FR"/>
        </w:rPr>
        <w:t>’</w:t>
      </w:r>
      <w:r w:rsidRPr="0070292F">
        <w:rPr>
          <w:rFonts w:eastAsia="Calibri"/>
          <w:lang w:val="fr-FR"/>
        </w:rPr>
        <w:t>un acte ou d</w:t>
      </w:r>
      <w:r w:rsidR="0070292F" w:rsidRPr="0070292F">
        <w:rPr>
          <w:rFonts w:eastAsia="Calibri"/>
          <w:lang w:val="fr-FR"/>
        </w:rPr>
        <w:t>’</w:t>
      </w:r>
      <w:r w:rsidRPr="0070292F">
        <w:rPr>
          <w:rFonts w:eastAsia="Calibri"/>
          <w:lang w:val="fr-FR"/>
        </w:rPr>
        <w:t xml:space="preserve">une mesure judiciaire </w:t>
      </w:r>
      <w:r w:rsidR="00EC280A" w:rsidRPr="0070292F">
        <w:rPr>
          <w:rFonts w:eastAsia="Calibri"/>
          <w:lang w:val="fr-FR"/>
        </w:rPr>
        <w:t>d</w:t>
      </w:r>
      <w:r w:rsidR="0070292F" w:rsidRPr="0070292F">
        <w:rPr>
          <w:rFonts w:eastAsia="Calibri"/>
          <w:lang w:val="fr-FR"/>
        </w:rPr>
        <w:t>’</w:t>
      </w:r>
      <w:r w:rsidRPr="0070292F">
        <w:rPr>
          <w:rFonts w:eastAsia="Calibri"/>
          <w:lang w:val="fr-FR"/>
        </w:rPr>
        <w:t xml:space="preserve">un magistrat </w:t>
      </w:r>
      <w:r w:rsidR="00EC280A" w:rsidRPr="0070292F">
        <w:rPr>
          <w:rFonts w:eastAsia="Calibri"/>
          <w:lang w:val="fr-FR"/>
        </w:rPr>
        <w:t>qui s</w:t>
      </w:r>
      <w:r w:rsidR="0070292F" w:rsidRPr="0070292F">
        <w:rPr>
          <w:rFonts w:eastAsia="Calibri"/>
          <w:lang w:val="fr-FR"/>
        </w:rPr>
        <w:t>’</w:t>
      </w:r>
      <w:r w:rsidR="00EC280A" w:rsidRPr="0070292F">
        <w:rPr>
          <w:rFonts w:eastAsia="Calibri"/>
          <w:lang w:val="fr-FR"/>
        </w:rPr>
        <w:t xml:space="preserve">est </w:t>
      </w:r>
      <w:r w:rsidRPr="0070292F">
        <w:rPr>
          <w:rFonts w:eastAsia="Calibri"/>
          <w:lang w:val="fr-FR"/>
        </w:rPr>
        <w:t>rendu coupable de dol ou de faute grave dans l</w:t>
      </w:r>
      <w:r w:rsidR="0070292F" w:rsidRPr="0070292F">
        <w:rPr>
          <w:rFonts w:eastAsia="Calibri"/>
          <w:lang w:val="fr-FR"/>
        </w:rPr>
        <w:t>’</w:t>
      </w:r>
      <w:r w:rsidRPr="0070292F">
        <w:rPr>
          <w:rFonts w:eastAsia="Calibri"/>
          <w:lang w:val="fr-FR"/>
        </w:rPr>
        <w:t>exercice de ses fonctions, ou en raison d</w:t>
      </w:r>
      <w:r w:rsidR="0070292F" w:rsidRPr="0070292F">
        <w:rPr>
          <w:rFonts w:eastAsia="Calibri"/>
          <w:lang w:val="fr-FR"/>
        </w:rPr>
        <w:t>’</w:t>
      </w:r>
      <w:r w:rsidRPr="0070292F">
        <w:rPr>
          <w:rFonts w:eastAsia="Calibri"/>
          <w:lang w:val="fr-FR"/>
        </w:rPr>
        <w:t>un déni de justice, peut agir contre l</w:t>
      </w:r>
      <w:r w:rsidR="0070292F" w:rsidRPr="0070292F">
        <w:rPr>
          <w:rFonts w:eastAsia="Calibri"/>
          <w:lang w:val="fr-FR"/>
        </w:rPr>
        <w:t>’</w:t>
      </w:r>
      <w:r w:rsidRPr="0070292F">
        <w:rPr>
          <w:rFonts w:eastAsia="Calibri"/>
          <w:lang w:val="fr-FR"/>
        </w:rPr>
        <w:t>État pour obtenir réparation des dommages patrimoniaux qu</w:t>
      </w:r>
      <w:r w:rsidR="0070292F" w:rsidRPr="0070292F">
        <w:rPr>
          <w:rFonts w:eastAsia="Calibri"/>
          <w:lang w:val="fr-FR"/>
        </w:rPr>
        <w:t>’</w:t>
      </w:r>
      <w:r w:rsidRPr="0070292F">
        <w:rPr>
          <w:rFonts w:eastAsia="Calibri"/>
          <w:lang w:val="fr-FR"/>
        </w:rPr>
        <w:t>elle a subis ainsi que des dommages non patrimoniaux qui découlent de la privation de liberté personnelle.</w:t>
      </w:r>
    </w:p>
    <w:p w:rsidR="0070292F" w:rsidRPr="0070292F" w:rsidRDefault="00C32414" w:rsidP="0070292F">
      <w:pPr>
        <w:pStyle w:val="JuQuotSub"/>
        <w:rPr>
          <w:rFonts w:eastAsia="Calibri"/>
          <w:lang w:val="fr-FR"/>
        </w:rPr>
      </w:pPr>
      <w:r w:rsidRPr="0070292F">
        <w:rPr>
          <w:rFonts w:eastAsia="Calibri"/>
          <w:lang w:val="fr-FR"/>
        </w:rPr>
        <w:t>2.</w:t>
      </w:r>
      <w:r w:rsidR="00B672FC" w:rsidRPr="0070292F">
        <w:rPr>
          <w:lang w:val="fr-FR"/>
        </w:rPr>
        <w:t>  </w:t>
      </w:r>
      <w:r w:rsidRPr="0070292F">
        <w:rPr>
          <w:rFonts w:eastAsia="Calibri"/>
          <w:lang w:val="fr-FR"/>
        </w:rPr>
        <w:t>Dans l</w:t>
      </w:r>
      <w:r w:rsidR="0070292F" w:rsidRPr="0070292F">
        <w:rPr>
          <w:rFonts w:eastAsia="Calibri"/>
          <w:lang w:val="fr-FR"/>
        </w:rPr>
        <w:t>’</w:t>
      </w:r>
      <w:r w:rsidRPr="0070292F">
        <w:rPr>
          <w:rFonts w:eastAsia="Calibri"/>
          <w:lang w:val="fr-FR"/>
        </w:rPr>
        <w:t>exercice des fonctions juridictionnelles, l</w:t>
      </w:r>
      <w:r w:rsidR="0070292F" w:rsidRPr="0070292F">
        <w:rPr>
          <w:rFonts w:eastAsia="Calibri"/>
          <w:lang w:val="fr-FR"/>
        </w:rPr>
        <w:t>’</w:t>
      </w:r>
      <w:r w:rsidRPr="0070292F">
        <w:rPr>
          <w:rFonts w:eastAsia="Calibri"/>
          <w:lang w:val="fr-FR"/>
        </w:rPr>
        <w:t>interprétation des règles de droit et l</w:t>
      </w:r>
      <w:r w:rsidR="0070292F" w:rsidRPr="0070292F">
        <w:rPr>
          <w:rFonts w:eastAsia="Calibri"/>
          <w:lang w:val="fr-FR"/>
        </w:rPr>
        <w:t>’</w:t>
      </w:r>
      <w:r w:rsidRPr="0070292F">
        <w:rPr>
          <w:rFonts w:eastAsia="Calibri"/>
          <w:lang w:val="fr-FR"/>
        </w:rPr>
        <w:t>appréciation des faits et des preuves ne peuvent pas donner lieu à responsabilité.</w:t>
      </w:r>
    </w:p>
    <w:p w:rsidR="00C32414" w:rsidRPr="0070292F" w:rsidRDefault="00C32414" w:rsidP="0070292F">
      <w:pPr>
        <w:pStyle w:val="JuQuotSub"/>
        <w:rPr>
          <w:rFonts w:eastAsia="Calibri"/>
          <w:lang w:val="fr-FR"/>
        </w:rPr>
      </w:pPr>
      <w:r w:rsidRPr="0070292F">
        <w:rPr>
          <w:rFonts w:eastAsia="Calibri"/>
          <w:lang w:val="fr-FR"/>
        </w:rPr>
        <w:t>3.</w:t>
      </w:r>
      <w:r w:rsidR="00B672FC" w:rsidRPr="0070292F">
        <w:rPr>
          <w:lang w:val="fr-FR"/>
        </w:rPr>
        <w:t>  </w:t>
      </w:r>
      <w:r w:rsidRPr="0070292F">
        <w:rPr>
          <w:rFonts w:eastAsia="Calibri"/>
          <w:lang w:val="fr-FR"/>
        </w:rPr>
        <w:t>Sont constitutifs d</w:t>
      </w:r>
      <w:r w:rsidR="0070292F" w:rsidRPr="0070292F">
        <w:rPr>
          <w:rFonts w:eastAsia="Calibri"/>
          <w:lang w:val="fr-FR"/>
        </w:rPr>
        <w:t>’</w:t>
      </w:r>
      <w:r w:rsidRPr="0070292F">
        <w:rPr>
          <w:rFonts w:eastAsia="Calibri"/>
          <w:lang w:val="fr-FR"/>
        </w:rPr>
        <w:t>une faute grave</w:t>
      </w:r>
      <w:r w:rsidR="00EC280A" w:rsidRPr="0070292F">
        <w:rPr>
          <w:rFonts w:eastAsia="Calibri"/>
          <w:lang w:val="fr-FR"/>
        </w:rPr>
        <w:t> </w:t>
      </w:r>
      <w:r w:rsidRPr="0070292F">
        <w:rPr>
          <w:rFonts w:eastAsia="Calibri"/>
          <w:lang w:val="fr-FR"/>
        </w:rPr>
        <w:t>:</w:t>
      </w:r>
    </w:p>
    <w:p w:rsidR="00C32414" w:rsidRPr="0070292F" w:rsidRDefault="00C32414" w:rsidP="0070292F">
      <w:pPr>
        <w:pStyle w:val="JuQuotSub"/>
        <w:rPr>
          <w:rFonts w:eastAsia="Calibri"/>
          <w:lang w:val="fr-FR"/>
        </w:rPr>
      </w:pPr>
      <w:r w:rsidRPr="0070292F">
        <w:rPr>
          <w:rFonts w:eastAsia="Calibri"/>
          <w:lang w:val="fr-FR"/>
        </w:rPr>
        <w:t>a)</w:t>
      </w:r>
      <w:r w:rsidR="00B672FC" w:rsidRPr="0070292F">
        <w:rPr>
          <w:lang w:val="fr-FR"/>
        </w:rPr>
        <w:t>  </w:t>
      </w:r>
      <w:r w:rsidRPr="0070292F">
        <w:rPr>
          <w:rFonts w:eastAsia="Calibri"/>
          <w:lang w:val="fr-FR"/>
        </w:rPr>
        <w:t>une violation grave de la loi résultant d</w:t>
      </w:r>
      <w:r w:rsidR="0070292F" w:rsidRPr="0070292F">
        <w:rPr>
          <w:rFonts w:eastAsia="Calibri"/>
          <w:lang w:val="fr-FR"/>
        </w:rPr>
        <w:t>’</w:t>
      </w:r>
      <w:r w:rsidRPr="0070292F">
        <w:rPr>
          <w:rFonts w:eastAsia="Calibri"/>
          <w:lang w:val="fr-FR"/>
        </w:rPr>
        <w:t>une négligence inexcusable</w:t>
      </w:r>
      <w:r w:rsidR="00EC280A" w:rsidRPr="0070292F">
        <w:rPr>
          <w:rFonts w:eastAsia="Calibri"/>
          <w:lang w:val="fr-FR"/>
        </w:rPr>
        <w:t> </w:t>
      </w:r>
      <w:r w:rsidRPr="0070292F">
        <w:rPr>
          <w:rFonts w:eastAsia="Calibri"/>
          <w:lang w:val="fr-FR"/>
        </w:rPr>
        <w:t>;</w:t>
      </w:r>
    </w:p>
    <w:p w:rsidR="0070292F" w:rsidRPr="0070292F" w:rsidRDefault="00C32414" w:rsidP="0070292F">
      <w:pPr>
        <w:pStyle w:val="JuQuotSub"/>
        <w:rPr>
          <w:rFonts w:eastAsia="Calibri"/>
          <w:lang w:val="fr-FR"/>
        </w:rPr>
      </w:pPr>
      <w:r w:rsidRPr="0070292F">
        <w:rPr>
          <w:rFonts w:eastAsia="Calibri"/>
          <w:lang w:val="fr-FR"/>
        </w:rPr>
        <w:t>b)</w:t>
      </w:r>
      <w:r w:rsidR="00B672FC" w:rsidRPr="0070292F">
        <w:rPr>
          <w:lang w:val="fr-FR"/>
        </w:rPr>
        <w:t>  </w:t>
      </w:r>
      <w:r w:rsidRPr="0070292F">
        <w:rPr>
          <w:rFonts w:eastAsia="Calibri"/>
          <w:lang w:val="fr-FR"/>
        </w:rPr>
        <w:t>l</w:t>
      </w:r>
      <w:r w:rsidR="0070292F" w:rsidRPr="0070292F">
        <w:rPr>
          <w:rFonts w:eastAsia="Calibri"/>
          <w:lang w:val="fr-FR"/>
        </w:rPr>
        <w:t>’</w:t>
      </w:r>
      <w:r w:rsidRPr="0070292F">
        <w:rPr>
          <w:rFonts w:eastAsia="Calibri"/>
          <w:lang w:val="fr-FR"/>
        </w:rPr>
        <w:t>affirmation, due à une négligence inexcusable, d</w:t>
      </w:r>
      <w:r w:rsidR="0070292F" w:rsidRPr="0070292F">
        <w:rPr>
          <w:rFonts w:eastAsia="Calibri"/>
          <w:lang w:val="fr-FR"/>
        </w:rPr>
        <w:t>’</w:t>
      </w:r>
      <w:r w:rsidRPr="0070292F">
        <w:rPr>
          <w:rFonts w:eastAsia="Calibri"/>
          <w:lang w:val="fr-FR"/>
        </w:rPr>
        <w:t>un fait dont l</w:t>
      </w:r>
      <w:r w:rsidR="0070292F" w:rsidRPr="0070292F">
        <w:rPr>
          <w:rFonts w:eastAsia="Calibri"/>
          <w:lang w:val="fr-FR"/>
        </w:rPr>
        <w:t>’</w:t>
      </w:r>
      <w:r w:rsidRPr="0070292F">
        <w:rPr>
          <w:rFonts w:eastAsia="Calibri"/>
          <w:lang w:val="fr-FR"/>
        </w:rPr>
        <w:t>existence est incontestablement réfutée par les pièces du dossier</w:t>
      </w:r>
      <w:r w:rsidR="00EC280A" w:rsidRPr="0070292F">
        <w:rPr>
          <w:rFonts w:eastAsia="Calibri"/>
          <w:lang w:val="fr-FR"/>
        </w:rPr>
        <w:t> </w:t>
      </w:r>
      <w:r w:rsidRPr="0070292F">
        <w:rPr>
          <w:rFonts w:eastAsia="Calibri"/>
          <w:lang w:val="fr-FR"/>
        </w:rPr>
        <w:t>;</w:t>
      </w:r>
    </w:p>
    <w:p w:rsidR="0070292F" w:rsidRPr="0070292F" w:rsidRDefault="00C32414" w:rsidP="0070292F">
      <w:pPr>
        <w:pStyle w:val="JuQuotSub"/>
        <w:rPr>
          <w:rFonts w:eastAsia="Calibri"/>
          <w:lang w:val="fr-FR"/>
        </w:rPr>
      </w:pPr>
      <w:r w:rsidRPr="0070292F">
        <w:rPr>
          <w:rFonts w:eastAsia="Calibri"/>
          <w:lang w:val="fr-FR"/>
        </w:rPr>
        <w:t>c)</w:t>
      </w:r>
      <w:r w:rsidR="00B672FC" w:rsidRPr="0070292F">
        <w:rPr>
          <w:lang w:val="fr-FR"/>
        </w:rPr>
        <w:t>  </w:t>
      </w:r>
      <w:r w:rsidRPr="0070292F">
        <w:rPr>
          <w:rFonts w:eastAsia="Calibri"/>
          <w:lang w:val="fr-FR"/>
        </w:rPr>
        <w:t>la négation, due à une négligence inexcusable, d</w:t>
      </w:r>
      <w:r w:rsidR="0070292F" w:rsidRPr="0070292F">
        <w:rPr>
          <w:rFonts w:eastAsia="Calibri"/>
          <w:lang w:val="fr-FR"/>
        </w:rPr>
        <w:t>’</w:t>
      </w:r>
      <w:r w:rsidRPr="0070292F">
        <w:rPr>
          <w:rFonts w:eastAsia="Calibri"/>
          <w:lang w:val="fr-FR"/>
        </w:rPr>
        <w:t>un fait dont l</w:t>
      </w:r>
      <w:r w:rsidR="0070292F" w:rsidRPr="0070292F">
        <w:rPr>
          <w:rFonts w:eastAsia="Calibri"/>
          <w:lang w:val="fr-FR"/>
        </w:rPr>
        <w:t>’</w:t>
      </w:r>
      <w:r w:rsidRPr="0070292F">
        <w:rPr>
          <w:rFonts w:eastAsia="Calibri"/>
          <w:lang w:val="fr-FR"/>
        </w:rPr>
        <w:t>existence est incontestablement établie par les pièces du dossier</w:t>
      </w:r>
      <w:r w:rsidR="00EC280A" w:rsidRPr="0070292F">
        <w:rPr>
          <w:rFonts w:eastAsia="Calibri"/>
          <w:lang w:val="fr-FR"/>
        </w:rPr>
        <w:t> </w:t>
      </w:r>
      <w:r w:rsidRPr="0070292F">
        <w:rPr>
          <w:rFonts w:eastAsia="Calibri"/>
          <w:lang w:val="fr-FR"/>
        </w:rPr>
        <w:t>;</w:t>
      </w:r>
    </w:p>
    <w:p w:rsidR="00C32414" w:rsidRPr="0070292F" w:rsidRDefault="00C32414" w:rsidP="0070292F">
      <w:pPr>
        <w:pStyle w:val="JuQuotSub"/>
        <w:rPr>
          <w:rFonts w:eastAsia="Calibri"/>
          <w:lang w:val="fr-FR"/>
        </w:rPr>
      </w:pPr>
      <w:r w:rsidRPr="0070292F">
        <w:rPr>
          <w:rFonts w:eastAsia="Calibri"/>
          <w:lang w:val="fr-FR"/>
        </w:rPr>
        <w:t>d)</w:t>
      </w:r>
      <w:r w:rsidR="00B672FC" w:rsidRPr="0070292F">
        <w:rPr>
          <w:lang w:val="fr-FR"/>
        </w:rPr>
        <w:t>  </w:t>
      </w:r>
      <w:r w:rsidRPr="0070292F">
        <w:rPr>
          <w:rFonts w:eastAsia="Calibri"/>
          <w:lang w:val="fr-FR"/>
        </w:rPr>
        <w:t>l</w:t>
      </w:r>
      <w:r w:rsidR="0070292F" w:rsidRPr="0070292F">
        <w:rPr>
          <w:rFonts w:eastAsia="Calibri"/>
          <w:lang w:val="fr-FR"/>
        </w:rPr>
        <w:t>’</w:t>
      </w:r>
      <w:r w:rsidRPr="0070292F">
        <w:rPr>
          <w:rFonts w:eastAsia="Calibri"/>
          <w:lang w:val="fr-FR"/>
        </w:rPr>
        <w:t>adoption d</w:t>
      </w:r>
      <w:r w:rsidR="0070292F" w:rsidRPr="0070292F">
        <w:rPr>
          <w:rFonts w:eastAsia="Calibri"/>
          <w:lang w:val="fr-FR"/>
        </w:rPr>
        <w:t>’</w:t>
      </w:r>
      <w:r w:rsidRPr="0070292F">
        <w:rPr>
          <w:rFonts w:eastAsia="Calibri"/>
          <w:lang w:val="fr-FR"/>
        </w:rPr>
        <w:t>une mesure concernant la liberté personnelle en dehors des cas prévus par la loi ou sans motivation.</w:t>
      </w:r>
      <w:r w:rsidR="00B672FC" w:rsidRPr="0070292F">
        <w:rPr>
          <w:lang w:val="fr-FR"/>
        </w:rPr>
        <w:t> </w:t>
      </w:r>
      <w:r w:rsidRPr="0070292F">
        <w:rPr>
          <w:rFonts w:eastAsia="Calibri"/>
          <w:lang w:val="fr-FR"/>
        </w:rPr>
        <w:t>»</w:t>
      </w:r>
    </w:p>
    <w:p w:rsidR="0070292F" w:rsidRPr="0070292F" w:rsidRDefault="00C32414" w:rsidP="0070292F">
      <w:pPr>
        <w:pStyle w:val="ECHRPara"/>
        <w:rPr>
          <w:rFonts w:eastAsia="Calibri"/>
          <w:lang w:val="fr-FR"/>
        </w:rPr>
      </w:pPr>
      <w:r w:rsidRPr="0070292F">
        <w:rPr>
          <w:rFonts w:eastAsia="Calibri"/>
          <w:lang w:val="fr-FR"/>
        </w:rPr>
        <w:t>Aux termes de l</w:t>
      </w:r>
      <w:r w:rsidR="0070292F" w:rsidRPr="0070292F">
        <w:rPr>
          <w:rFonts w:eastAsia="Calibri"/>
          <w:lang w:val="fr-FR"/>
        </w:rPr>
        <w:t>’</w:t>
      </w:r>
      <w:r w:rsidRPr="0070292F">
        <w:rPr>
          <w:rFonts w:eastAsia="Calibri"/>
          <w:lang w:val="fr-FR"/>
        </w:rPr>
        <w:t>article 3, paragraphe 1, première phrase, de la loi n</w:t>
      </w:r>
      <w:r w:rsidR="008C1E94" w:rsidRPr="0070292F">
        <w:rPr>
          <w:rFonts w:eastAsia="Calibri"/>
          <w:vertAlign w:val="superscript"/>
          <w:lang w:val="fr-FR"/>
        </w:rPr>
        <w:t>o</w:t>
      </w:r>
      <w:r w:rsidR="00B672FC" w:rsidRPr="0070292F">
        <w:rPr>
          <w:lang w:val="fr-FR"/>
        </w:rPr>
        <w:t> </w:t>
      </w:r>
      <w:r w:rsidRPr="0070292F">
        <w:rPr>
          <w:rFonts w:eastAsia="Calibri"/>
          <w:lang w:val="fr-FR"/>
        </w:rPr>
        <w:t>117/88, constitue par ailleurs un déni de justice «</w:t>
      </w:r>
      <w:r w:rsidR="00EC280A" w:rsidRPr="0070292F">
        <w:rPr>
          <w:rFonts w:eastAsia="Calibri"/>
          <w:lang w:val="fr-FR"/>
        </w:rPr>
        <w:t> </w:t>
      </w:r>
      <w:r w:rsidRPr="0070292F">
        <w:rPr>
          <w:rFonts w:eastAsia="Calibri"/>
          <w:lang w:val="fr-FR"/>
        </w:rPr>
        <w:t>le refus, l</w:t>
      </w:r>
      <w:r w:rsidR="0070292F" w:rsidRPr="0070292F">
        <w:rPr>
          <w:rFonts w:eastAsia="Calibri"/>
          <w:lang w:val="fr-FR"/>
        </w:rPr>
        <w:t>’</w:t>
      </w:r>
      <w:r w:rsidRPr="0070292F">
        <w:rPr>
          <w:rFonts w:eastAsia="Calibri"/>
          <w:lang w:val="fr-FR"/>
        </w:rPr>
        <w:t>omission ou le retard du magistrat dans l</w:t>
      </w:r>
      <w:r w:rsidR="0070292F" w:rsidRPr="0070292F">
        <w:rPr>
          <w:rFonts w:eastAsia="Calibri"/>
          <w:lang w:val="fr-FR"/>
        </w:rPr>
        <w:t>’</w:t>
      </w:r>
      <w:r w:rsidRPr="0070292F">
        <w:rPr>
          <w:rFonts w:eastAsia="Calibri"/>
          <w:lang w:val="fr-FR"/>
        </w:rPr>
        <w:t>accomplissement d</w:t>
      </w:r>
      <w:r w:rsidR="0070292F" w:rsidRPr="0070292F">
        <w:rPr>
          <w:rFonts w:eastAsia="Calibri"/>
          <w:lang w:val="fr-FR"/>
        </w:rPr>
        <w:t>’</w:t>
      </w:r>
      <w:r w:rsidRPr="0070292F">
        <w:rPr>
          <w:rFonts w:eastAsia="Calibri"/>
          <w:lang w:val="fr-FR"/>
        </w:rPr>
        <w:t xml:space="preserve">actes relevant de sa compétence lorsque, après expiration du délai légal </w:t>
      </w:r>
      <w:r w:rsidR="00EC280A" w:rsidRPr="0070292F">
        <w:rPr>
          <w:rFonts w:eastAsia="Calibri"/>
          <w:lang w:val="fr-FR"/>
        </w:rPr>
        <w:t xml:space="preserve">prévu </w:t>
      </w:r>
      <w:r w:rsidRPr="0070292F">
        <w:rPr>
          <w:rFonts w:eastAsia="Calibri"/>
          <w:lang w:val="fr-FR"/>
        </w:rPr>
        <w:t>pour l</w:t>
      </w:r>
      <w:r w:rsidR="0070292F" w:rsidRPr="0070292F">
        <w:rPr>
          <w:rFonts w:eastAsia="Calibri"/>
          <w:lang w:val="fr-FR"/>
        </w:rPr>
        <w:t>’</w:t>
      </w:r>
      <w:r w:rsidRPr="0070292F">
        <w:rPr>
          <w:rFonts w:eastAsia="Calibri"/>
          <w:lang w:val="fr-FR"/>
        </w:rPr>
        <w:t>accomplissement de l</w:t>
      </w:r>
      <w:r w:rsidR="0070292F" w:rsidRPr="0070292F">
        <w:rPr>
          <w:rFonts w:eastAsia="Calibri"/>
          <w:lang w:val="fr-FR"/>
        </w:rPr>
        <w:t>’</w:t>
      </w:r>
      <w:r w:rsidRPr="0070292F">
        <w:rPr>
          <w:rFonts w:eastAsia="Calibri"/>
          <w:lang w:val="fr-FR"/>
        </w:rPr>
        <w:t xml:space="preserve">acte en </w:t>
      </w:r>
      <w:r w:rsidR="00EC280A" w:rsidRPr="0070292F">
        <w:rPr>
          <w:rFonts w:eastAsia="Calibri"/>
          <w:lang w:val="fr-FR"/>
        </w:rPr>
        <w:t>question</w:t>
      </w:r>
      <w:r w:rsidRPr="0070292F">
        <w:rPr>
          <w:rFonts w:eastAsia="Calibri"/>
          <w:lang w:val="fr-FR"/>
        </w:rPr>
        <w:t xml:space="preserve">, la partie </w:t>
      </w:r>
      <w:r w:rsidR="00EC280A" w:rsidRPr="0070292F">
        <w:rPr>
          <w:rFonts w:eastAsia="Calibri"/>
          <w:lang w:val="fr-FR"/>
        </w:rPr>
        <w:t xml:space="preserve">concernée </w:t>
      </w:r>
      <w:r w:rsidRPr="0070292F">
        <w:rPr>
          <w:rFonts w:eastAsia="Calibri"/>
          <w:lang w:val="fr-FR"/>
        </w:rPr>
        <w:t>a présenté une demande en vue de l</w:t>
      </w:r>
      <w:r w:rsidR="0070292F" w:rsidRPr="0070292F">
        <w:rPr>
          <w:rFonts w:eastAsia="Calibri"/>
          <w:lang w:val="fr-FR"/>
        </w:rPr>
        <w:t>’</w:t>
      </w:r>
      <w:r w:rsidRPr="0070292F">
        <w:rPr>
          <w:rFonts w:eastAsia="Calibri"/>
          <w:lang w:val="fr-FR"/>
        </w:rPr>
        <w:t>obtention d</w:t>
      </w:r>
      <w:r w:rsidR="0070292F" w:rsidRPr="0070292F">
        <w:rPr>
          <w:rFonts w:eastAsia="Calibri"/>
          <w:lang w:val="fr-FR"/>
        </w:rPr>
        <w:t>’</w:t>
      </w:r>
      <w:r w:rsidRPr="0070292F">
        <w:rPr>
          <w:rFonts w:eastAsia="Calibri"/>
          <w:lang w:val="fr-FR"/>
        </w:rPr>
        <w:t>un tel acte et que, sans raison valable, aucune mesure n</w:t>
      </w:r>
      <w:r w:rsidR="0070292F" w:rsidRPr="0070292F">
        <w:rPr>
          <w:rFonts w:eastAsia="Calibri"/>
          <w:lang w:val="fr-FR"/>
        </w:rPr>
        <w:t>’</w:t>
      </w:r>
      <w:r w:rsidRPr="0070292F">
        <w:rPr>
          <w:rFonts w:eastAsia="Calibri"/>
          <w:lang w:val="fr-FR"/>
        </w:rPr>
        <w:t xml:space="preserve">a été prise dans les trente jours </w:t>
      </w:r>
      <w:r w:rsidR="00EC280A" w:rsidRPr="0070292F">
        <w:rPr>
          <w:rFonts w:eastAsia="Calibri"/>
          <w:lang w:val="fr-FR"/>
        </w:rPr>
        <w:t>consécutifs au</w:t>
      </w:r>
      <w:r w:rsidRPr="0070292F">
        <w:rPr>
          <w:rFonts w:eastAsia="Calibri"/>
          <w:lang w:val="fr-FR"/>
        </w:rPr>
        <w:t xml:space="preserve"> dépôt de </w:t>
      </w:r>
      <w:r w:rsidR="00EC280A" w:rsidRPr="0070292F">
        <w:rPr>
          <w:rFonts w:eastAsia="Calibri"/>
          <w:lang w:val="fr-FR"/>
        </w:rPr>
        <w:t xml:space="preserve">cette </w:t>
      </w:r>
      <w:r w:rsidRPr="0070292F">
        <w:rPr>
          <w:rFonts w:eastAsia="Calibri"/>
          <w:lang w:val="fr-FR"/>
        </w:rPr>
        <w:t>demande au greffe</w:t>
      </w:r>
      <w:r w:rsidR="00B672FC" w:rsidRPr="0070292F">
        <w:rPr>
          <w:lang w:val="fr-FR"/>
        </w:rPr>
        <w:t> </w:t>
      </w:r>
      <w:r w:rsidRPr="0070292F">
        <w:rPr>
          <w:rFonts w:eastAsia="Calibri"/>
          <w:lang w:val="fr-FR"/>
        </w:rPr>
        <w:t>».</w:t>
      </w:r>
    </w:p>
    <w:p w:rsidR="00C32414" w:rsidRPr="0070292F" w:rsidRDefault="00070A79" w:rsidP="0070292F">
      <w:pPr>
        <w:pStyle w:val="ECHRPara"/>
        <w:rPr>
          <w:rFonts w:eastAsia="Calibri"/>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68</w:t>
      </w:r>
      <w:r w:rsidRPr="0070292F">
        <w:rPr>
          <w:lang w:val="fr-FR"/>
        </w:rPr>
        <w:fldChar w:fldCharType="end"/>
      </w:r>
      <w:r w:rsidRPr="0070292F">
        <w:rPr>
          <w:lang w:val="fr-FR"/>
        </w:rPr>
        <w:t>.  </w:t>
      </w:r>
      <w:r w:rsidR="00C32414" w:rsidRPr="0070292F">
        <w:rPr>
          <w:rFonts w:eastAsia="Calibri"/>
          <w:lang w:val="fr-FR"/>
        </w:rPr>
        <w:t>Les articles suivants de la loi n</w:t>
      </w:r>
      <w:r w:rsidR="008C1E94" w:rsidRPr="0070292F">
        <w:rPr>
          <w:rFonts w:eastAsia="Calibri"/>
          <w:vertAlign w:val="superscript"/>
          <w:lang w:val="fr-FR"/>
        </w:rPr>
        <w:t>o</w:t>
      </w:r>
      <w:r w:rsidR="00C32414" w:rsidRPr="0070292F">
        <w:rPr>
          <w:rFonts w:eastAsia="Calibri"/>
          <w:lang w:val="fr-FR"/>
        </w:rPr>
        <w:t xml:space="preserve"> 117/88 précisent les conditions et les modalités selon lesquelles une action en réparation peut être engagée au titre de</w:t>
      </w:r>
      <w:r w:rsidRPr="0070292F">
        <w:rPr>
          <w:rFonts w:eastAsia="Calibri"/>
          <w:lang w:val="fr-FR"/>
        </w:rPr>
        <w:t xml:space="preserve"> l</w:t>
      </w:r>
      <w:r w:rsidR="0070292F" w:rsidRPr="0070292F">
        <w:rPr>
          <w:rFonts w:eastAsia="Calibri"/>
          <w:lang w:val="fr-FR"/>
        </w:rPr>
        <w:t>’</w:t>
      </w:r>
      <w:r w:rsidR="00C32414" w:rsidRPr="0070292F">
        <w:rPr>
          <w:rFonts w:eastAsia="Calibri"/>
          <w:lang w:val="fr-FR"/>
        </w:rPr>
        <w:t xml:space="preserve">article 2 ou </w:t>
      </w:r>
      <w:r w:rsidRPr="0070292F">
        <w:rPr>
          <w:rFonts w:eastAsia="Calibri"/>
          <w:lang w:val="fr-FR"/>
        </w:rPr>
        <w:t>de l</w:t>
      </w:r>
      <w:r w:rsidR="0070292F" w:rsidRPr="0070292F">
        <w:rPr>
          <w:rFonts w:eastAsia="Calibri"/>
          <w:lang w:val="fr-FR"/>
        </w:rPr>
        <w:t>’</w:t>
      </w:r>
      <w:r w:rsidRPr="0070292F">
        <w:rPr>
          <w:rFonts w:eastAsia="Calibri"/>
          <w:lang w:val="fr-FR"/>
        </w:rPr>
        <w:t xml:space="preserve">article </w:t>
      </w:r>
      <w:r w:rsidR="00C32414" w:rsidRPr="0070292F">
        <w:rPr>
          <w:rFonts w:eastAsia="Calibri"/>
          <w:lang w:val="fr-FR"/>
        </w:rPr>
        <w:t xml:space="preserve">3 de cette loi, ainsi que les actions qui peuvent être </w:t>
      </w:r>
      <w:r w:rsidRPr="0070292F">
        <w:rPr>
          <w:rFonts w:eastAsia="Calibri"/>
          <w:lang w:val="fr-FR"/>
        </w:rPr>
        <w:t>intentées</w:t>
      </w:r>
      <w:r w:rsidR="00C32414" w:rsidRPr="0070292F">
        <w:rPr>
          <w:rFonts w:eastAsia="Calibri"/>
          <w:lang w:val="fr-FR"/>
        </w:rPr>
        <w:t xml:space="preserve"> </w:t>
      </w:r>
      <w:r w:rsidR="00C32414" w:rsidRPr="0070292F">
        <w:rPr>
          <w:rFonts w:eastAsia="Calibri"/>
          <w:i/>
          <w:lang w:val="fr-FR"/>
        </w:rPr>
        <w:t>a posteriori</w:t>
      </w:r>
      <w:r w:rsidR="00C32414" w:rsidRPr="0070292F">
        <w:rPr>
          <w:rFonts w:eastAsia="Calibri"/>
          <w:lang w:val="fr-FR"/>
        </w:rPr>
        <w:t xml:space="preserve"> </w:t>
      </w:r>
      <w:r w:rsidR="00515574" w:rsidRPr="0070292F">
        <w:rPr>
          <w:rFonts w:eastAsia="Calibri"/>
          <w:lang w:val="fr-FR"/>
        </w:rPr>
        <w:t>contre le</w:t>
      </w:r>
      <w:r w:rsidR="00C32414" w:rsidRPr="0070292F">
        <w:rPr>
          <w:rFonts w:eastAsia="Calibri"/>
          <w:lang w:val="fr-FR"/>
        </w:rPr>
        <w:t xml:space="preserve"> magistrat qui s</w:t>
      </w:r>
      <w:r w:rsidR="0070292F" w:rsidRPr="0070292F">
        <w:rPr>
          <w:rFonts w:eastAsia="Calibri"/>
          <w:lang w:val="fr-FR"/>
        </w:rPr>
        <w:t>’</w:t>
      </w:r>
      <w:r w:rsidR="00C32414" w:rsidRPr="0070292F">
        <w:rPr>
          <w:rFonts w:eastAsia="Calibri"/>
          <w:lang w:val="fr-FR"/>
        </w:rPr>
        <w:t xml:space="preserve">est rendu coupable </w:t>
      </w:r>
      <w:r w:rsidRPr="0070292F">
        <w:rPr>
          <w:rFonts w:eastAsia="Calibri"/>
          <w:lang w:val="fr-FR"/>
        </w:rPr>
        <w:t xml:space="preserve">de </w:t>
      </w:r>
      <w:r w:rsidR="00C32414" w:rsidRPr="0070292F">
        <w:rPr>
          <w:rFonts w:eastAsia="Calibri"/>
          <w:lang w:val="fr-FR"/>
        </w:rPr>
        <w:t xml:space="preserve">dol ou </w:t>
      </w:r>
      <w:r w:rsidRPr="0070292F">
        <w:rPr>
          <w:rFonts w:eastAsia="Calibri"/>
          <w:lang w:val="fr-FR"/>
        </w:rPr>
        <w:t xml:space="preserve">de </w:t>
      </w:r>
      <w:r w:rsidR="00C32414" w:rsidRPr="0070292F">
        <w:rPr>
          <w:rFonts w:eastAsia="Calibri"/>
          <w:lang w:val="fr-FR"/>
        </w:rPr>
        <w:t>faute grave dans l</w:t>
      </w:r>
      <w:r w:rsidR="0070292F" w:rsidRPr="0070292F">
        <w:rPr>
          <w:rFonts w:eastAsia="Calibri"/>
          <w:lang w:val="fr-FR"/>
        </w:rPr>
        <w:t>’</w:t>
      </w:r>
      <w:r w:rsidR="00C32414" w:rsidRPr="0070292F">
        <w:rPr>
          <w:rFonts w:eastAsia="Calibri"/>
          <w:lang w:val="fr-FR"/>
        </w:rPr>
        <w:t>exercice de ses fonctions, voire d</w:t>
      </w:r>
      <w:r w:rsidR="0070292F" w:rsidRPr="0070292F">
        <w:rPr>
          <w:rFonts w:eastAsia="Calibri"/>
          <w:lang w:val="fr-FR"/>
        </w:rPr>
        <w:t>’</w:t>
      </w:r>
      <w:r w:rsidR="00C32414" w:rsidRPr="0070292F">
        <w:rPr>
          <w:rFonts w:eastAsia="Calibri"/>
          <w:lang w:val="fr-FR"/>
        </w:rPr>
        <w:t>un déni de justice.</w:t>
      </w:r>
    </w:p>
    <w:p w:rsidR="0070292F" w:rsidRPr="0070292F" w:rsidRDefault="006603B9" w:rsidP="0070292F">
      <w:pPr>
        <w:pStyle w:val="ECHRHeading1"/>
        <w:rPr>
          <w:lang w:val="fr-FR"/>
        </w:rPr>
      </w:pPr>
      <w:bookmarkStart w:id="26" w:name="_Toc475451843"/>
      <w:r w:rsidRPr="0070292F">
        <w:rPr>
          <w:lang w:val="fr-FR"/>
        </w:rPr>
        <w:lastRenderedPageBreak/>
        <w:t>IV</w:t>
      </w:r>
      <w:r w:rsidR="00B672FC" w:rsidRPr="0070292F">
        <w:rPr>
          <w:lang w:val="fr-FR"/>
        </w:rPr>
        <w:t>. </w:t>
      </w:r>
      <w:r w:rsidR="002E0B78" w:rsidRPr="0070292F">
        <w:rPr>
          <w:lang w:val="fr-FR"/>
        </w:rPr>
        <w:t> ÉLÉMENTS DE DROIT COMPARÉ</w:t>
      </w:r>
      <w:bookmarkEnd w:id="26"/>
    </w:p>
    <w:p w:rsidR="0070292F" w:rsidRPr="0070292F" w:rsidRDefault="005205EF"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69</w:t>
      </w:r>
      <w:r w:rsidRPr="0070292F">
        <w:rPr>
          <w:lang w:val="fr-FR"/>
        </w:rPr>
        <w:fldChar w:fldCharType="end"/>
      </w:r>
      <w:r w:rsidRPr="0070292F">
        <w:rPr>
          <w:lang w:val="fr-FR"/>
        </w:rPr>
        <w:t>.  </w:t>
      </w:r>
      <w:r w:rsidR="002E0B78" w:rsidRPr="0070292F">
        <w:rPr>
          <w:lang w:val="fr-FR"/>
        </w:rPr>
        <w:t>D</w:t>
      </w:r>
      <w:r w:rsidR="0070292F" w:rsidRPr="0070292F">
        <w:rPr>
          <w:lang w:val="fr-FR"/>
        </w:rPr>
        <w:t>’</w:t>
      </w:r>
      <w:r w:rsidR="002E0B78" w:rsidRPr="0070292F">
        <w:rPr>
          <w:lang w:val="fr-FR"/>
        </w:rPr>
        <w:t>après les informations dont la Cour dispose sur la législation de trente-quatre États membres</w:t>
      </w:r>
      <w:r w:rsidR="00070A79" w:rsidRPr="0070292F">
        <w:rPr>
          <w:lang w:val="fr-FR"/>
        </w:rPr>
        <w:t>,</w:t>
      </w:r>
      <w:r w:rsidR="002E0B78" w:rsidRPr="0070292F">
        <w:rPr>
          <w:rFonts w:ascii="Times New Roman" w:eastAsia="MS Mincho" w:hAnsi="Times New Roman" w:cs="Times New Roman"/>
          <w:szCs w:val="24"/>
          <w:lang w:val="fr-FR" w:eastAsia="ja-JP"/>
        </w:rPr>
        <w:t xml:space="preserve"> la grande majorit</w:t>
      </w:r>
      <w:r w:rsidR="000A0183" w:rsidRPr="0070292F">
        <w:rPr>
          <w:rFonts w:ascii="Times New Roman" w:eastAsia="MS Mincho" w:hAnsi="Times New Roman" w:cs="Times New Roman"/>
          <w:szCs w:val="24"/>
          <w:lang w:val="fr-FR" w:eastAsia="ja-JP"/>
        </w:rPr>
        <w:t>é des pays étudiés (</w:t>
      </w:r>
      <w:r w:rsidR="0070292F" w:rsidRPr="0070292F">
        <w:rPr>
          <w:rFonts w:ascii="Times New Roman" w:eastAsia="MS Mincho" w:hAnsi="Times New Roman" w:cs="Times New Roman"/>
          <w:szCs w:val="24"/>
          <w:lang w:val="fr-FR" w:eastAsia="ja-JP"/>
        </w:rPr>
        <w:t xml:space="preserve">vingt-neuf </w:t>
      </w:r>
      <w:r w:rsidR="000A0183" w:rsidRPr="0070292F">
        <w:rPr>
          <w:rFonts w:ascii="Times New Roman" w:eastAsia="MS Mincho" w:hAnsi="Times New Roman" w:cs="Times New Roman"/>
          <w:szCs w:val="24"/>
          <w:lang w:val="fr-FR" w:eastAsia="ja-JP"/>
        </w:rPr>
        <w:t>pays</w:t>
      </w:r>
      <w:r w:rsidR="000A0183" w:rsidRPr="0070292F">
        <w:rPr>
          <w:rStyle w:val="Rimandonotaapidipagina"/>
          <w:lang w:val="fr-FR"/>
        </w:rPr>
        <w:footnoteReference w:id="1"/>
      </w:r>
      <w:r w:rsidR="000773A5" w:rsidRPr="0070292F">
        <w:rPr>
          <w:lang w:val="fr-FR"/>
        </w:rPr>
        <w:t xml:space="preserve"> </w:t>
      </w:r>
      <w:r w:rsidR="002E0B78" w:rsidRPr="0070292F">
        <w:rPr>
          <w:rFonts w:ascii="Times New Roman" w:eastAsia="MS Mincho" w:hAnsi="Times New Roman" w:cs="Times New Roman"/>
          <w:szCs w:val="24"/>
          <w:lang w:val="fr-FR" w:eastAsia="ja-JP"/>
        </w:rPr>
        <w:t xml:space="preserve">sur </w:t>
      </w:r>
      <w:r w:rsidR="00070A79" w:rsidRPr="0070292F">
        <w:rPr>
          <w:rFonts w:ascii="Times New Roman" w:eastAsia="MS Mincho" w:hAnsi="Times New Roman" w:cs="Times New Roman"/>
          <w:szCs w:val="24"/>
          <w:lang w:val="fr-FR" w:eastAsia="ja-JP"/>
        </w:rPr>
        <w:t>trente-quatre</w:t>
      </w:r>
      <w:r w:rsidR="002E0B78" w:rsidRPr="0070292F">
        <w:rPr>
          <w:rFonts w:ascii="Times New Roman" w:eastAsia="MS Mincho" w:hAnsi="Times New Roman" w:cs="Times New Roman"/>
          <w:szCs w:val="24"/>
          <w:lang w:val="fr-FR" w:eastAsia="ja-JP"/>
        </w:rPr>
        <w:t xml:space="preserve">) ne connaissent pas de mesures comparables à celles appliquées en Italie dans la présente affaire. </w:t>
      </w:r>
      <w:r w:rsidR="002E0B78" w:rsidRPr="0070292F">
        <w:rPr>
          <w:lang w:val="fr-FR"/>
        </w:rPr>
        <w:t>Seul</w:t>
      </w:r>
      <w:r w:rsidR="00070A79" w:rsidRPr="0070292F">
        <w:rPr>
          <w:lang w:val="fr-FR"/>
        </w:rPr>
        <w:t>s</w:t>
      </w:r>
      <w:r w:rsidR="009A3573" w:rsidRPr="0070292F">
        <w:rPr>
          <w:lang w:val="fr-FR"/>
        </w:rPr>
        <w:t xml:space="preserve"> </w:t>
      </w:r>
      <w:r w:rsidR="00070A79" w:rsidRPr="0070292F">
        <w:rPr>
          <w:lang w:val="fr-FR"/>
        </w:rPr>
        <w:t xml:space="preserve">cinq </w:t>
      </w:r>
      <w:r w:rsidR="009A3573" w:rsidRPr="0070292F">
        <w:rPr>
          <w:lang w:val="fr-FR"/>
        </w:rPr>
        <w:t xml:space="preserve">pays sont concernés </w:t>
      </w:r>
      <w:r w:rsidR="00515574" w:rsidRPr="0070292F">
        <w:rPr>
          <w:lang w:val="fr-FR"/>
        </w:rPr>
        <w:t xml:space="preserve">par des mesures similaires </w:t>
      </w:r>
      <w:r w:rsidR="009A3573" w:rsidRPr="0070292F">
        <w:rPr>
          <w:lang w:val="fr-FR"/>
        </w:rPr>
        <w:t>(l</w:t>
      </w:r>
      <w:r w:rsidR="0070292F" w:rsidRPr="0070292F">
        <w:rPr>
          <w:lang w:val="fr-FR"/>
        </w:rPr>
        <w:t>’</w:t>
      </w:r>
      <w:r w:rsidR="009A3573" w:rsidRPr="0070292F">
        <w:rPr>
          <w:lang w:val="fr-FR"/>
        </w:rPr>
        <w:t>Autriche, la France, la Suisse, le Royaume-Uni et la Russie)</w:t>
      </w:r>
      <w:r w:rsidR="000A6179" w:rsidRPr="0070292F">
        <w:rPr>
          <w:lang w:val="fr-FR"/>
        </w:rPr>
        <w:t>.</w:t>
      </w:r>
    </w:p>
    <w:p w:rsidR="00C66FB1" w:rsidRPr="0070292F" w:rsidRDefault="00C66FB1" w:rsidP="0070292F">
      <w:pPr>
        <w:pStyle w:val="ECHRPara"/>
        <w:rPr>
          <w:rFonts w:eastAsia="MS Mincho"/>
          <w:u w:val="single"/>
          <w:lang w:val="fr-FR" w:eastAsia="ja-JP"/>
        </w:rPr>
      </w:pPr>
      <w:r w:rsidRPr="0070292F">
        <w:rPr>
          <w:rFonts w:eastAsia="MS Mincho"/>
          <w:lang w:val="fr-FR" w:eastAsia="ja-JP"/>
        </w:rPr>
        <w:fldChar w:fldCharType="begin"/>
      </w:r>
      <w:r w:rsidRPr="0070292F">
        <w:rPr>
          <w:rFonts w:eastAsia="MS Mincho"/>
          <w:lang w:val="fr-FR" w:eastAsia="ja-JP"/>
        </w:rPr>
        <w:instrText xml:space="preserve"> SEQ level0 \*arabic </w:instrText>
      </w:r>
      <w:r w:rsidRPr="0070292F">
        <w:rPr>
          <w:rFonts w:eastAsia="MS Mincho"/>
          <w:lang w:val="fr-FR" w:eastAsia="ja-JP"/>
        </w:rPr>
        <w:fldChar w:fldCharType="separate"/>
      </w:r>
      <w:r w:rsidR="0070292F" w:rsidRPr="0070292F">
        <w:rPr>
          <w:rFonts w:eastAsia="MS Mincho"/>
          <w:noProof/>
          <w:lang w:val="fr-FR" w:eastAsia="ja-JP"/>
        </w:rPr>
        <w:t>70</w:t>
      </w:r>
      <w:r w:rsidRPr="0070292F">
        <w:rPr>
          <w:rFonts w:eastAsia="MS Mincho"/>
          <w:lang w:val="fr-FR" w:eastAsia="ja-JP"/>
        </w:rPr>
        <w:fldChar w:fldCharType="end"/>
      </w:r>
      <w:r w:rsidRPr="0070292F">
        <w:rPr>
          <w:rFonts w:eastAsia="MS Mincho"/>
          <w:lang w:val="fr-FR" w:eastAsia="ja-JP"/>
        </w:rPr>
        <w:t>.  </w:t>
      </w:r>
      <w:r w:rsidR="00E8467C" w:rsidRPr="0070292F">
        <w:rPr>
          <w:rFonts w:eastAsia="MS Mincho"/>
          <w:lang w:val="fr-FR" w:eastAsia="ja-JP"/>
        </w:rPr>
        <w:t>L</w:t>
      </w:r>
      <w:r w:rsidR="0070292F" w:rsidRPr="0070292F">
        <w:rPr>
          <w:rFonts w:eastAsia="MS Mincho"/>
          <w:lang w:val="fr-FR" w:eastAsia="ja-JP"/>
        </w:rPr>
        <w:t>’</w:t>
      </w:r>
      <w:r w:rsidR="00070A79" w:rsidRPr="0070292F">
        <w:rPr>
          <w:rFonts w:eastAsia="MS Mincho"/>
          <w:lang w:val="fr-FR" w:eastAsia="ja-JP"/>
        </w:rPr>
        <w:t>Autriche,</w:t>
      </w:r>
      <w:r w:rsidRPr="0070292F">
        <w:rPr>
          <w:rFonts w:eastAsia="MS Mincho"/>
          <w:lang w:val="fr-FR" w:eastAsia="ja-JP"/>
        </w:rPr>
        <w:t xml:space="preserve"> </w:t>
      </w:r>
      <w:r w:rsidR="00E8467C" w:rsidRPr="0070292F">
        <w:rPr>
          <w:rFonts w:eastAsia="MS Mincho"/>
          <w:lang w:val="fr-FR" w:eastAsia="ja-JP"/>
        </w:rPr>
        <w:t xml:space="preserve">la </w:t>
      </w:r>
      <w:r w:rsidRPr="0070292F">
        <w:rPr>
          <w:rFonts w:eastAsia="MS Mincho"/>
          <w:lang w:val="fr-FR" w:eastAsia="ja-JP"/>
        </w:rPr>
        <w:t xml:space="preserve">France et </w:t>
      </w:r>
      <w:r w:rsidR="00E8467C" w:rsidRPr="0070292F">
        <w:rPr>
          <w:rFonts w:eastAsia="MS Mincho"/>
          <w:lang w:val="fr-FR" w:eastAsia="ja-JP"/>
        </w:rPr>
        <w:t xml:space="preserve">la </w:t>
      </w:r>
      <w:r w:rsidRPr="0070292F">
        <w:rPr>
          <w:rFonts w:eastAsia="MS Mincho"/>
          <w:lang w:val="fr-FR" w:eastAsia="ja-JP"/>
        </w:rPr>
        <w:t>Suisse</w:t>
      </w:r>
      <w:r w:rsidR="00E8467C" w:rsidRPr="0070292F">
        <w:rPr>
          <w:rFonts w:eastAsia="MS Mincho"/>
          <w:lang w:val="fr-FR" w:eastAsia="ja-JP"/>
        </w:rPr>
        <w:t xml:space="preserve"> ont adopté </w:t>
      </w:r>
      <w:r w:rsidR="00070A79" w:rsidRPr="0070292F">
        <w:rPr>
          <w:rFonts w:eastAsia="MS Mincho"/>
          <w:lang w:val="fr-FR" w:eastAsia="ja-JP"/>
        </w:rPr>
        <w:t xml:space="preserve">de telles mesures </w:t>
      </w:r>
      <w:r w:rsidR="00E8467C" w:rsidRPr="0070292F">
        <w:rPr>
          <w:rFonts w:eastAsia="MS Mincho"/>
          <w:lang w:val="fr-FR" w:eastAsia="ja-JP"/>
        </w:rPr>
        <w:t>pour faire face au</w:t>
      </w:r>
      <w:r w:rsidRPr="0070292F">
        <w:rPr>
          <w:rFonts w:eastAsia="MS Mincho"/>
          <w:lang w:val="fr-FR" w:eastAsia="ja-JP"/>
        </w:rPr>
        <w:t xml:space="preserve"> hooliganisme : des mesures préventives personnelles sont </w:t>
      </w:r>
      <w:r w:rsidR="00515574" w:rsidRPr="0070292F">
        <w:rPr>
          <w:rFonts w:eastAsia="MS Mincho"/>
          <w:lang w:val="fr-FR" w:eastAsia="ja-JP"/>
        </w:rPr>
        <w:t xml:space="preserve">ainsi </w:t>
      </w:r>
      <w:r w:rsidR="00E8467C" w:rsidRPr="0070292F">
        <w:rPr>
          <w:rFonts w:eastAsia="MS Mincho"/>
          <w:lang w:val="fr-FR" w:eastAsia="ja-JP"/>
        </w:rPr>
        <w:t xml:space="preserve">mises en œuvre </w:t>
      </w:r>
      <w:r w:rsidRPr="0070292F">
        <w:rPr>
          <w:rFonts w:eastAsia="MS Mincho"/>
          <w:lang w:val="fr-FR" w:eastAsia="ja-JP"/>
        </w:rPr>
        <w:t>à l</w:t>
      </w:r>
      <w:r w:rsidR="0070292F" w:rsidRPr="0070292F">
        <w:rPr>
          <w:rFonts w:eastAsia="MS Mincho"/>
          <w:lang w:val="fr-FR" w:eastAsia="ja-JP"/>
        </w:rPr>
        <w:t>’</w:t>
      </w:r>
      <w:r w:rsidR="00E8467C" w:rsidRPr="0070292F">
        <w:rPr>
          <w:rFonts w:eastAsia="MS Mincho"/>
          <w:lang w:val="fr-FR" w:eastAsia="ja-JP"/>
        </w:rPr>
        <w:t>égard</w:t>
      </w:r>
      <w:r w:rsidRPr="0070292F">
        <w:rPr>
          <w:rFonts w:eastAsia="MS Mincho"/>
          <w:lang w:val="fr-FR" w:eastAsia="ja-JP"/>
        </w:rPr>
        <w:t xml:space="preserve"> de personnes potentiellement violentes lors de manifestations sportives.</w:t>
      </w:r>
      <w:r w:rsidRPr="0070292F">
        <w:rPr>
          <w:rFonts w:eastAsia="Cambria"/>
          <w:lang w:val="fr-FR"/>
        </w:rPr>
        <w:t xml:space="preserve"> </w:t>
      </w:r>
      <w:r w:rsidR="00515574" w:rsidRPr="0070292F">
        <w:rPr>
          <w:rFonts w:eastAsia="Cambria"/>
          <w:lang w:val="fr-FR"/>
        </w:rPr>
        <w:t>Par ailleurs</w:t>
      </w:r>
      <w:r w:rsidR="00E8467C" w:rsidRPr="0070292F">
        <w:rPr>
          <w:rFonts w:eastAsia="Cambria"/>
          <w:lang w:val="fr-FR"/>
        </w:rPr>
        <w:t>, l</w:t>
      </w:r>
      <w:r w:rsidRPr="0070292F">
        <w:rPr>
          <w:rFonts w:eastAsia="MS Mincho"/>
          <w:lang w:val="fr-FR" w:eastAsia="ja-JP"/>
        </w:rPr>
        <w:t>a France connaît d</w:t>
      </w:r>
      <w:r w:rsidR="0070292F" w:rsidRPr="0070292F">
        <w:rPr>
          <w:rFonts w:eastAsia="MS Mincho"/>
          <w:lang w:val="fr-FR" w:eastAsia="ja-JP"/>
        </w:rPr>
        <w:t>’</w:t>
      </w:r>
      <w:r w:rsidRPr="0070292F">
        <w:rPr>
          <w:rFonts w:eastAsia="MS Mincho"/>
          <w:lang w:val="fr-FR" w:eastAsia="ja-JP"/>
        </w:rPr>
        <w:t>autres types de mesures (interdiction de réunion</w:t>
      </w:r>
      <w:r w:rsidR="00E8467C" w:rsidRPr="0070292F">
        <w:rPr>
          <w:rFonts w:eastAsia="MS Mincho"/>
          <w:lang w:val="fr-FR" w:eastAsia="ja-JP"/>
        </w:rPr>
        <w:t>s</w:t>
      </w:r>
      <w:r w:rsidRPr="0070292F">
        <w:rPr>
          <w:rFonts w:eastAsia="MS Mincho"/>
          <w:lang w:val="fr-FR" w:eastAsia="ja-JP"/>
        </w:rPr>
        <w:t>, manifestation</w:t>
      </w:r>
      <w:r w:rsidR="00E8467C" w:rsidRPr="0070292F">
        <w:rPr>
          <w:rFonts w:eastAsia="MS Mincho"/>
          <w:lang w:val="fr-FR" w:eastAsia="ja-JP"/>
        </w:rPr>
        <w:t>s ou</w:t>
      </w:r>
      <w:r w:rsidRPr="0070292F">
        <w:rPr>
          <w:rFonts w:eastAsia="MS Mincho"/>
          <w:lang w:val="fr-FR" w:eastAsia="ja-JP"/>
        </w:rPr>
        <w:t xml:space="preserve"> spectacle</w:t>
      </w:r>
      <w:r w:rsidR="00E8467C" w:rsidRPr="0070292F">
        <w:rPr>
          <w:rFonts w:eastAsia="MS Mincho"/>
          <w:lang w:val="fr-FR" w:eastAsia="ja-JP"/>
        </w:rPr>
        <w:t>s</w:t>
      </w:r>
      <w:r w:rsidRPr="0070292F">
        <w:rPr>
          <w:rFonts w:eastAsia="MS Mincho"/>
          <w:lang w:val="fr-FR" w:eastAsia="ja-JP"/>
        </w:rPr>
        <w:t>, hospitalisation d</w:t>
      </w:r>
      <w:r w:rsidR="0070292F" w:rsidRPr="0070292F">
        <w:rPr>
          <w:rFonts w:eastAsia="MS Mincho"/>
          <w:lang w:val="fr-FR" w:eastAsia="ja-JP"/>
        </w:rPr>
        <w:t>’</w:t>
      </w:r>
      <w:r w:rsidRPr="0070292F">
        <w:rPr>
          <w:rFonts w:eastAsia="MS Mincho"/>
          <w:lang w:val="fr-FR" w:eastAsia="ja-JP"/>
        </w:rPr>
        <w:t xml:space="preserve">office, etc.) </w:t>
      </w:r>
      <w:r w:rsidR="00E8467C" w:rsidRPr="0070292F">
        <w:rPr>
          <w:rFonts w:eastAsia="MS Mincho"/>
          <w:lang w:val="fr-FR" w:eastAsia="ja-JP"/>
        </w:rPr>
        <w:t xml:space="preserve">qui </w:t>
      </w:r>
      <w:r w:rsidRPr="0070292F">
        <w:rPr>
          <w:rFonts w:eastAsia="MS Mincho"/>
          <w:lang w:val="fr-FR" w:eastAsia="ja-JP"/>
        </w:rPr>
        <w:t>rel</w:t>
      </w:r>
      <w:r w:rsidR="00E8467C" w:rsidRPr="0070292F">
        <w:rPr>
          <w:rFonts w:eastAsia="MS Mincho"/>
          <w:lang w:val="fr-FR" w:eastAsia="ja-JP"/>
        </w:rPr>
        <w:t>èvent</w:t>
      </w:r>
      <w:r w:rsidRPr="0070292F">
        <w:rPr>
          <w:rFonts w:eastAsia="MS Mincho"/>
          <w:lang w:val="fr-FR" w:eastAsia="ja-JP"/>
        </w:rPr>
        <w:t xml:space="preserve"> de la compétence de la police administrative. Au Royaume-Uni, </w:t>
      </w:r>
      <w:r w:rsidR="00E8467C" w:rsidRPr="0070292F">
        <w:rPr>
          <w:rFonts w:eastAsia="MS Mincho"/>
          <w:lang w:val="fr-FR" w:eastAsia="ja-JP"/>
        </w:rPr>
        <w:t xml:space="preserve">des mesures semblables </w:t>
      </w:r>
      <w:r w:rsidRPr="0070292F">
        <w:rPr>
          <w:rFonts w:eastAsia="MS Mincho"/>
          <w:lang w:val="fr-FR" w:eastAsia="ja-JP"/>
        </w:rPr>
        <w:t xml:space="preserve">ont été introduites en </w:t>
      </w:r>
      <w:r w:rsidRPr="0070292F">
        <w:rPr>
          <w:rFonts w:eastAsia="MS Mincho"/>
          <w:color w:val="000000"/>
          <w:lang w:val="fr-FR" w:eastAsia="ja-JP"/>
        </w:rPr>
        <w:t>2011</w:t>
      </w:r>
      <w:r w:rsidRPr="0070292F">
        <w:rPr>
          <w:rFonts w:eastAsia="MS Mincho"/>
          <w:lang w:val="fr-FR" w:eastAsia="ja-JP"/>
        </w:rPr>
        <w:t xml:space="preserve"> dans le cadre de la lutte contre le terrorisme.</w:t>
      </w:r>
    </w:p>
    <w:p w:rsidR="0070292F" w:rsidRPr="0070292F" w:rsidRDefault="00C66FB1" w:rsidP="0070292F">
      <w:pPr>
        <w:pStyle w:val="ECHRPara"/>
        <w:rPr>
          <w:rFonts w:eastAsia="Cambria"/>
          <w:lang w:val="fr-FR"/>
        </w:rPr>
      </w:pPr>
      <w:r w:rsidRPr="0070292F">
        <w:rPr>
          <w:rFonts w:eastAsia="Cambria"/>
          <w:lang w:val="fr-FR"/>
        </w:rPr>
        <w:fldChar w:fldCharType="begin"/>
      </w:r>
      <w:r w:rsidRPr="0070292F">
        <w:rPr>
          <w:rFonts w:eastAsia="Cambria"/>
          <w:lang w:val="fr-FR"/>
        </w:rPr>
        <w:instrText xml:space="preserve"> SEQ level0 \*arabic </w:instrText>
      </w:r>
      <w:r w:rsidRPr="0070292F">
        <w:rPr>
          <w:rFonts w:eastAsia="Cambria"/>
          <w:lang w:val="fr-FR"/>
        </w:rPr>
        <w:fldChar w:fldCharType="separate"/>
      </w:r>
      <w:r w:rsidR="0070292F" w:rsidRPr="0070292F">
        <w:rPr>
          <w:rFonts w:eastAsia="Cambria"/>
          <w:noProof/>
          <w:lang w:val="fr-FR"/>
        </w:rPr>
        <w:t>71</w:t>
      </w:r>
      <w:r w:rsidRPr="0070292F">
        <w:rPr>
          <w:rFonts w:eastAsia="Cambria"/>
          <w:lang w:val="fr-FR"/>
        </w:rPr>
        <w:fldChar w:fldCharType="end"/>
      </w:r>
      <w:r w:rsidRPr="0070292F">
        <w:rPr>
          <w:rFonts w:eastAsia="Cambria"/>
          <w:lang w:val="fr-FR"/>
        </w:rPr>
        <w:t xml:space="preserve">.  En Russie, </w:t>
      </w:r>
      <w:r w:rsidR="00E8467C" w:rsidRPr="0070292F">
        <w:rPr>
          <w:rFonts w:eastAsia="Cambria"/>
          <w:lang w:val="fr-FR"/>
        </w:rPr>
        <w:t>diverses</w:t>
      </w:r>
      <w:r w:rsidRPr="0070292F">
        <w:rPr>
          <w:rFonts w:eastAsia="Cambria"/>
          <w:lang w:val="fr-FR"/>
        </w:rPr>
        <w:t xml:space="preserve"> lois</w:t>
      </w:r>
      <w:r w:rsidR="00E8467C" w:rsidRPr="0070292F">
        <w:rPr>
          <w:rFonts w:eastAsia="Cambria"/>
          <w:lang w:val="fr-FR"/>
        </w:rPr>
        <w:t xml:space="preserve"> indiquent que </w:t>
      </w:r>
      <w:r w:rsidRPr="0070292F">
        <w:rPr>
          <w:rFonts w:eastAsia="Cambria"/>
          <w:lang w:val="fr-FR"/>
        </w:rPr>
        <w:t xml:space="preserve">les mesures de prévention </w:t>
      </w:r>
      <w:r w:rsidR="00E8467C" w:rsidRPr="0070292F">
        <w:rPr>
          <w:rFonts w:eastAsia="Cambria"/>
          <w:lang w:val="fr-FR"/>
        </w:rPr>
        <w:t>visent les anciens détenus qui ont</w:t>
      </w:r>
      <w:r w:rsidRPr="0070292F">
        <w:rPr>
          <w:rFonts w:eastAsia="Cambria"/>
          <w:lang w:val="fr-FR"/>
        </w:rPr>
        <w:t xml:space="preserve"> été condamnés pour un</w:t>
      </w:r>
      <w:r w:rsidR="00E8467C" w:rsidRPr="0070292F">
        <w:rPr>
          <w:rFonts w:eastAsia="Cambria"/>
          <w:lang w:val="fr-FR"/>
        </w:rPr>
        <w:t>e</w:t>
      </w:r>
      <w:r w:rsidRPr="0070292F">
        <w:rPr>
          <w:rFonts w:eastAsia="Cambria"/>
          <w:lang w:val="fr-FR"/>
        </w:rPr>
        <w:t xml:space="preserve"> </w:t>
      </w:r>
      <w:r w:rsidR="00E8467C" w:rsidRPr="0070292F">
        <w:rPr>
          <w:rFonts w:eastAsia="Cambria"/>
          <w:lang w:val="fr-FR"/>
        </w:rPr>
        <w:t xml:space="preserve">infraction </w:t>
      </w:r>
      <w:r w:rsidRPr="0070292F">
        <w:rPr>
          <w:rFonts w:eastAsia="Cambria"/>
          <w:lang w:val="fr-FR"/>
        </w:rPr>
        <w:t xml:space="preserve">grave, pour récidive </w:t>
      </w:r>
      <w:r w:rsidR="00E8467C" w:rsidRPr="0070292F">
        <w:rPr>
          <w:rFonts w:eastAsia="Cambria"/>
          <w:lang w:val="fr-FR"/>
        </w:rPr>
        <w:t xml:space="preserve">ou </w:t>
      </w:r>
      <w:r w:rsidRPr="0070292F">
        <w:rPr>
          <w:rFonts w:eastAsia="Cambria"/>
          <w:lang w:val="fr-FR"/>
        </w:rPr>
        <w:t xml:space="preserve">pour </w:t>
      </w:r>
      <w:r w:rsidR="00515574" w:rsidRPr="0070292F">
        <w:rPr>
          <w:rFonts w:eastAsia="Cambria"/>
          <w:lang w:val="fr-FR"/>
        </w:rPr>
        <w:t>d</w:t>
      </w:r>
      <w:r w:rsidR="0070292F" w:rsidRPr="0070292F">
        <w:rPr>
          <w:rFonts w:eastAsia="Cambria"/>
          <w:lang w:val="fr-FR"/>
        </w:rPr>
        <w:t>’</w:t>
      </w:r>
      <w:r w:rsidRPr="0070292F">
        <w:rPr>
          <w:rFonts w:eastAsia="Cambria"/>
          <w:lang w:val="fr-FR"/>
        </w:rPr>
        <w:t xml:space="preserve">autres types </w:t>
      </w:r>
      <w:r w:rsidR="00E8467C" w:rsidRPr="0070292F">
        <w:rPr>
          <w:rFonts w:eastAsia="Cambria"/>
          <w:lang w:val="fr-FR"/>
        </w:rPr>
        <w:t>d</w:t>
      </w:r>
      <w:r w:rsidR="0070292F" w:rsidRPr="0070292F">
        <w:rPr>
          <w:rFonts w:eastAsia="Cambria"/>
          <w:lang w:val="fr-FR"/>
        </w:rPr>
        <w:t>’</w:t>
      </w:r>
      <w:r w:rsidR="00E8467C" w:rsidRPr="0070292F">
        <w:rPr>
          <w:rFonts w:eastAsia="Cambria"/>
          <w:lang w:val="fr-FR"/>
        </w:rPr>
        <w:t>infractions</w:t>
      </w:r>
      <w:r w:rsidRPr="0070292F">
        <w:rPr>
          <w:rFonts w:eastAsia="Cambria"/>
          <w:lang w:val="fr-FR"/>
        </w:rPr>
        <w:t xml:space="preserve">, </w:t>
      </w:r>
      <w:r w:rsidR="00E8467C" w:rsidRPr="0070292F">
        <w:rPr>
          <w:rFonts w:eastAsia="Cambria"/>
          <w:lang w:val="fr-FR"/>
        </w:rPr>
        <w:t>l</w:t>
      </w:r>
      <w:r w:rsidRPr="0070292F">
        <w:rPr>
          <w:rFonts w:eastAsia="Cambria"/>
          <w:lang w:val="fr-FR"/>
        </w:rPr>
        <w:t xml:space="preserve">es mineurs abandonnés ou </w:t>
      </w:r>
      <w:r w:rsidR="00E8467C" w:rsidRPr="0070292F">
        <w:rPr>
          <w:rFonts w:eastAsia="Cambria"/>
          <w:lang w:val="fr-FR"/>
        </w:rPr>
        <w:t>auteurs d</w:t>
      </w:r>
      <w:r w:rsidR="0070292F" w:rsidRPr="0070292F">
        <w:rPr>
          <w:rFonts w:eastAsia="Cambria"/>
          <w:lang w:val="fr-FR"/>
        </w:rPr>
        <w:t>’</w:t>
      </w:r>
      <w:r w:rsidR="00E8467C" w:rsidRPr="0070292F">
        <w:rPr>
          <w:rFonts w:eastAsia="Cambria"/>
          <w:lang w:val="fr-FR"/>
        </w:rPr>
        <w:t>une infraction</w:t>
      </w:r>
      <w:r w:rsidRPr="0070292F">
        <w:rPr>
          <w:rFonts w:eastAsia="Cambria"/>
          <w:lang w:val="fr-FR"/>
        </w:rPr>
        <w:t xml:space="preserve">, </w:t>
      </w:r>
      <w:r w:rsidR="00E8467C" w:rsidRPr="0070292F">
        <w:rPr>
          <w:rFonts w:eastAsia="Cambria"/>
          <w:lang w:val="fr-FR"/>
        </w:rPr>
        <w:t>l</w:t>
      </w:r>
      <w:r w:rsidRPr="0070292F">
        <w:rPr>
          <w:rFonts w:eastAsia="Cambria"/>
          <w:lang w:val="fr-FR"/>
        </w:rPr>
        <w:t xml:space="preserve">es toxicomanes et alcooliques </w:t>
      </w:r>
      <w:r w:rsidR="00E8467C" w:rsidRPr="0070292F">
        <w:rPr>
          <w:rFonts w:eastAsia="Cambria"/>
          <w:lang w:val="fr-FR"/>
        </w:rPr>
        <w:t xml:space="preserve">présentant </w:t>
      </w:r>
      <w:r w:rsidRPr="0070292F">
        <w:rPr>
          <w:rFonts w:eastAsia="Cambria"/>
          <w:lang w:val="fr-FR"/>
        </w:rPr>
        <w:t xml:space="preserve">un danger pour </w:t>
      </w:r>
      <w:r w:rsidR="00E8467C" w:rsidRPr="0070292F">
        <w:rPr>
          <w:rFonts w:eastAsia="Cambria"/>
          <w:lang w:val="fr-FR"/>
        </w:rPr>
        <w:t>autrui</w:t>
      </w:r>
      <w:r w:rsidRPr="0070292F">
        <w:rPr>
          <w:rFonts w:eastAsia="Cambria"/>
          <w:lang w:val="fr-FR"/>
        </w:rPr>
        <w:t xml:space="preserve">, </w:t>
      </w:r>
      <w:r w:rsidR="00E8467C" w:rsidRPr="0070292F">
        <w:rPr>
          <w:rFonts w:eastAsia="Cambria"/>
          <w:lang w:val="fr-FR"/>
        </w:rPr>
        <w:t>l</w:t>
      </w:r>
      <w:r w:rsidRPr="0070292F">
        <w:rPr>
          <w:rFonts w:eastAsia="Cambria"/>
          <w:lang w:val="fr-FR"/>
        </w:rPr>
        <w:t xml:space="preserve">es personnes impliquées dans des </w:t>
      </w:r>
      <w:r w:rsidR="00E8467C" w:rsidRPr="0070292F">
        <w:rPr>
          <w:rFonts w:eastAsia="Cambria"/>
          <w:lang w:val="fr-FR"/>
        </w:rPr>
        <w:t xml:space="preserve">infractions </w:t>
      </w:r>
      <w:r w:rsidRPr="0070292F">
        <w:rPr>
          <w:rFonts w:eastAsia="Cambria"/>
          <w:lang w:val="fr-FR"/>
        </w:rPr>
        <w:t>contre les ménages, des personnes contrevenant à l</w:t>
      </w:r>
      <w:r w:rsidR="0070292F" w:rsidRPr="0070292F">
        <w:rPr>
          <w:rFonts w:eastAsia="Cambria"/>
          <w:lang w:val="fr-FR"/>
        </w:rPr>
        <w:t>’</w:t>
      </w:r>
      <w:r w:rsidRPr="0070292F">
        <w:rPr>
          <w:rFonts w:eastAsia="Cambria"/>
          <w:lang w:val="fr-FR"/>
        </w:rPr>
        <w:t>ordre public lors d</w:t>
      </w:r>
      <w:r w:rsidR="0070292F" w:rsidRPr="0070292F">
        <w:rPr>
          <w:rFonts w:eastAsia="Cambria"/>
          <w:lang w:val="fr-FR"/>
        </w:rPr>
        <w:t>’</w:t>
      </w:r>
      <w:r w:rsidRPr="0070292F">
        <w:rPr>
          <w:rFonts w:eastAsia="Cambria"/>
          <w:lang w:val="fr-FR"/>
        </w:rPr>
        <w:t xml:space="preserve">évènements publics, </w:t>
      </w:r>
      <w:r w:rsidR="00E8467C" w:rsidRPr="0070292F">
        <w:rPr>
          <w:rFonts w:eastAsia="Cambria"/>
          <w:lang w:val="fr-FR"/>
        </w:rPr>
        <w:t>l</w:t>
      </w:r>
      <w:r w:rsidRPr="0070292F">
        <w:rPr>
          <w:rFonts w:eastAsia="Cambria"/>
          <w:lang w:val="fr-FR"/>
        </w:rPr>
        <w:t>es personnes impliquées dans des organisations juvéniles non</w:t>
      </w:r>
      <w:r w:rsidR="00E8467C" w:rsidRPr="0070292F">
        <w:rPr>
          <w:rFonts w:eastAsia="Cambria"/>
          <w:lang w:val="fr-FR"/>
        </w:rPr>
        <w:t xml:space="preserve"> </w:t>
      </w:r>
      <w:r w:rsidRPr="0070292F">
        <w:rPr>
          <w:rFonts w:eastAsia="Cambria"/>
          <w:lang w:val="fr-FR"/>
        </w:rPr>
        <w:t xml:space="preserve">officielles poursuivant des activités illégales et </w:t>
      </w:r>
      <w:r w:rsidR="00E8467C" w:rsidRPr="0070292F">
        <w:rPr>
          <w:rFonts w:eastAsia="Cambria"/>
          <w:lang w:val="fr-FR"/>
        </w:rPr>
        <w:t>l</w:t>
      </w:r>
      <w:r w:rsidRPr="0070292F">
        <w:rPr>
          <w:rFonts w:eastAsia="Cambria"/>
          <w:lang w:val="fr-FR"/>
        </w:rPr>
        <w:t>es personnes impliquées dans le trafic ou la consommation illégale de drogue.</w:t>
      </w:r>
    </w:p>
    <w:p w:rsidR="009A3573" w:rsidRPr="0070292F" w:rsidRDefault="009A3573"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72</w:t>
      </w:r>
      <w:r w:rsidRPr="0070292F">
        <w:rPr>
          <w:lang w:val="fr-FR"/>
        </w:rPr>
        <w:fldChar w:fldCharType="end"/>
      </w:r>
      <w:r w:rsidRPr="0070292F">
        <w:rPr>
          <w:lang w:val="fr-FR"/>
        </w:rPr>
        <w:t>.  Dans le cadre de la législation européenne, la Directive 2004/38/CE relative au droit des citoyens de l</w:t>
      </w:r>
      <w:r w:rsidR="0070292F" w:rsidRPr="0070292F">
        <w:rPr>
          <w:lang w:val="fr-FR"/>
        </w:rPr>
        <w:t>’</w:t>
      </w:r>
      <w:r w:rsidRPr="0070292F">
        <w:rPr>
          <w:lang w:val="fr-FR"/>
        </w:rPr>
        <w:t>Union et des membres de leurs familles de circuler et de séjourner librement sur le territoire des États membres prévoit la possibilité pour les États de restreindre la liberté de circulation et de séjour pour des raisons d</w:t>
      </w:r>
      <w:r w:rsidR="0070292F" w:rsidRPr="0070292F">
        <w:rPr>
          <w:lang w:val="fr-FR"/>
        </w:rPr>
        <w:t>’</w:t>
      </w:r>
      <w:r w:rsidRPr="0070292F">
        <w:rPr>
          <w:lang w:val="fr-FR"/>
        </w:rPr>
        <w:t>ordre public, de sécurité publique ou de santé publique (article 27). Toutefois, l</w:t>
      </w:r>
      <w:r w:rsidR="0070292F" w:rsidRPr="0070292F">
        <w:rPr>
          <w:lang w:val="fr-FR"/>
        </w:rPr>
        <w:t>’</w:t>
      </w:r>
      <w:r w:rsidRPr="0070292F">
        <w:rPr>
          <w:lang w:val="fr-FR"/>
        </w:rPr>
        <w:t>éloignement pour raisons d</w:t>
      </w:r>
      <w:r w:rsidR="0070292F" w:rsidRPr="0070292F">
        <w:rPr>
          <w:lang w:val="fr-FR"/>
        </w:rPr>
        <w:t>’</w:t>
      </w:r>
      <w:r w:rsidRPr="0070292F">
        <w:rPr>
          <w:lang w:val="fr-FR"/>
        </w:rPr>
        <w:t>ordre public ou de sécurité publique doit respecter le principe de proportionnalité et être fondé exclusivement sur le comportement personnel de l</w:t>
      </w:r>
      <w:r w:rsidR="0070292F" w:rsidRPr="0070292F">
        <w:rPr>
          <w:lang w:val="fr-FR"/>
        </w:rPr>
        <w:t>’</w:t>
      </w:r>
      <w:r w:rsidRPr="0070292F">
        <w:rPr>
          <w:lang w:val="fr-FR"/>
        </w:rPr>
        <w:t>individu concerné, qui doit représenter une menace réelle, actuelle et suffisamment grave pour l</w:t>
      </w:r>
      <w:r w:rsidR="0070292F" w:rsidRPr="0070292F">
        <w:rPr>
          <w:lang w:val="fr-FR"/>
        </w:rPr>
        <w:t>’</w:t>
      </w:r>
      <w:r w:rsidRPr="0070292F">
        <w:rPr>
          <w:lang w:val="fr-FR"/>
        </w:rPr>
        <w:t>intérêt fondamental de la société. En ce qui concerne la durée d</w:t>
      </w:r>
      <w:r w:rsidR="0070292F" w:rsidRPr="0070292F">
        <w:rPr>
          <w:lang w:val="fr-FR"/>
        </w:rPr>
        <w:t>’</w:t>
      </w:r>
      <w:r w:rsidRPr="0070292F">
        <w:rPr>
          <w:lang w:val="fr-FR"/>
        </w:rPr>
        <w:t xml:space="preserve">une telle mesure, la </w:t>
      </w:r>
      <w:r w:rsidR="00D2669C" w:rsidRPr="0070292F">
        <w:rPr>
          <w:lang w:val="fr-FR"/>
        </w:rPr>
        <w:t>d</w:t>
      </w:r>
      <w:r w:rsidRPr="0070292F">
        <w:rPr>
          <w:lang w:val="fr-FR"/>
        </w:rPr>
        <w:t xml:space="preserve">irective </w:t>
      </w:r>
      <w:r w:rsidR="00D2669C" w:rsidRPr="0070292F">
        <w:rPr>
          <w:lang w:val="fr-FR"/>
        </w:rPr>
        <w:t xml:space="preserve">indique </w:t>
      </w:r>
      <w:r w:rsidRPr="0070292F">
        <w:rPr>
          <w:lang w:val="fr-FR"/>
        </w:rPr>
        <w:t>qu</w:t>
      </w:r>
      <w:r w:rsidR="0070292F" w:rsidRPr="0070292F">
        <w:rPr>
          <w:lang w:val="fr-FR"/>
        </w:rPr>
        <w:t>’</w:t>
      </w:r>
      <w:r w:rsidRPr="0070292F">
        <w:rPr>
          <w:lang w:val="fr-FR"/>
        </w:rPr>
        <w:t>après un délai raisonnable</w:t>
      </w:r>
      <w:r w:rsidR="00D2669C" w:rsidRPr="0070292F">
        <w:rPr>
          <w:lang w:val="fr-FR"/>
        </w:rPr>
        <w:t xml:space="preserve">, et </w:t>
      </w:r>
      <w:r w:rsidRPr="0070292F">
        <w:rPr>
          <w:lang w:val="fr-FR"/>
        </w:rPr>
        <w:t xml:space="preserve">en tout </w:t>
      </w:r>
      <w:r w:rsidR="00D2669C" w:rsidRPr="0070292F">
        <w:rPr>
          <w:lang w:val="fr-FR"/>
        </w:rPr>
        <w:t>cas</w:t>
      </w:r>
      <w:r w:rsidRPr="0070292F">
        <w:rPr>
          <w:lang w:val="fr-FR"/>
        </w:rPr>
        <w:t xml:space="preserve"> après trois ans à compter de l</w:t>
      </w:r>
      <w:r w:rsidR="0070292F" w:rsidRPr="0070292F">
        <w:rPr>
          <w:lang w:val="fr-FR"/>
        </w:rPr>
        <w:t>’</w:t>
      </w:r>
      <w:r w:rsidRPr="0070292F">
        <w:rPr>
          <w:lang w:val="fr-FR"/>
        </w:rPr>
        <w:t>exécution de la mesure, l</w:t>
      </w:r>
      <w:r w:rsidR="0070292F" w:rsidRPr="0070292F">
        <w:rPr>
          <w:lang w:val="fr-FR"/>
        </w:rPr>
        <w:t>’</w:t>
      </w:r>
      <w:r w:rsidRPr="0070292F">
        <w:rPr>
          <w:lang w:val="fr-FR"/>
        </w:rPr>
        <w:t>intéressé doit pouvoir introduire une demande de levée de l</w:t>
      </w:r>
      <w:r w:rsidR="0070292F" w:rsidRPr="0070292F">
        <w:rPr>
          <w:lang w:val="fr-FR"/>
        </w:rPr>
        <w:t>’</w:t>
      </w:r>
      <w:r w:rsidRPr="0070292F">
        <w:rPr>
          <w:lang w:val="fr-FR"/>
        </w:rPr>
        <w:t>interdiction.</w:t>
      </w:r>
    </w:p>
    <w:p w:rsidR="00AF152A" w:rsidRPr="0070292F" w:rsidRDefault="009A3573" w:rsidP="0070292F">
      <w:pPr>
        <w:pStyle w:val="ECHRPara"/>
        <w:rPr>
          <w:rFonts w:ascii="Times New Roman" w:eastAsia="Times New Roman" w:hAnsi="Times New Roman" w:cs="Times New Roman"/>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73</w:t>
      </w:r>
      <w:r w:rsidRPr="0070292F">
        <w:rPr>
          <w:lang w:val="fr-FR"/>
        </w:rPr>
        <w:fldChar w:fldCharType="end"/>
      </w:r>
      <w:r w:rsidRPr="0070292F">
        <w:rPr>
          <w:lang w:val="fr-FR"/>
        </w:rPr>
        <w:t>.  </w:t>
      </w:r>
      <w:r w:rsidR="00AF152A" w:rsidRPr="0070292F">
        <w:rPr>
          <w:lang w:val="fr-FR"/>
        </w:rPr>
        <w:t>Au niveau du Conseil de l</w:t>
      </w:r>
      <w:r w:rsidR="0070292F" w:rsidRPr="0070292F">
        <w:rPr>
          <w:lang w:val="fr-FR"/>
        </w:rPr>
        <w:t>’</w:t>
      </w:r>
      <w:r w:rsidR="00AF152A" w:rsidRPr="0070292F">
        <w:rPr>
          <w:lang w:val="fr-FR"/>
        </w:rPr>
        <w:t>Europe, le Protocole additionnel à la Convention pour la prévention du terrorisme (STCE n</w:t>
      </w:r>
      <w:r w:rsidR="008C1E94" w:rsidRPr="0070292F">
        <w:rPr>
          <w:vertAlign w:val="superscript"/>
          <w:lang w:val="fr-FR"/>
        </w:rPr>
        <w:t>o</w:t>
      </w:r>
      <w:r w:rsidR="00C22827" w:rsidRPr="0070292F">
        <w:rPr>
          <w:lang w:val="fr-FR"/>
        </w:rPr>
        <w:t xml:space="preserve"> </w:t>
      </w:r>
      <w:r w:rsidR="00AF152A" w:rsidRPr="0070292F">
        <w:rPr>
          <w:lang w:val="fr-FR"/>
        </w:rPr>
        <w:t xml:space="preserve">217) a été adopté par </w:t>
      </w:r>
      <w:r w:rsidR="00AF152A" w:rsidRPr="0070292F">
        <w:rPr>
          <w:lang w:val="fr-FR"/>
        </w:rPr>
        <w:lastRenderedPageBreak/>
        <w:t>le Comité des Ministres, le 19 mai 2015. Il a été ouvert à la signature à Riga, le 22 octobre 2015. Ce Protocole prévoit l</w:t>
      </w:r>
      <w:r w:rsidR="0070292F" w:rsidRPr="0070292F">
        <w:rPr>
          <w:lang w:val="fr-FR"/>
        </w:rPr>
        <w:t>’</w:t>
      </w:r>
      <w:r w:rsidR="00AF152A" w:rsidRPr="0070292F">
        <w:rPr>
          <w:lang w:val="fr-FR"/>
        </w:rPr>
        <w:t xml:space="preserve">obligation pour les États de sanctionner pénalement </w:t>
      </w:r>
      <w:r w:rsidR="00AF152A" w:rsidRPr="0070292F">
        <w:rPr>
          <w:rStyle w:val="JuParaCar"/>
          <w:rFonts w:cstheme="minorHAnsi"/>
          <w:szCs w:val="24"/>
          <w:lang w:val="fr-FR"/>
        </w:rPr>
        <w:t>le fait de se rendre, ou tenter de se rendre, dans un Etat autre que son Etat de résidence ou de nationalité, dans le but de commettre, d</w:t>
      </w:r>
      <w:r w:rsidR="0070292F" w:rsidRPr="0070292F">
        <w:rPr>
          <w:rStyle w:val="JuParaCar"/>
          <w:rFonts w:cstheme="minorHAnsi"/>
          <w:szCs w:val="24"/>
          <w:lang w:val="fr-FR"/>
        </w:rPr>
        <w:t>’</w:t>
      </w:r>
      <w:r w:rsidR="00AF152A" w:rsidRPr="0070292F">
        <w:rPr>
          <w:rStyle w:val="JuParaCar"/>
          <w:rFonts w:cstheme="minorHAnsi"/>
          <w:szCs w:val="24"/>
          <w:lang w:val="fr-FR"/>
        </w:rPr>
        <w:t>organiser ou de préparer des actes de terrorisme, ou afin d</w:t>
      </w:r>
      <w:r w:rsidR="0070292F" w:rsidRPr="0070292F">
        <w:rPr>
          <w:rStyle w:val="JuParaCar"/>
          <w:rFonts w:cstheme="minorHAnsi"/>
          <w:szCs w:val="24"/>
          <w:lang w:val="fr-FR"/>
        </w:rPr>
        <w:t>’</w:t>
      </w:r>
      <w:r w:rsidR="00AF152A" w:rsidRPr="0070292F">
        <w:rPr>
          <w:rStyle w:val="JuParaCar"/>
          <w:rFonts w:cstheme="minorHAnsi"/>
          <w:szCs w:val="24"/>
          <w:lang w:val="fr-FR"/>
        </w:rPr>
        <w:t>y participer à ou de dispenser ou recevoir un entraînement au terrorisme</w:t>
      </w:r>
      <w:r w:rsidR="00AF152A" w:rsidRPr="0070292F">
        <w:rPr>
          <w:rFonts w:eastAsia="Times New Roman"/>
          <w:lang w:val="fr-FR"/>
        </w:rPr>
        <w:t xml:space="preserve"> </w:t>
      </w:r>
      <w:r w:rsidR="00AF152A" w:rsidRPr="0070292F">
        <w:rPr>
          <w:lang w:val="fr-FR"/>
        </w:rPr>
        <w:t>et d</w:t>
      </w:r>
      <w:r w:rsidR="0070292F" w:rsidRPr="0070292F">
        <w:rPr>
          <w:lang w:val="fr-FR"/>
        </w:rPr>
        <w:t>’</w:t>
      </w:r>
      <w:r w:rsidR="00AF152A" w:rsidRPr="0070292F">
        <w:rPr>
          <w:lang w:val="fr-FR"/>
        </w:rPr>
        <w:t>adopter les mesures de coopération nécessaires pour éviter que des personnes partant rejoindre des terroristes puissent sortir de leur territoire.</w:t>
      </w:r>
    </w:p>
    <w:p w:rsidR="00E77CB3" w:rsidRPr="0070292F" w:rsidRDefault="00E77CB3" w:rsidP="0070292F">
      <w:pPr>
        <w:pStyle w:val="ECHRTitle1"/>
        <w:rPr>
          <w:lang w:val="fr-FR"/>
        </w:rPr>
      </w:pPr>
      <w:bookmarkStart w:id="27" w:name="_Toc475451844"/>
      <w:r w:rsidRPr="0070292F">
        <w:rPr>
          <w:lang w:val="fr-FR"/>
        </w:rPr>
        <w:t>EN DROIT</w:t>
      </w:r>
      <w:bookmarkEnd w:id="27"/>
    </w:p>
    <w:p w:rsidR="00E77CB3" w:rsidRPr="0070292F" w:rsidRDefault="00E77CB3" w:rsidP="0070292F">
      <w:pPr>
        <w:pStyle w:val="ECHRHeading1"/>
        <w:rPr>
          <w:lang w:val="fr-FR"/>
        </w:rPr>
      </w:pPr>
      <w:bookmarkStart w:id="28" w:name="_Toc475451845"/>
      <w:r w:rsidRPr="0070292F">
        <w:rPr>
          <w:lang w:val="fr-FR"/>
        </w:rPr>
        <w:t>I.</w:t>
      </w:r>
      <w:r w:rsidR="008E6615" w:rsidRPr="0070292F">
        <w:rPr>
          <w:lang w:val="fr-FR"/>
        </w:rPr>
        <w:t xml:space="preserve">  SUR LA VIOLATION ALLÉGUÉE DES ARTICLES 5 </w:t>
      </w:r>
      <w:r w:rsidR="006603B9" w:rsidRPr="0070292F">
        <w:rPr>
          <w:lang w:val="fr-FR"/>
        </w:rPr>
        <w:t xml:space="preserve">DE LA CONVENTION </w:t>
      </w:r>
      <w:r w:rsidRPr="0070292F">
        <w:rPr>
          <w:lang w:val="fr-FR"/>
        </w:rPr>
        <w:t>E</w:t>
      </w:r>
      <w:r w:rsidR="005F63D7" w:rsidRPr="0070292F">
        <w:rPr>
          <w:lang w:val="fr-FR"/>
        </w:rPr>
        <w:t>T</w:t>
      </w:r>
      <w:r w:rsidRPr="0070292F">
        <w:rPr>
          <w:lang w:val="fr-FR"/>
        </w:rPr>
        <w:t xml:space="preserve"> </w:t>
      </w:r>
      <w:r w:rsidR="008E6615" w:rsidRPr="0070292F">
        <w:rPr>
          <w:lang w:val="fr-FR"/>
        </w:rPr>
        <w:t>2 DU</w:t>
      </w:r>
      <w:r w:rsidR="00334464" w:rsidRPr="0070292F">
        <w:rPr>
          <w:lang w:val="fr-FR"/>
        </w:rPr>
        <w:t xml:space="preserve"> </w:t>
      </w:r>
      <w:r w:rsidR="008E6615" w:rsidRPr="0070292F">
        <w:rPr>
          <w:lang w:val="fr-FR"/>
        </w:rPr>
        <w:t>PROTOCOLE N</w:t>
      </w:r>
      <w:r w:rsidR="008C1E94" w:rsidRPr="0070292F">
        <w:rPr>
          <w:vertAlign w:val="superscript"/>
          <w:lang w:val="fr-FR"/>
        </w:rPr>
        <w:t>o</w:t>
      </w:r>
      <w:r w:rsidR="008E6615" w:rsidRPr="0070292F">
        <w:rPr>
          <w:lang w:val="fr-FR"/>
        </w:rPr>
        <w:t xml:space="preserve"> 4</w:t>
      </w:r>
      <w:bookmarkEnd w:id="28"/>
    </w:p>
    <w:p w:rsidR="0070292F" w:rsidRPr="0070292F" w:rsidRDefault="00141ED6"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74</w:t>
      </w:r>
      <w:r w:rsidRPr="0070292F">
        <w:rPr>
          <w:lang w:val="fr-FR"/>
        </w:rPr>
        <w:fldChar w:fldCharType="end"/>
      </w:r>
      <w:r w:rsidRPr="0070292F">
        <w:rPr>
          <w:lang w:val="fr-FR"/>
        </w:rPr>
        <w:t>.  </w:t>
      </w:r>
      <w:r w:rsidR="002E375E" w:rsidRPr="0070292F">
        <w:rPr>
          <w:lang w:val="fr-FR"/>
        </w:rPr>
        <w:t>Le requérant allègue que la mesure de p</w:t>
      </w:r>
      <w:r w:rsidR="001914CE" w:rsidRPr="0070292F">
        <w:rPr>
          <w:lang w:val="fr-FR"/>
        </w:rPr>
        <w:t>révention dont il a fait l</w:t>
      </w:r>
      <w:r w:rsidR="0070292F" w:rsidRPr="0070292F">
        <w:rPr>
          <w:lang w:val="fr-FR"/>
        </w:rPr>
        <w:t>’</w:t>
      </w:r>
      <w:r w:rsidR="002E375E" w:rsidRPr="0070292F">
        <w:rPr>
          <w:lang w:val="fr-FR"/>
        </w:rPr>
        <w:t xml:space="preserve">objet </w:t>
      </w:r>
      <w:r w:rsidR="004402ED" w:rsidRPr="0070292F">
        <w:rPr>
          <w:lang w:val="fr-FR"/>
        </w:rPr>
        <w:t>avait</w:t>
      </w:r>
      <w:r w:rsidR="002E375E" w:rsidRPr="0070292F">
        <w:rPr>
          <w:lang w:val="fr-FR"/>
        </w:rPr>
        <w:t xml:space="preserve"> un caractère arbitraire et une durée excessive</w:t>
      </w:r>
      <w:r w:rsidR="008C6908" w:rsidRPr="0070292F">
        <w:rPr>
          <w:lang w:val="fr-FR"/>
        </w:rPr>
        <w:t>.</w:t>
      </w:r>
      <w:r w:rsidR="002E375E" w:rsidRPr="0070292F">
        <w:rPr>
          <w:lang w:val="fr-FR"/>
        </w:rPr>
        <w:t xml:space="preserve"> Il invoque l</w:t>
      </w:r>
      <w:r w:rsidR="0070292F" w:rsidRPr="0070292F">
        <w:rPr>
          <w:lang w:val="fr-FR"/>
        </w:rPr>
        <w:t>’</w:t>
      </w:r>
      <w:r w:rsidR="002E375E" w:rsidRPr="0070292F">
        <w:rPr>
          <w:lang w:val="fr-FR"/>
        </w:rPr>
        <w:t>article 5 de la Convention ainsi que l</w:t>
      </w:r>
      <w:r w:rsidR="0070292F" w:rsidRPr="0070292F">
        <w:rPr>
          <w:lang w:val="fr-FR"/>
        </w:rPr>
        <w:t>’</w:t>
      </w:r>
      <w:r w:rsidR="002E375E" w:rsidRPr="0070292F">
        <w:rPr>
          <w:lang w:val="fr-FR"/>
        </w:rPr>
        <w:t xml:space="preserve">article 2 du Protocole </w:t>
      </w:r>
      <w:r w:rsidR="006603B9" w:rsidRPr="0070292F">
        <w:rPr>
          <w:lang w:val="fr-FR"/>
        </w:rPr>
        <w:t>n</w:t>
      </w:r>
      <w:r w:rsidR="006603B9" w:rsidRPr="0070292F">
        <w:rPr>
          <w:vertAlign w:val="superscript"/>
          <w:lang w:val="fr-FR"/>
        </w:rPr>
        <w:t>o</w:t>
      </w:r>
      <w:r w:rsidR="006603B9" w:rsidRPr="0070292F">
        <w:rPr>
          <w:lang w:val="fr-FR"/>
        </w:rPr>
        <w:t xml:space="preserve"> </w:t>
      </w:r>
      <w:r w:rsidR="002E375E" w:rsidRPr="0070292F">
        <w:rPr>
          <w:lang w:val="fr-FR"/>
        </w:rPr>
        <w:t>4</w:t>
      </w:r>
      <w:r w:rsidR="00DB1ACC" w:rsidRPr="0070292F">
        <w:rPr>
          <w:lang w:val="fr-FR"/>
        </w:rPr>
        <w:t>.</w:t>
      </w:r>
    </w:p>
    <w:p w:rsidR="002E375E" w:rsidRPr="0070292F" w:rsidRDefault="002E375E" w:rsidP="0070292F">
      <w:pPr>
        <w:pStyle w:val="ECHRPara"/>
        <w:rPr>
          <w:lang w:val="fr-FR"/>
        </w:rPr>
      </w:pPr>
      <w:r w:rsidRPr="0070292F">
        <w:rPr>
          <w:lang w:val="fr-FR"/>
        </w:rPr>
        <w:t>L</w:t>
      </w:r>
      <w:r w:rsidR="000330B7" w:rsidRPr="0070292F">
        <w:rPr>
          <w:lang w:val="fr-FR"/>
        </w:rPr>
        <w:t>e passage pertinent de l</w:t>
      </w:r>
      <w:r w:rsidR="0070292F" w:rsidRPr="0070292F">
        <w:rPr>
          <w:lang w:val="fr-FR"/>
        </w:rPr>
        <w:t>’</w:t>
      </w:r>
      <w:r w:rsidRPr="0070292F">
        <w:rPr>
          <w:lang w:val="fr-FR"/>
        </w:rPr>
        <w:t>article 5 est ainsi libellé</w:t>
      </w:r>
      <w:r w:rsidR="000330B7" w:rsidRPr="0070292F">
        <w:rPr>
          <w:lang w:val="fr-FR"/>
        </w:rPr>
        <w:t> </w:t>
      </w:r>
      <w:r w:rsidRPr="0070292F">
        <w:rPr>
          <w:lang w:val="fr-FR"/>
        </w:rPr>
        <w:t>:</w:t>
      </w:r>
    </w:p>
    <w:p w:rsidR="003A65C0" w:rsidRPr="0070292F" w:rsidRDefault="002E375E" w:rsidP="0070292F">
      <w:pPr>
        <w:pStyle w:val="ECHRParaQuote"/>
        <w:rPr>
          <w:lang w:val="fr-FR"/>
        </w:rPr>
      </w:pPr>
      <w:r w:rsidRPr="0070292F">
        <w:rPr>
          <w:rFonts w:eastAsiaTheme="minorHAnsi"/>
          <w:lang w:val="fr-FR"/>
        </w:rPr>
        <w:t>«</w:t>
      </w:r>
      <w:r w:rsidR="005F63D7" w:rsidRPr="0070292F">
        <w:rPr>
          <w:lang w:val="fr-FR"/>
        </w:rPr>
        <w:t> </w:t>
      </w:r>
      <w:r w:rsidR="003A65C0" w:rsidRPr="0070292F">
        <w:rPr>
          <w:lang w:val="fr-FR"/>
        </w:rPr>
        <w:t>1.  Toute personne a droit à la liberté et à la sûreté. Nul ne peut être privé de sa liberté, sauf dans les cas suivants et selon les voies légales :</w:t>
      </w:r>
    </w:p>
    <w:p w:rsidR="003A65C0" w:rsidRPr="0070292F" w:rsidRDefault="003A65C0" w:rsidP="0070292F">
      <w:pPr>
        <w:pStyle w:val="ECHRParaQuote"/>
        <w:rPr>
          <w:lang w:val="fr-FR"/>
        </w:rPr>
      </w:pPr>
      <w:r w:rsidRPr="0070292F">
        <w:rPr>
          <w:lang w:val="fr-FR"/>
        </w:rPr>
        <w:t>a)  s</w:t>
      </w:r>
      <w:r w:rsidR="0070292F" w:rsidRPr="0070292F">
        <w:rPr>
          <w:lang w:val="fr-FR"/>
        </w:rPr>
        <w:t>’</w:t>
      </w:r>
      <w:r w:rsidRPr="0070292F">
        <w:rPr>
          <w:lang w:val="fr-FR"/>
        </w:rPr>
        <w:t>il est détenu régulièrement après condamnation par un tribunal compétent ;</w:t>
      </w:r>
    </w:p>
    <w:p w:rsidR="003A65C0" w:rsidRPr="0070292F" w:rsidRDefault="003A65C0" w:rsidP="0070292F">
      <w:pPr>
        <w:pStyle w:val="ECHRParaQuote"/>
        <w:rPr>
          <w:lang w:val="fr-FR"/>
        </w:rPr>
      </w:pPr>
      <w:r w:rsidRPr="0070292F">
        <w:rPr>
          <w:lang w:val="fr-FR"/>
        </w:rPr>
        <w:t>b)  s</w:t>
      </w:r>
      <w:r w:rsidR="0070292F" w:rsidRPr="0070292F">
        <w:rPr>
          <w:lang w:val="fr-FR"/>
        </w:rPr>
        <w:t>’</w:t>
      </w:r>
      <w:r w:rsidRPr="0070292F">
        <w:rPr>
          <w:lang w:val="fr-FR"/>
        </w:rPr>
        <w:t>il a fait l</w:t>
      </w:r>
      <w:r w:rsidR="0070292F" w:rsidRPr="0070292F">
        <w:rPr>
          <w:lang w:val="fr-FR"/>
        </w:rPr>
        <w:t>’</w:t>
      </w:r>
      <w:r w:rsidRPr="0070292F">
        <w:rPr>
          <w:lang w:val="fr-FR"/>
        </w:rPr>
        <w:t>objet d</w:t>
      </w:r>
      <w:r w:rsidR="0070292F" w:rsidRPr="0070292F">
        <w:rPr>
          <w:lang w:val="fr-FR"/>
        </w:rPr>
        <w:t>’</w:t>
      </w:r>
      <w:r w:rsidRPr="0070292F">
        <w:rPr>
          <w:lang w:val="fr-FR"/>
        </w:rPr>
        <w:t>une arrestation ou d</w:t>
      </w:r>
      <w:r w:rsidR="0070292F" w:rsidRPr="0070292F">
        <w:rPr>
          <w:lang w:val="fr-FR"/>
        </w:rPr>
        <w:t>’</w:t>
      </w:r>
      <w:r w:rsidRPr="0070292F">
        <w:rPr>
          <w:lang w:val="fr-FR"/>
        </w:rPr>
        <w:t>une détention régulières pour insoumission à une ordonnance rendue, conformément à la loi, par un tribunal ou en vue de garantir l</w:t>
      </w:r>
      <w:r w:rsidR="0070292F" w:rsidRPr="0070292F">
        <w:rPr>
          <w:lang w:val="fr-FR"/>
        </w:rPr>
        <w:t>’</w:t>
      </w:r>
      <w:r w:rsidRPr="0070292F">
        <w:rPr>
          <w:lang w:val="fr-FR"/>
        </w:rPr>
        <w:t>exécution d</w:t>
      </w:r>
      <w:r w:rsidR="0070292F" w:rsidRPr="0070292F">
        <w:rPr>
          <w:lang w:val="fr-FR"/>
        </w:rPr>
        <w:t>’</w:t>
      </w:r>
      <w:r w:rsidRPr="0070292F">
        <w:rPr>
          <w:lang w:val="fr-FR"/>
        </w:rPr>
        <w:t>une obligation prescrite par la loi ;</w:t>
      </w:r>
    </w:p>
    <w:p w:rsidR="003A65C0" w:rsidRPr="0070292F" w:rsidRDefault="003A65C0" w:rsidP="0070292F">
      <w:pPr>
        <w:pStyle w:val="ECHRParaQuote"/>
        <w:rPr>
          <w:lang w:val="fr-FR"/>
        </w:rPr>
      </w:pPr>
      <w:r w:rsidRPr="0070292F">
        <w:rPr>
          <w:lang w:val="fr-FR"/>
        </w:rPr>
        <w:t>c)  s</w:t>
      </w:r>
      <w:r w:rsidR="0070292F" w:rsidRPr="0070292F">
        <w:rPr>
          <w:lang w:val="fr-FR"/>
        </w:rPr>
        <w:t>’</w:t>
      </w:r>
      <w:r w:rsidRPr="0070292F">
        <w:rPr>
          <w:lang w:val="fr-FR"/>
        </w:rPr>
        <w:t>il a été arrêté et détenu en vue d</w:t>
      </w:r>
      <w:r w:rsidR="0070292F" w:rsidRPr="0070292F">
        <w:rPr>
          <w:lang w:val="fr-FR"/>
        </w:rPr>
        <w:t>’</w:t>
      </w:r>
      <w:r w:rsidRPr="0070292F">
        <w:rPr>
          <w:lang w:val="fr-FR"/>
        </w:rPr>
        <w:t>être conduit devant l</w:t>
      </w:r>
      <w:r w:rsidR="0070292F" w:rsidRPr="0070292F">
        <w:rPr>
          <w:lang w:val="fr-FR"/>
        </w:rPr>
        <w:t>’</w:t>
      </w:r>
      <w:r w:rsidRPr="0070292F">
        <w:rPr>
          <w:lang w:val="fr-FR"/>
        </w:rPr>
        <w:t>autorité judiciaire compétente, lorsqu</w:t>
      </w:r>
      <w:r w:rsidR="0070292F" w:rsidRPr="0070292F">
        <w:rPr>
          <w:lang w:val="fr-FR"/>
        </w:rPr>
        <w:t>’</w:t>
      </w:r>
      <w:r w:rsidRPr="0070292F">
        <w:rPr>
          <w:lang w:val="fr-FR"/>
        </w:rPr>
        <w:t>il y a des raisons plausibles de soupçonner qu</w:t>
      </w:r>
      <w:r w:rsidR="0070292F" w:rsidRPr="0070292F">
        <w:rPr>
          <w:lang w:val="fr-FR"/>
        </w:rPr>
        <w:t>’</w:t>
      </w:r>
      <w:r w:rsidRPr="0070292F">
        <w:rPr>
          <w:lang w:val="fr-FR"/>
        </w:rPr>
        <w:t>il a commis une infraction ou qu</w:t>
      </w:r>
      <w:r w:rsidR="0070292F" w:rsidRPr="0070292F">
        <w:rPr>
          <w:lang w:val="fr-FR"/>
        </w:rPr>
        <w:t>’</w:t>
      </w:r>
      <w:r w:rsidRPr="0070292F">
        <w:rPr>
          <w:lang w:val="fr-FR"/>
        </w:rPr>
        <w:t>il y a des motifs raisonnables de croire à la nécessité de l</w:t>
      </w:r>
      <w:r w:rsidR="0070292F" w:rsidRPr="0070292F">
        <w:rPr>
          <w:lang w:val="fr-FR"/>
        </w:rPr>
        <w:t>’</w:t>
      </w:r>
      <w:r w:rsidRPr="0070292F">
        <w:rPr>
          <w:lang w:val="fr-FR"/>
        </w:rPr>
        <w:t>empêcher de commettre une infraction ou de s</w:t>
      </w:r>
      <w:r w:rsidR="0070292F" w:rsidRPr="0070292F">
        <w:rPr>
          <w:lang w:val="fr-FR"/>
        </w:rPr>
        <w:t>’</w:t>
      </w:r>
      <w:r w:rsidRPr="0070292F">
        <w:rPr>
          <w:lang w:val="fr-FR"/>
        </w:rPr>
        <w:t>enfuir après l</w:t>
      </w:r>
      <w:r w:rsidR="0070292F" w:rsidRPr="0070292F">
        <w:rPr>
          <w:lang w:val="fr-FR"/>
        </w:rPr>
        <w:t>’</w:t>
      </w:r>
      <w:r w:rsidRPr="0070292F">
        <w:rPr>
          <w:lang w:val="fr-FR"/>
        </w:rPr>
        <w:t>accomplissement de celle-ci ;</w:t>
      </w:r>
    </w:p>
    <w:p w:rsidR="003A65C0" w:rsidRPr="0070292F" w:rsidRDefault="003A65C0" w:rsidP="0070292F">
      <w:pPr>
        <w:pStyle w:val="ECHRParaQuote"/>
        <w:rPr>
          <w:lang w:val="fr-FR"/>
        </w:rPr>
      </w:pPr>
      <w:r w:rsidRPr="0070292F">
        <w:rPr>
          <w:lang w:val="fr-FR"/>
        </w:rPr>
        <w:t>d)  s</w:t>
      </w:r>
      <w:r w:rsidR="0070292F" w:rsidRPr="0070292F">
        <w:rPr>
          <w:lang w:val="fr-FR"/>
        </w:rPr>
        <w:t>’</w:t>
      </w:r>
      <w:r w:rsidRPr="0070292F">
        <w:rPr>
          <w:lang w:val="fr-FR"/>
        </w:rPr>
        <w:t>il s</w:t>
      </w:r>
      <w:r w:rsidR="0070292F" w:rsidRPr="0070292F">
        <w:rPr>
          <w:lang w:val="fr-FR"/>
        </w:rPr>
        <w:t>’</w:t>
      </w:r>
      <w:r w:rsidRPr="0070292F">
        <w:rPr>
          <w:lang w:val="fr-FR"/>
        </w:rPr>
        <w:t>agit de la détention régulière d</w:t>
      </w:r>
      <w:r w:rsidR="0070292F" w:rsidRPr="0070292F">
        <w:rPr>
          <w:lang w:val="fr-FR"/>
        </w:rPr>
        <w:t>’</w:t>
      </w:r>
      <w:r w:rsidRPr="0070292F">
        <w:rPr>
          <w:lang w:val="fr-FR"/>
        </w:rPr>
        <w:t>un mineur, décidée pour son éducation surveillée ou de sa détention régulière, afin de le traduire devant l</w:t>
      </w:r>
      <w:r w:rsidR="0070292F" w:rsidRPr="0070292F">
        <w:rPr>
          <w:lang w:val="fr-FR"/>
        </w:rPr>
        <w:t>’</w:t>
      </w:r>
      <w:r w:rsidRPr="0070292F">
        <w:rPr>
          <w:lang w:val="fr-FR"/>
        </w:rPr>
        <w:t>autorité compétente ;</w:t>
      </w:r>
    </w:p>
    <w:p w:rsidR="003A65C0" w:rsidRPr="0070292F" w:rsidRDefault="003A65C0" w:rsidP="0070292F">
      <w:pPr>
        <w:pStyle w:val="ECHRParaQuote"/>
        <w:rPr>
          <w:lang w:val="fr-FR"/>
        </w:rPr>
      </w:pPr>
      <w:r w:rsidRPr="0070292F">
        <w:rPr>
          <w:lang w:val="fr-FR"/>
        </w:rPr>
        <w:t>e)  s</w:t>
      </w:r>
      <w:r w:rsidR="0070292F" w:rsidRPr="0070292F">
        <w:rPr>
          <w:lang w:val="fr-FR"/>
        </w:rPr>
        <w:t>’</w:t>
      </w:r>
      <w:r w:rsidRPr="0070292F">
        <w:rPr>
          <w:lang w:val="fr-FR"/>
        </w:rPr>
        <w:t>il s</w:t>
      </w:r>
      <w:r w:rsidR="0070292F" w:rsidRPr="0070292F">
        <w:rPr>
          <w:lang w:val="fr-FR"/>
        </w:rPr>
        <w:t>’</w:t>
      </w:r>
      <w:r w:rsidRPr="0070292F">
        <w:rPr>
          <w:lang w:val="fr-FR"/>
        </w:rPr>
        <w:t>agit de la détention régulière d</w:t>
      </w:r>
      <w:r w:rsidR="0070292F" w:rsidRPr="0070292F">
        <w:rPr>
          <w:lang w:val="fr-FR"/>
        </w:rPr>
        <w:t>’</w:t>
      </w:r>
      <w:r w:rsidRPr="0070292F">
        <w:rPr>
          <w:lang w:val="fr-FR"/>
        </w:rPr>
        <w:t>une personne susceptible de propager une maladie contagieuse, d</w:t>
      </w:r>
      <w:r w:rsidR="0070292F" w:rsidRPr="0070292F">
        <w:rPr>
          <w:lang w:val="fr-FR"/>
        </w:rPr>
        <w:t>’</w:t>
      </w:r>
      <w:r w:rsidRPr="0070292F">
        <w:rPr>
          <w:lang w:val="fr-FR"/>
        </w:rPr>
        <w:t>un aliéné, d</w:t>
      </w:r>
      <w:r w:rsidR="0070292F" w:rsidRPr="0070292F">
        <w:rPr>
          <w:lang w:val="fr-FR"/>
        </w:rPr>
        <w:t>’</w:t>
      </w:r>
      <w:r w:rsidRPr="0070292F">
        <w:rPr>
          <w:lang w:val="fr-FR"/>
        </w:rPr>
        <w:t>un alcoolique, d</w:t>
      </w:r>
      <w:r w:rsidR="0070292F" w:rsidRPr="0070292F">
        <w:rPr>
          <w:lang w:val="fr-FR"/>
        </w:rPr>
        <w:t>’</w:t>
      </w:r>
      <w:r w:rsidRPr="0070292F">
        <w:rPr>
          <w:lang w:val="fr-FR"/>
        </w:rPr>
        <w:t>un toxicomane ou d</w:t>
      </w:r>
      <w:r w:rsidR="0070292F" w:rsidRPr="0070292F">
        <w:rPr>
          <w:lang w:val="fr-FR"/>
        </w:rPr>
        <w:t>’</w:t>
      </w:r>
      <w:r w:rsidRPr="0070292F">
        <w:rPr>
          <w:lang w:val="fr-FR"/>
        </w:rPr>
        <w:t>un vagabond ;</w:t>
      </w:r>
    </w:p>
    <w:p w:rsidR="002E375E" w:rsidRPr="0070292F" w:rsidRDefault="003A65C0" w:rsidP="0070292F">
      <w:pPr>
        <w:pStyle w:val="ECHRParaQuote"/>
        <w:rPr>
          <w:lang w:val="fr-FR"/>
        </w:rPr>
      </w:pPr>
      <w:r w:rsidRPr="0070292F">
        <w:rPr>
          <w:lang w:val="fr-FR"/>
        </w:rPr>
        <w:t>f)  s</w:t>
      </w:r>
      <w:r w:rsidR="0070292F" w:rsidRPr="0070292F">
        <w:rPr>
          <w:lang w:val="fr-FR"/>
        </w:rPr>
        <w:t>’</w:t>
      </w:r>
      <w:r w:rsidRPr="0070292F">
        <w:rPr>
          <w:lang w:val="fr-FR"/>
        </w:rPr>
        <w:t>il s</w:t>
      </w:r>
      <w:r w:rsidR="0070292F" w:rsidRPr="0070292F">
        <w:rPr>
          <w:lang w:val="fr-FR"/>
        </w:rPr>
        <w:t>’</w:t>
      </w:r>
      <w:r w:rsidRPr="0070292F">
        <w:rPr>
          <w:lang w:val="fr-FR"/>
        </w:rPr>
        <w:t>agit de l</w:t>
      </w:r>
      <w:r w:rsidR="0070292F" w:rsidRPr="0070292F">
        <w:rPr>
          <w:lang w:val="fr-FR"/>
        </w:rPr>
        <w:t>’</w:t>
      </w:r>
      <w:r w:rsidRPr="0070292F">
        <w:rPr>
          <w:lang w:val="fr-FR"/>
        </w:rPr>
        <w:t>arrestation ou de la détention régulières d</w:t>
      </w:r>
      <w:r w:rsidR="0070292F" w:rsidRPr="0070292F">
        <w:rPr>
          <w:lang w:val="fr-FR"/>
        </w:rPr>
        <w:t>’</w:t>
      </w:r>
      <w:r w:rsidRPr="0070292F">
        <w:rPr>
          <w:lang w:val="fr-FR"/>
        </w:rPr>
        <w:t>une personne pour l</w:t>
      </w:r>
      <w:r w:rsidR="0070292F" w:rsidRPr="0070292F">
        <w:rPr>
          <w:lang w:val="fr-FR"/>
        </w:rPr>
        <w:t>’</w:t>
      </w:r>
      <w:r w:rsidRPr="0070292F">
        <w:rPr>
          <w:lang w:val="fr-FR"/>
        </w:rPr>
        <w:t>empêcher de pénétrer irrégulièrement dans le territoire, ou contre laquelle une procédure d</w:t>
      </w:r>
      <w:r w:rsidR="0070292F" w:rsidRPr="0070292F">
        <w:rPr>
          <w:lang w:val="fr-FR"/>
        </w:rPr>
        <w:t>’</w:t>
      </w:r>
      <w:r w:rsidRPr="0070292F">
        <w:rPr>
          <w:lang w:val="fr-FR"/>
        </w:rPr>
        <w:t>expulsion ou d</w:t>
      </w:r>
      <w:r w:rsidR="0070292F" w:rsidRPr="0070292F">
        <w:rPr>
          <w:lang w:val="fr-FR"/>
        </w:rPr>
        <w:t>’</w:t>
      </w:r>
      <w:r w:rsidRPr="0070292F">
        <w:rPr>
          <w:lang w:val="fr-FR"/>
        </w:rPr>
        <w:t>extradition est en cours</w:t>
      </w:r>
      <w:r w:rsidR="005C70CA" w:rsidRPr="0070292F">
        <w:rPr>
          <w:lang w:val="fr-FR"/>
        </w:rPr>
        <w:t>.</w:t>
      </w:r>
      <w:r w:rsidR="0070292F" w:rsidRPr="0070292F">
        <w:rPr>
          <w:lang w:val="fr-FR"/>
        </w:rPr>
        <w:t> </w:t>
      </w:r>
      <w:r w:rsidR="004402ED" w:rsidRPr="0070292F">
        <w:rPr>
          <w:rFonts w:eastAsiaTheme="minorHAnsi"/>
          <w:lang w:val="fr-FR"/>
        </w:rPr>
        <w:t>»</w:t>
      </w:r>
    </w:p>
    <w:p w:rsidR="002E375E" w:rsidRPr="0070292F" w:rsidRDefault="000330B7" w:rsidP="0070292F">
      <w:pPr>
        <w:pStyle w:val="ECHRPara"/>
        <w:rPr>
          <w:lang w:val="fr-FR"/>
        </w:rPr>
      </w:pPr>
      <w:r w:rsidRPr="0070292F">
        <w:rPr>
          <w:lang w:val="fr-FR"/>
        </w:rPr>
        <w:t>L</w:t>
      </w:r>
      <w:r w:rsidR="0070292F" w:rsidRPr="0070292F">
        <w:rPr>
          <w:lang w:val="fr-FR"/>
        </w:rPr>
        <w:t>’</w:t>
      </w:r>
      <w:r w:rsidR="002E375E" w:rsidRPr="0070292F">
        <w:rPr>
          <w:lang w:val="fr-FR"/>
        </w:rPr>
        <w:t xml:space="preserve">article 2 du Protocole </w:t>
      </w:r>
      <w:r w:rsidR="006603B9" w:rsidRPr="0070292F">
        <w:rPr>
          <w:lang w:val="fr-FR"/>
        </w:rPr>
        <w:t>n</w:t>
      </w:r>
      <w:r w:rsidR="006603B9" w:rsidRPr="0070292F">
        <w:rPr>
          <w:vertAlign w:val="superscript"/>
          <w:lang w:val="fr-FR"/>
        </w:rPr>
        <w:t>o</w:t>
      </w:r>
      <w:r w:rsidR="006603B9" w:rsidRPr="0070292F">
        <w:rPr>
          <w:lang w:val="fr-FR"/>
        </w:rPr>
        <w:t xml:space="preserve"> </w:t>
      </w:r>
      <w:r w:rsidR="002E375E" w:rsidRPr="0070292F">
        <w:rPr>
          <w:lang w:val="fr-FR"/>
        </w:rPr>
        <w:t>4</w:t>
      </w:r>
      <w:r w:rsidRPr="0070292F">
        <w:rPr>
          <w:lang w:val="fr-FR"/>
        </w:rPr>
        <w:t xml:space="preserve"> dispose</w:t>
      </w:r>
      <w:r w:rsidR="00B936E5" w:rsidRPr="0070292F">
        <w:rPr>
          <w:lang w:val="fr-FR"/>
        </w:rPr>
        <w:t> :</w:t>
      </w:r>
    </w:p>
    <w:p w:rsidR="002E375E" w:rsidRPr="0070292F" w:rsidRDefault="002E375E" w:rsidP="0070292F">
      <w:pPr>
        <w:pStyle w:val="ECHRParaQuote"/>
        <w:rPr>
          <w:rFonts w:eastAsiaTheme="minorHAnsi"/>
          <w:lang w:val="fr-FR"/>
        </w:rPr>
      </w:pPr>
      <w:r w:rsidRPr="0070292F">
        <w:rPr>
          <w:rFonts w:eastAsiaTheme="minorHAnsi"/>
          <w:lang w:val="fr-FR"/>
        </w:rPr>
        <w:t>« 1.  Quiconque se trouve régulièrement sur le territoire d</w:t>
      </w:r>
      <w:r w:rsidR="0070292F" w:rsidRPr="0070292F">
        <w:rPr>
          <w:rFonts w:eastAsiaTheme="minorHAnsi"/>
          <w:lang w:val="fr-FR"/>
        </w:rPr>
        <w:t>’</w:t>
      </w:r>
      <w:r w:rsidRPr="0070292F">
        <w:rPr>
          <w:rFonts w:eastAsiaTheme="minorHAnsi"/>
          <w:lang w:val="fr-FR"/>
        </w:rPr>
        <w:t xml:space="preserve">un </w:t>
      </w:r>
      <w:r w:rsidR="004402ED" w:rsidRPr="0070292F">
        <w:rPr>
          <w:rFonts w:eastAsiaTheme="minorHAnsi" w:cstheme="minorHAnsi"/>
          <w:lang w:val="fr-FR"/>
        </w:rPr>
        <w:t>É</w:t>
      </w:r>
      <w:r w:rsidRPr="0070292F">
        <w:rPr>
          <w:rFonts w:eastAsiaTheme="minorHAnsi"/>
          <w:lang w:val="fr-FR"/>
        </w:rPr>
        <w:t>tat a le droit d</w:t>
      </w:r>
      <w:r w:rsidR="0070292F" w:rsidRPr="0070292F">
        <w:rPr>
          <w:rFonts w:eastAsiaTheme="minorHAnsi"/>
          <w:lang w:val="fr-FR"/>
        </w:rPr>
        <w:t>’</w:t>
      </w:r>
      <w:r w:rsidRPr="0070292F">
        <w:rPr>
          <w:rFonts w:eastAsiaTheme="minorHAnsi"/>
          <w:lang w:val="fr-FR"/>
        </w:rPr>
        <w:t>y circuler librement et d</w:t>
      </w:r>
      <w:r w:rsidR="0070292F" w:rsidRPr="0070292F">
        <w:rPr>
          <w:rFonts w:eastAsiaTheme="minorHAnsi"/>
          <w:lang w:val="fr-FR"/>
        </w:rPr>
        <w:t>’</w:t>
      </w:r>
      <w:r w:rsidRPr="0070292F">
        <w:rPr>
          <w:rFonts w:eastAsiaTheme="minorHAnsi"/>
          <w:lang w:val="fr-FR"/>
        </w:rPr>
        <w:t>y choisir librement sa résidence.</w:t>
      </w:r>
    </w:p>
    <w:p w:rsidR="002E375E" w:rsidRPr="0070292F" w:rsidRDefault="002E375E" w:rsidP="0070292F">
      <w:pPr>
        <w:pStyle w:val="ECHRParaQuote"/>
        <w:rPr>
          <w:rFonts w:eastAsiaTheme="minorHAnsi"/>
          <w:lang w:val="fr-FR"/>
        </w:rPr>
      </w:pPr>
      <w:r w:rsidRPr="0070292F">
        <w:rPr>
          <w:rFonts w:eastAsiaTheme="minorHAnsi"/>
          <w:lang w:val="fr-FR"/>
        </w:rPr>
        <w:t>2.  Toute personne est libre de quitter n</w:t>
      </w:r>
      <w:r w:rsidR="0070292F" w:rsidRPr="0070292F">
        <w:rPr>
          <w:rFonts w:eastAsiaTheme="minorHAnsi"/>
          <w:lang w:val="fr-FR"/>
        </w:rPr>
        <w:t>’</w:t>
      </w:r>
      <w:r w:rsidRPr="0070292F">
        <w:rPr>
          <w:rFonts w:eastAsiaTheme="minorHAnsi"/>
          <w:lang w:val="fr-FR"/>
        </w:rPr>
        <w:t>importe quel pays, y compris le sien.</w:t>
      </w:r>
    </w:p>
    <w:p w:rsidR="002E375E" w:rsidRPr="0070292F" w:rsidRDefault="002E375E" w:rsidP="0070292F">
      <w:pPr>
        <w:pStyle w:val="ECHRParaQuote"/>
        <w:rPr>
          <w:rFonts w:eastAsiaTheme="minorHAnsi"/>
          <w:lang w:val="fr-FR"/>
        </w:rPr>
      </w:pPr>
      <w:r w:rsidRPr="0070292F">
        <w:rPr>
          <w:rFonts w:eastAsiaTheme="minorHAnsi"/>
          <w:lang w:val="fr-FR"/>
        </w:rPr>
        <w:lastRenderedPageBreak/>
        <w:t>3.  L</w:t>
      </w:r>
      <w:r w:rsidR="0070292F" w:rsidRPr="0070292F">
        <w:rPr>
          <w:rFonts w:eastAsiaTheme="minorHAnsi"/>
          <w:lang w:val="fr-FR"/>
        </w:rPr>
        <w:t>’</w:t>
      </w:r>
      <w:r w:rsidRPr="0070292F">
        <w:rPr>
          <w:rFonts w:eastAsiaTheme="minorHAnsi"/>
          <w:lang w:val="fr-FR"/>
        </w:rPr>
        <w:t>exercice de ces droits ne peut faire l</w:t>
      </w:r>
      <w:r w:rsidR="0070292F" w:rsidRPr="0070292F">
        <w:rPr>
          <w:rFonts w:eastAsiaTheme="minorHAnsi"/>
          <w:lang w:val="fr-FR"/>
        </w:rPr>
        <w:t>’</w:t>
      </w:r>
      <w:r w:rsidRPr="0070292F">
        <w:rPr>
          <w:rFonts w:eastAsiaTheme="minorHAnsi"/>
          <w:lang w:val="fr-FR"/>
        </w:rPr>
        <w:t>objet d</w:t>
      </w:r>
      <w:r w:rsidR="0070292F" w:rsidRPr="0070292F">
        <w:rPr>
          <w:rFonts w:eastAsiaTheme="minorHAnsi"/>
          <w:lang w:val="fr-FR"/>
        </w:rPr>
        <w:t>’</w:t>
      </w:r>
      <w:r w:rsidRPr="0070292F">
        <w:rPr>
          <w:rFonts w:eastAsiaTheme="minorHAnsi"/>
          <w:lang w:val="fr-FR"/>
        </w:rPr>
        <w:t>autres restrictions que celles qui, prévues par la loi, constituent des mesures nécessaires, dans une société démocratique, à la sécurité nationale, à la sûreté publique, au maintien de l</w:t>
      </w:r>
      <w:r w:rsidR="0070292F" w:rsidRPr="0070292F">
        <w:rPr>
          <w:rFonts w:eastAsiaTheme="minorHAnsi"/>
          <w:lang w:val="fr-FR"/>
        </w:rPr>
        <w:t>’</w:t>
      </w:r>
      <w:r w:rsidRPr="0070292F">
        <w:rPr>
          <w:rFonts w:eastAsiaTheme="minorHAnsi"/>
          <w:lang w:val="fr-FR"/>
        </w:rPr>
        <w:t>ordre public, à la prévention des infractions pénales, à la protection de la santé ou de la morale, ou à la protection des droits et libertés d</w:t>
      </w:r>
      <w:r w:rsidR="0070292F" w:rsidRPr="0070292F">
        <w:rPr>
          <w:rFonts w:eastAsiaTheme="minorHAnsi"/>
          <w:lang w:val="fr-FR"/>
        </w:rPr>
        <w:t>’</w:t>
      </w:r>
      <w:r w:rsidRPr="0070292F">
        <w:rPr>
          <w:rFonts w:eastAsiaTheme="minorHAnsi"/>
          <w:lang w:val="fr-FR"/>
        </w:rPr>
        <w:t>autrui.</w:t>
      </w:r>
    </w:p>
    <w:p w:rsidR="002E375E" w:rsidRPr="0070292F" w:rsidRDefault="002E375E" w:rsidP="0070292F">
      <w:pPr>
        <w:pStyle w:val="ECHRParaQuote"/>
        <w:rPr>
          <w:rFonts w:eastAsiaTheme="minorHAnsi"/>
          <w:lang w:val="fr-FR"/>
        </w:rPr>
      </w:pPr>
      <w:r w:rsidRPr="0070292F">
        <w:rPr>
          <w:rFonts w:eastAsiaTheme="minorHAnsi"/>
          <w:lang w:val="fr-FR"/>
        </w:rPr>
        <w:t>4.  Les droits reconnus au paragraphe 1 peuvent également, dans certaines zones déterminées, faire l</w:t>
      </w:r>
      <w:r w:rsidR="0070292F" w:rsidRPr="0070292F">
        <w:rPr>
          <w:rFonts w:eastAsiaTheme="minorHAnsi"/>
          <w:lang w:val="fr-FR"/>
        </w:rPr>
        <w:t>’</w:t>
      </w:r>
      <w:r w:rsidRPr="0070292F">
        <w:rPr>
          <w:rFonts w:eastAsiaTheme="minorHAnsi"/>
          <w:lang w:val="fr-FR"/>
        </w:rPr>
        <w:t>objet de restrictions qui, prévues par la loi, sont justifiées par l</w:t>
      </w:r>
      <w:r w:rsidR="0070292F" w:rsidRPr="0070292F">
        <w:rPr>
          <w:rFonts w:eastAsiaTheme="minorHAnsi"/>
          <w:lang w:val="fr-FR"/>
        </w:rPr>
        <w:t>’</w:t>
      </w:r>
      <w:r w:rsidRPr="0070292F">
        <w:rPr>
          <w:rFonts w:eastAsiaTheme="minorHAnsi"/>
          <w:lang w:val="fr-FR"/>
        </w:rPr>
        <w:t>intérêt public dans une société démocratique. </w:t>
      </w:r>
      <w:r w:rsidR="004402ED" w:rsidRPr="0070292F">
        <w:rPr>
          <w:rFonts w:eastAsiaTheme="minorHAnsi"/>
          <w:lang w:val="fr-FR"/>
        </w:rPr>
        <w:t>»</w:t>
      </w:r>
    </w:p>
    <w:p w:rsidR="00DF40AF" w:rsidRPr="0070292F" w:rsidRDefault="00141ED6" w:rsidP="0070292F">
      <w:pPr>
        <w:pStyle w:val="ECHRPara"/>
        <w:rPr>
          <w:rFonts w:ascii="Times New Roman" w:eastAsia="Times New Roman" w:hAnsi="Times New Roman" w:cs="Times New Roman"/>
          <w:szCs w:val="24"/>
          <w:lang w:val="fr-FR" w:eastAsia="en-GB"/>
        </w:rPr>
      </w:pPr>
      <w:r w:rsidRPr="0070292F">
        <w:rPr>
          <w:rFonts w:ascii="Times New Roman" w:eastAsia="Times New Roman" w:hAnsi="Times New Roman" w:cs="Times New Roman"/>
          <w:szCs w:val="24"/>
          <w:lang w:val="fr-FR" w:eastAsia="en-GB"/>
        </w:rPr>
        <w:fldChar w:fldCharType="begin"/>
      </w:r>
      <w:r w:rsidRPr="0070292F">
        <w:rPr>
          <w:rFonts w:ascii="Times New Roman" w:eastAsia="Times New Roman" w:hAnsi="Times New Roman" w:cs="Times New Roman"/>
          <w:szCs w:val="24"/>
          <w:lang w:val="fr-FR" w:eastAsia="en-GB"/>
        </w:rPr>
        <w:instrText xml:space="preserve"> SEQ level0 \*arabic </w:instrText>
      </w:r>
      <w:r w:rsidRPr="0070292F">
        <w:rPr>
          <w:rFonts w:ascii="Times New Roman" w:eastAsia="Times New Roman" w:hAnsi="Times New Roman" w:cs="Times New Roman"/>
          <w:szCs w:val="24"/>
          <w:lang w:val="fr-FR" w:eastAsia="en-GB"/>
        </w:rPr>
        <w:fldChar w:fldCharType="separate"/>
      </w:r>
      <w:r w:rsidR="0070292F" w:rsidRPr="0070292F">
        <w:rPr>
          <w:rFonts w:ascii="Times New Roman" w:eastAsia="Times New Roman" w:hAnsi="Times New Roman" w:cs="Times New Roman"/>
          <w:noProof/>
          <w:szCs w:val="24"/>
          <w:lang w:val="fr-FR" w:eastAsia="en-GB"/>
        </w:rPr>
        <w:t>75</w:t>
      </w:r>
      <w:r w:rsidRPr="0070292F">
        <w:rPr>
          <w:rFonts w:ascii="Times New Roman" w:eastAsia="Times New Roman" w:hAnsi="Times New Roman" w:cs="Times New Roman"/>
          <w:szCs w:val="24"/>
          <w:lang w:val="fr-FR" w:eastAsia="en-GB"/>
        </w:rPr>
        <w:fldChar w:fldCharType="end"/>
      </w:r>
      <w:r w:rsidRPr="0070292F">
        <w:rPr>
          <w:rFonts w:ascii="Times New Roman" w:eastAsia="Times New Roman" w:hAnsi="Times New Roman" w:cs="Times New Roman"/>
          <w:szCs w:val="24"/>
          <w:lang w:val="fr-FR" w:eastAsia="en-GB"/>
        </w:rPr>
        <w:t>.  </w:t>
      </w:r>
      <w:r w:rsidR="00DF40AF" w:rsidRPr="0070292F">
        <w:rPr>
          <w:rFonts w:ascii="Times New Roman" w:eastAsia="Times New Roman" w:hAnsi="Times New Roman" w:cs="Times New Roman"/>
          <w:szCs w:val="24"/>
          <w:lang w:val="fr-FR" w:eastAsia="en-GB"/>
        </w:rPr>
        <w:t>Le Gouvernement s</w:t>
      </w:r>
      <w:r w:rsidR="0070292F" w:rsidRPr="0070292F">
        <w:rPr>
          <w:rFonts w:ascii="Times New Roman" w:eastAsia="Times New Roman" w:hAnsi="Times New Roman" w:cs="Times New Roman"/>
          <w:szCs w:val="24"/>
          <w:lang w:val="fr-FR" w:eastAsia="en-GB"/>
        </w:rPr>
        <w:t>’</w:t>
      </w:r>
      <w:r w:rsidR="00DF40AF" w:rsidRPr="0070292F">
        <w:rPr>
          <w:rFonts w:ascii="Times New Roman" w:eastAsia="Times New Roman" w:hAnsi="Times New Roman" w:cs="Times New Roman"/>
          <w:szCs w:val="24"/>
          <w:lang w:val="fr-FR" w:eastAsia="en-GB"/>
        </w:rPr>
        <w:t>oppose à cette thèse.</w:t>
      </w:r>
    </w:p>
    <w:p w:rsidR="0070292F" w:rsidRPr="0070292F" w:rsidRDefault="002E375E" w:rsidP="0070292F">
      <w:pPr>
        <w:pStyle w:val="ECHRHeading2"/>
        <w:rPr>
          <w:rFonts w:eastAsiaTheme="minorHAnsi"/>
          <w:lang w:val="fr-FR"/>
        </w:rPr>
      </w:pPr>
      <w:bookmarkStart w:id="29" w:name="_Toc475451846"/>
      <w:r w:rsidRPr="0070292F">
        <w:rPr>
          <w:rFonts w:eastAsiaTheme="minorHAnsi"/>
          <w:lang w:val="fr-FR"/>
        </w:rPr>
        <w:t>A.  Sur la recevabilité</w:t>
      </w:r>
      <w:bookmarkEnd w:id="29"/>
    </w:p>
    <w:p w:rsidR="0070292F" w:rsidRPr="0070292F" w:rsidRDefault="00DF40AF" w:rsidP="0070292F">
      <w:pPr>
        <w:pStyle w:val="ECHRHeading3"/>
        <w:rPr>
          <w:rFonts w:eastAsia="Times New Roman"/>
          <w:lang w:val="fr-FR" w:eastAsia="en-GB"/>
        </w:rPr>
      </w:pPr>
      <w:bookmarkStart w:id="30" w:name="_Toc475451847"/>
      <w:r w:rsidRPr="0070292F">
        <w:rPr>
          <w:rFonts w:eastAsia="Times New Roman"/>
          <w:lang w:val="fr-FR" w:eastAsia="en-GB"/>
        </w:rPr>
        <w:t>1.  Thèses des parties</w:t>
      </w:r>
      <w:bookmarkEnd w:id="30"/>
    </w:p>
    <w:p w:rsidR="00B936E5" w:rsidRPr="0070292F" w:rsidRDefault="000635DA" w:rsidP="0070292F">
      <w:pPr>
        <w:pStyle w:val="ECHRHeading4"/>
        <w:rPr>
          <w:lang w:val="fr-FR"/>
        </w:rPr>
      </w:pPr>
      <w:r w:rsidRPr="0070292F">
        <w:rPr>
          <w:lang w:val="fr-FR"/>
        </w:rPr>
        <w:t>a)  </w:t>
      </w:r>
      <w:r w:rsidR="00B936E5" w:rsidRPr="0070292F">
        <w:rPr>
          <w:lang w:val="fr-FR"/>
        </w:rPr>
        <w:t>Le Gouvernement</w:t>
      </w:r>
    </w:p>
    <w:p w:rsidR="00DA4961" w:rsidRPr="0070292F" w:rsidRDefault="00DA4961" w:rsidP="0070292F">
      <w:pPr>
        <w:pStyle w:val="ECHRPara"/>
        <w:rPr>
          <w:i/>
          <w:lang w:val="fr-FR" w:eastAsia="en-GB"/>
        </w:rPr>
      </w:pPr>
      <w:r w:rsidRPr="0070292F">
        <w:rPr>
          <w:lang w:val="fr-FR" w:eastAsia="en-GB"/>
        </w:rPr>
        <w:fldChar w:fldCharType="begin"/>
      </w:r>
      <w:r w:rsidRPr="0070292F">
        <w:rPr>
          <w:lang w:val="fr-FR" w:eastAsia="en-GB"/>
        </w:rPr>
        <w:instrText xml:space="preserve"> SEQ level0 \*arabic </w:instrText>
      </w:r>
      <w:r w:rsidRPr="0070292F">
        <w:rPr>
          <w:lang w:val="fr-FR" w:eastAsia="en-GB"/>
        </w:rPr>
        <w:fldChar w:fldCharType="separate"/>
      </w:r>
      <w:r w:rsidR="0070292F" w:rsidRPr="0070292F">
        <w:rPr>
          <w:noProof/>
          <w:lang w:val="fr-FR" w:eastAsia="en-GB"/>
        </w:rPr>
        <w:t>76</w:t>
      </w:r>
      <w:r w:rsidRPr="0070292F">
        <w:rPr>
          <w:lang w:val="fr-FR" w:eastAsia="en-GB"/>
        </w:rPr>
        <w:fldChar w:fldCharType="end"/>
      </w:r>
      <w:r w:rsidRPr="0070292F">
        <w:rPr>
          <w:lang w:val="fr-FR" w:eastAsia="en-GB"/>
        </w:rPr>
        <w:t>.  Le Gouvernement soutient que l</w:t>
      </w:r>
      <w:r w:rsidR="0070292F" w:rsidRPr="0070292F">
        <w:rPr>
          <w:lang w:val="fr-FR" w:eastAsia="en-GB"/>
        </w:rPr>
        <w:t>’</w:t>
      </w:r>
      <w:r w:rsidRPr="0070292F">
        <w:rPr>
          <w:lang w:val="fr-FR" w:eastAsia="en-GB"/>
        </w:rPr>
        <w:t>article 5 de la Convention n</w:t>
      </w:r>
      <w:r w:rsidR="0070292F" w:rsidRPr="0070292F">
        <w:rPr>
          <w:lang w:val="fr-FR" w:eastAsia="en-GB"/>
        </w:rPr>
        <w:t>’</w:t>
      </w:r>
      <w:r w:rsidRPr="0070292F">
        <w:rPr>
          <w:lang w:val="fr-FR" w:eastAsia="en-GB"/>
        </w:rPr>
        <w:t>est pas applicable dans le cas d</w:t>
      </w:r>
      <w:r w:rsidR="0070292F" w:rsidRPr="0070292F">
        <w:rPr>
          <w:lang w:val="fr-FR" w:eastAsia="en-GB"/>
        </w:rPr>
        <w:t>’</w:t>
      </w:r>
      <w:r w:rsidRPr="0070292F">
        <w:rPr>
          <w:lang w:val="fr-FR" w:eastAsia="en-GB"/>
        </w:rPr>
        <w:t xml:space="preserve">espèce. </w:t>
      </w:r>
      <w:r w:rsidR="004402ED" w:rsidRPr="0070292F">
        <w:rPr>
          <w:rFonts w:cstheme="minorHAnsi"/>
          <w:lang w:val="fr-FR" w:eastAsia="en-GB"/>
        </w:rPr>
        <w:t>À</w:t>
      </w:r>
      <w:r w:rsidRPr="0070292F">
        <w:rPr>
          <w:lang w:val="fr-FR" w:eastAsia="en-GB"/>
        </w:rPr>
        <w:t xml:space="preserve"> cet égard, il rappelle que, </w:t>
      </w:r>
      <w:r w:rsidR="004402ED" w:rsidRPr="0070292F">
        <w:rPr>
          <w:lang w:val="fr-FR" w:eastAsia="en-GB"/>
        </w:rPr>
        <w:t>selon</w:t>
      </w:r>
      <w:r w:rsidRPr="0070292F">
        <w:rPr>
          <w:lang w:val="fr-FR" w:eastAsia="en-GB"/>
        </w:rPr>
        <w:t xml:space="preserve"> la jurisprudence constante de la Cour (</w:t>
      </w:r>
      <w:r w:rsidRPr="0070292F">
        <w:rPr>
          <w:i/>
          <w:lang w:val="fr-FR" w:eastAsia="en-GB"/>
        </w:rPr>
        <w:t>Raimondo c. Italie</w:t>
      </w:r>
      <w:r w:rsidRPr="0070292F">
        <w:rPr>
          <w:lang w:val="fr-FR" w:eastAsia="en-GB"/>
        </w:rPr>
        <w:t>, 22 février 1994, §</w:t>
      </w:r>
      <w:r w:rsidR="000330B7" w:rsidRPr="0070292F">
        <w:rPr>
          <w:lang w:val="fr-FR" w:eastAsia="en-GB"/>
        </w:rPr>
        <w:t> </w:t>
      </w:r>
      <w:r w:rsidRPr="0070292F">
        <w:rPr>
          <w:lang w:val="fr-FR" w:eastAsia="en-GB"/>
        </w:rPr>
        <w:t>39, série A n</w:t>
      </w:r>
      <w:r w:rsidR="008C1E94" w:rsidRPr="0070292F">
        <w:rPr>
          <w:vertAlign w:val="superscript"/>
          <w:lang w:val="fr-FR" w:eastAsia="en-GB"/>
        </w:rPr>
        <w:t>o</w:t>
      </w:r>
      <w:r w:rsidRPr="0070292F">
        <w:rPr>
          <w:lang w:val="fr-FR" w:eastAsia="en-GB"/>
        </w:rPr>
        <w:t> 281</w:t>
      </w:r>
      <w:r w:rsidRPr="0070292F">
        <w:rPr>
          <w:lang w:val="fr-FR" w:eastAsia="en-GB"/>
        </w:rPr>
        <w:noBreakHyphen/>
        <w:t xml:space="preserve">A, </w:t>
      </w:r>
      <w:r w:rsidRPr="0070292F">
        <w:rPr>
          <w:i/>
          <w:lang w:val="fr-FR" w:eastAsia="en-GB"/>
        </w:rPr>
        <w:t>Villa c. Italie</w:t>
      </w:r>
      <w:r w:rsidRPr="0070292F">
        <w:rPr>
          <w:lang w:val="fr-FR" w:eastAsia="en-GB"/>
        </w:rPr>
        <w:t>, n</w:t>
      </w:r>
      <w:r w:rsidR="008C1E94" w:rsidRPr="0070292F">
        <w:rPr>
          <w:vertAlign w:val="superscript"/>
          <w:lang w:val="fr-FR" w:eastAsia="en-GB"/>
        </w:rPr>
        <w:t>o</w:t>
      </w:r>
      <w:r w:rsidRPr="0070292F">
        <w:rPr>
          <w:lang w:val="fr-FR" w:eastAsia="en-GB"/>
        </w:rPr>
        <w:t xml:space="preserve"> 19675/06, §§ 41-43, 20 avril 2010</w:t>
      </w:r>
      <w:r w:rsidR="004402ED" w:rsidRPr="0070292F">
        <w:rPr>
          <w:lang w:val="fr-FR" w:eastAsia="en-GB"/>
        </w:rPr>
        <w:t xml:space="preserve">, et </w:t>
      </w:r>
      <w:r w:rsidRPr="0070292F">
        <w:rPr>
          <w:i/>
          <w:iCs/>
          <w:lang w:val="fr-FR" w:eastAsia="en-GB"/>
        </w:rPr>
        <w:t>Monno c. Italie</w:t>
      </w:r>
      <w:r w:rsidRPr="0070292F">
        <w:rPr>
          <w:iCs/>
          <w:vanish/>
          <w:lang w:val="fr-FR" w:eastAsia="en-GB"/>
        </w:rPr>
        <w:t>,</w:t>
      </w:r>
      <w:r w:rsidRPr="0070292F">
        <w:rPr>
          <w:iCs/>
          <w:lang w:val="fr-FR" w:eastAsia="en-GB"/>
        </w:rPr>
        <w:t xml:space="preserve"> (déc.),</w:t>
      </w:r>
      <w:r w:rsidRPr="0070292F">
        <w:rPr>
          <w:i/>
          <w:iCs/>
          <w:lang w:val="fr-FR" w:eastAsia="en-GB"/>
        </w:rPr>
        <w:t xml:space="preserve"> </w:t>
      </w:r>
      <w:r w:rsidRPr="0070292F">
        <w:rPr>
          <w:iCs/>
          <w:lang w:val="fr-FR" w:eastAsia="en-GB"/>
        </w:rPr>
        <w:t>n</w:t>
      </w:r>
      <w:r w:rsidR="008C1E94" w:rsidRPr="0070292F">
        <w:rPr>
          <w:iCs/>
          <w:vertAlign w:val="superscript"/>
          <w:lang w:val="fr-FR" w:eastAsia="en-GB"/>
        </w:rPr>
        <w:t>o</w:t>
      </w:r>
      <w:r w:rsidRPr="0070292F">
        <w:rPr>
          <w:lang w:val="fr-FR" w:eastAsia="en-GB"/>
        </w:rPr>
        <w:t> </w:t>
      </w:r>
      <w:r w:rsidRPr="0070292F">
        <w:rPr>
          <w:iCs/>
          <w:lang w:val="fr-FR" w:eastAsia="en-GB"/>
        </w:rPr>
        <w:t>18675/09, §§ 21-23, 8 octobre 2013</w:t>
      </w:r>
      <w:r w:rsidRPr="0070292F">
        <w:rPr>
          <w:lang w:val="fr-FR" w:eastAsia="en-GB"/>
        </w:rPr>
        <w:t>), les obligations découlant des mesures de prévention n</w:t>
      </w:r>
      <w:r w:rsidR="0070292F" w:rsidRPr="0070292F">
        <w:rPr>
          <w:lang w:val="fr-FR" w:eastAsia="en-GB"/>
        </w:rPr>
        <w:t>’</w:t>
      </w:r>
      <w:r w:rsidRPr="0070292F">
        <w:rPr>
          <w:lang w:val="fr-FR" w:eastAsia="en-GB"/>
        </w:rPr>
        <w:t>entraînent pas une privation de liberté au sens de l</w:t>
      </w:r>
      <w:r w:rsidR="0070292F" w:rsidRPr="0070292F">
        <w:rPr>
          <w:lang w:val="fr-FR" w:eastAsia="en-GB"/>
        </w:rPr>
        <w:t>’</w:t>
      </w:r>
      <w:r w:rsidRPr="0070292F">
        <w:rPr>
          <w:lang w:val="fr-FR" w:eastAsia="en-GB"/>
        </w:rPr>
        <w:t xml:space="preserve">article 5 de la Convention, mais de simples restrictions à la liberté de circulation. Le grief serait donc incompatible </w:t>
      </w:r>
      <w:r w:rsidRPr="0070292F">
        <w:rPr>
          <w:i/>
          <w:lang w:val="fr-FR" w:eastAsia="en-GB"/>
        </w:rPr>
        <w:t xml:space="preserve">ratione </w:t>
      </w:r>
      <w:r w:rsidR="007E14EE" w:rsidRPr="0070292F">
        <w:rPr>
          <w:i/>
          <w:lang w:val="fr-FR" w:eastAsia="en-GB"/>
        </w:rPr>
        <w:t xml:space="preserve">materiae </w:t>
      </w:r>
      <w:r w:rsidRPr="0070292F">
        <w:rPr>
          <w:lang w:val="fr-FR" w:eastAsia="en-GB"/>
        </w:rPr>
        <w:t>avec la Convention.</w:t>
      </w:r>
    </w:p>
    <w:p w:rsidR="00B936E5" w:rsidRPr="0070292F" w:rsidRDefault="00C32834" w:rsidP="0070292F">
      <w:pPr>
        <w:pStyle w:val="ECHRHeading4"/>
        <w:rPr>
          <w:lang w:val="fr-FR"/>
        </w:rPr>
      </w:pPr>
      <w:r w:rsidRPr="0070292F">
        <w:rPr>
          <w:lang w:val="fr-FR"/>
        </w:rPr>
        <w:t>b)  </w:t>
      </w:r>
      <w:r w:rsidR="00B936E5" w:rsidRPr="0070292F">
        <w:rPr>
          <w:lang w:val="fr-FR"/>
        </w:rPr>
        <w:t>Le requérant</w:t>
      </w:r>
    </w:p>
    <w:p w:rsidR="0070292F" w:rsidRPr="0070292F" w:rsidRDefault="00DA4961" w:rsidP="0070292F">
      <w:pPr>
        <w:pStyle w:val="ECHRPara"/>
        <w:rPr>
          <w:rFonts w:eastAsiaTheme="minorHAnsi"/>
          <w:lang w:val="fr-CH"/>
        </w:rPr>
      </w:pPr>
      <w:r w:rsidRPr="0070292F">
        <w:rPr>
          <w:rFonts w:eastAsiaTheme="minorHAnsi"/>
          <w:lang w:val="fr-FR"/>
        </w:rPr>
        <w:fldChar w:fldCharType="begin"/>
      </w:r>
      <w:r w:rsidRPr="0070292F">
        <w:rPr>
          <w:rFonts w:eastAsiaTheme="minorHAnsi"/>
          <w:lang w:val="fr-FR"/>
        </w:rPr>
        <w:instrText xml:space="preserve"> SEQ level0 \*arabic </w:instrText>
      </w:r>
      <w:r w:rsidRPr="0070292F">
        <w:rPr>
          <w:rFonts w:eastAsiaTheme="minorHAnsi"/>
          <w:lang w:val="fr-FR"/>
        </w:rPr>
        <w:fldChar w:fldCharType="separate"/>
      </w:r>
      <w:r w:rsidR="0070292F" w:rsidRPr="0070292F">
        <w:rPr>
          <w:rFonts w:eastAsiaTheme="minorHAnsi"/>
          <w:noProof/>
          <w:lang w:val="fr-FR"/>
        </w:rPr>
        <w:t>77</w:t>
      </w:r>
      <w:r w:rsidRPr="0070292F">
        <w:rPr>
          <w:rFonts w:eastAsiaTheme="minorHAnsi"/>
          <w:lang w:val="fr-FR"/>
        </w:rPr>
        <w:fldChar w:fldCharType="end"/>
      </w:r>
      <w:r w:rsidRPr="0070292F">
        <w:rPr>
          <w:rFonts w:eastAsiaTheme="minorHAnsi"/>
          <w:lang w:val="fr-FR"/>
        </w:rPr>
        <w:t xml:space="preserve">.  Le requérant soutient que la surveillance spéciale </w:t>
      </w:r>
      <w:r w:rsidR="00917B3D" w:rsidRPr="0070292F">
        <w:rPr>
          <w:rFonts w:eastAsiaTheme="minorHAnsi"/>
          <w:lang w:val="fr-FR"/>
        </w:rPr>
        <w:t xml:space="preserve">de </w:t>
      </w:r>
      <w:r w:rsidRPr="0070292F">
        <w:rPr>
          <w:rFonts w:eastAsiaTheme="minorHAnsi"/>
          <w:lang w:val="fr-FR"/>
        </w:rPr>
        <w:t>la police relève de l</w:t>
      </w:r>
      <w:r w:rsidR="0070292F" w:rsidRPr="0070292F">
        <w:rPr>
          <w:rFonts w:eastAsiaTheme="minorHAnsi"/>
          <w:lang w:val="fr-FR"/>
        </w:rPr>
        <w:t>’</w:t>
      </w:r>
      <w:r w:rsidRPr="0070292F">
        <w:rPr>
          <w:rFonts w:eastAsiaTheme="minorHAnsi"/>
          <w:lang w:val="fr-FR"/>
        </w:rPr>
        <w:t>article</w:t>
      </w:r>
      <w:r w:rsidR="00917B3D" w:rsidRPr="0070292F">
        <w:rPr>
          <w:rFonts w:eastAsiaTheme="minorHAnsi"/>
          <w:lang w:val="fr-FR"/>
        </w:rPr>
        <w:t xml:space="preserve"> </w:t>
      </w:r>
      <w:r w:rsidRPr="0070292F">
        <w:rPr>
          <w:rFonts w:eastAsiaTheme="minorHAnsi"/>
          <w:lang w:val="fr-FR"/>
        </w:rPr>
        <w:t>5 de la Convention et précise que l</w:t>
      </w:r>
      <w:r w:rsidR="0070292F" w:rsidRPr="0070292F">
        <w:rPr>
          <w:rFonts w:eastAsiaTheme="minorHAnsi"/>
          <w:lang w:val="fr-FR"/>
        </w:rPr>
        <w:t>’</w:t>
      </w:r>
      <w:r w:rsidRPr="0070292F">
        <w:rPr>
          <w:rFonts w:eastAsiaTheme="minorHAnsi"/>
          <w:lang w:val="fr-FR"/>
        </w:rPr>
        <w:t xml:space="preserve">inobservation des règles de conduite </w:t>
      </w:r>
      <w:r w:rsidR="004402ED" w:rsidRPr="0070292F">
        <w:rPr>
          <w:rFonts w:eastAsiaTheme="minorHAnsi"/>
          <w:lang w:val="fr-FR"/>
        </w:rPr>
        <w:t>dont elle est assortie</w:t>
      </w:r>
      <w:r w:rsidRPr="0070292F">
        <w:rPr>
          <w:rFonts w:eastAsiaTheme="minorHAnsi"/>
          <w:lang w:val="fr-FR"/>
        </w:rPr>
        <w:t xml:space="preserve"> est sanctionnée par une peine privative de liberté (article 9 de la loi de 1956). Il estime que les restrictions qu</w:t>
      </w:r>
      <w:r w:rsidR="0070292F" w:rsidRPr="0070292F">
        <w:rPr>
          <w:rFonts w:eastAsiaTheme="minorHAnsi"/>
          <w:lang w:val="fr-FR"/>
        </w:rPr>
        <w:t>’</w:t>
      </w:r>
      <w:r w:rsidRPr="0070292F">
        <w:rPr>
          <w:rFonts w:eastAsiaTheme="minorHAnsi"/>
          <w:lang w:val="fr-FR"/>
        </w:rPr>
        <w:t xml:space="preserve">il a subies pendant la période du 4 juillet 2008 au </w:t>
      </w:r>
      <w:r w:rsidR="00A220D2" w:rsidRPr="0070292F">
        <w:rPr>
          <w:rFonts w:eastAsiaTheme="minorHAnsi"/>
          <w:lang w:val="fr-FR"/>
        </w:rPr>
        <w:t>4 février 2009</w:t>
      </w:r>
      <w:r w:rsidRPr="0070292F">
        <w:rPr>
          <w:rFonts w:eastAsiaTheme="minorHAnsi"/>
          <w:lang w:val="fr-FR"/>
        </w:rPr>
        <w:t xml:space="preserve"> ont comporté une privation de sa liberté personnelle. </w:t>
      </w:r>
      <w:r w:rsidR="000330B7" w:rsidRPr="0070292F">
        <w:rPr>
          <w:rFonts w:eastAsiaTheme="minorHAnsi" w:cstheme="minorHAnsi"/>
          <w:lang w:val="fr-FR"/>
        </w:rPr>
        <w:t>À</w:t>
      </w:r>
      <w:r w:rsidR="000330B7" w:rsidRPr="0070292F">
        <w:rPr>
          <w:rFonts w:eastAsiaTheme="minorHAnsi"/>
          <w:lang w:val="fr-FR"/>
        </w:rPr>
        <w:t xml:space="preserve"> ses yeux</w:t>
      </w:r>
      <w:r w:rsidRPr="0070292F">
        <w:rPr>
          <w:rFonts w:eastAsiaTheme="minorHAnsi"/>
          <w:lang w:val="fr-FR"/>
        </w:rPr>
        <w:t xml:space="preserve">, la présente </w:t>
      </w:r>
      <w:r w:rsidR="00394D08" w:rsidRPr="0070292F">
        <w:rPr>
          <w:rFonts w:eastAsiaTheme="minorHAnsi"/>
          <w:lang w:val="fr-FR"/>
        </w:rPr>
        <w:t xml:space="preserve">espèce </w:t>
      </w:r>
      <w:r w:rsidRPr="0070292F">
        <w:rPr>
          <w:rFonts w:eastAsiaTheme="minorHAnsi"/>
          <w:lang w:val="fr-FR"/>
        </w:rPr>
        <w:t>est comparable à l</w:t>
      </w:r>
      <w:r w:rsidR="0070292F" w:rsidRPr="0070292F">
        <w:rPr>
          <w:rFonts w:eastAsiaTheme="minorHAnsi"/>
          <w:lang w:val="fr-FR"/>
        </w:rPr>
        <w:t>’</w:t>
      </w:r>
      <w:r w:rsidRPr="0070292F">
        <w:rPr>
          <w:rFonts w:eastAsiaTheme="minorHAnsi"/>
          <w:lang w:val="fr-FR"/>
        </w:rPr>
        <w:t xml:space="preserve">affaire </w:t>
      </w:r>
      <w:r w:rsidRPr="0070292F">
        <w:rPr>
          <w:i/>
          <w:lang w:val="fr-FR"/>
        </w:rPr>
        <w:t>Guzzardi c. Italie</w:t>
      </w:r>
      <w:r w:rsidRPr="0070292F">
        <w:rPr>
          <w:lang w:val="fr-FR"/>
        </w:rPr>
        <w:t xml:space="preserve"> (6 novembre 1980, </w:t>
      </w:r>
      <w:r w:rsidR="00917B3D" w:rsidRPr="0070292F">
        <w:rPr>
          <w:lang w:val="fr-FR"/>
        </w:rPr>
        <w:t>s</w:t>
      </w:r>
      <w:r w:rsidRPr="0070292F">
        <w:rPr>
          <w:lang w:val="fr-FR"/>
        </w:rPr>
        <w:t>érie A n</w:t>
      </w:r>
      <w:r w:rsidR="008C1E94" w:rsidRPr="0070292F">
        <w:rPr>
          <w:vertAlign w:val="superscript"/>
          <w:lang w:val="fr-FR"/>
        </w:rPr>
        <w:t>o</w:t>
      </w:r>
      <w:r w:rsidRPr="0070292F">
        <w:rPr>
          <w:lang w:val="fr-FR"/>
        </w:rPr>
        <w:t xml:space="preserve"> 39)</w:t>
      </w:r>
      <w:r w:rsidR="00917B3D" w:rsidRPr="0070292F">
        <w:rPr>
          <w:lang w:val="fr-FR"/>
        </w:rPr>
        <w:t>,</w:t>
      </w:r>
      <w:r w:rsidRPr="0070292F">
        <w:rPr>
          <w:lang w:val="fr-FR"/>
        </w:rPr>
        <w:t xml:space="preserve"> </w:t>
      </w:r>
      <w:r w:rsidRPr="0070292F">
        <w:rPr>
          <w:rFonts w:eastAsiaTheme="minorHAnsi"/>
          <w:lang w:val="fr-FR"/>
        </w:rPr>
        <w:t>dans laquelle la Cour avait considéré que</w:t>
      </w:r>
      <w:r w:rsidRPr="0070292F">
        <w:rPr>
          <w:rFonts w:eastAsiaTheme="minorHAnsi"/>
          <w:lang w:val="fr-CH"/>
        </w:rPr>
        <w:t xml:space="preserve">, </w:t>
      </w:r>
      <w:r w:rsidR="000330B7" w:rsidRPr="0070292F">
        <w:rPr>
          <w:rFonts w:eastAsiaTheme="minorHAnsi"/>
          <w:lang w:val="fr-CH"/>
        </w:rPr>
        <w:t>eu</w:t>
      </w:r>
      <w:r w:rsidR="00917B3D" w:rsidRPr="0070292F">
        <w:rPr>
          <w:rFonts w:eastAsiaTheme="minorHAnsi"/>
          <w:lang w:val="fr-CH"/>
        </w:rPr>
        <w:t xml:space="preserve"> égard aux</w:t>
      </w:r>
      <w:r w:rsidRPr="0070292F">
        <w:rPr>
          <w:rFonts w:eastAsiaTheme="minorHAnsi"/>
          <w:lang w:val="fr-CH"/>
        </w:rPr>
        <w:t xml:space="preserve"> circonstances particulières de l</w:t>
      </w:r>
      <w:r w:rsidR="0070292F" w:rsidRPr="0070292F">
        <w:rPr>
          <w:rFonts w:eastAsiaTheme="minorHAnsi"/>
          <w:lang w:val="fr-CH"/>
        </w:rPr>
        <w:t>’</w:t>
      </w:r>
      <w:r w:rsidRPr="0070292F">
        <w:rPr>
          <w:rFonts w:eastAsiaTheme="minorHAnsi"/>
          <w:lang w:val="fr-CH"/>
        </w:rPr>
        <w:t xml:space="preserve">affaire, </w:t>
      </w:r>
      <w:r w:rsidR="00917B3D" w:rsidRPr="0070292F">
        <w:rPr>
          <w:rFonts w:eastAsiaTheme="minorHAnsi"/>
          <w:lang w:val="fr-CH"/>
        </w:rPr>
        <w:t>l</w:t>
      </w:r>
      <w:r w:rsidR="0070292F" w:rsidRPr="0070292F">
        <w:rPr>
          <w:rFonts w:eastAsiaTheme="minorHAnsi"/>
          <w:lang w:val="fr-CH"/>
        </w:rPr>
        <w:t>’</w:t>
      </w:r>
      <w:r w:rsidR="00917B3D" w:rsidRPr="0070292F">
        <w:rPr>
          <w:rFonts w:eastAsiaTheme="minorHAnsi"/>
          <w:lang w:val="fr-CH"/>
        </w:rPr>
        <w:t>intéressé</w:t>
      </w:r>
      <w:r w:rsidRPr="0070292F">
        <w:rPr>
          <w:rFonts w:eastAsiaTheme="minorHAnsi"/>
          <w:lang w:val="fr-CH"/>
        </w:rPr>
        <w:t xml:space="preserve">, qui </w:t>
      </w:r>
      <w:r w:rsidR="000330B7" w:rsidRPr="0070292F">
        <w:rPr>
          <w:rFonts w:eastAsiaTheme="minorHAnsi"/>
          <w:lang w:val="fr-CH"/>
        </w:rPr>
        <w:t xml:space="preserve">avait été </w:t>
      </w:r>
      <w:r w:rsidRPr="0070292F">
        <w:rPr>
          <w:rFonts w:eastAsiaTheme="minorHAnsi"/>
          <w:lang w:val="fr-CH"/>
        </w:rPr>
        <w:t xml:space="preserve">soumis à des mesures </w:t>
      </w:r>
      <w:r w:rsidR="00917B3D" w:rsidRPr="0070292F">
        <w:rPr>
          <w:rFonts w:eastAsiaTheme="minorHAnsi"/>
          <w:lang w:val="fr-CH"/>
        </w:rPr>
        <w:t xml:space="preserve">semblables </w:t>
      </w:r>
      <w:r w:rsidRPr="0070292F">
        <w:rPr>
          <w:rFonts w:eastAsiaTheme="minorHAnsi"/>
          <w:lang w:val="fr-CH"/>
        </w:rPr>
        <w:t xml:space="preserve">à celles </w:t>
      </w:r>
      <w:r w:rsidR="00394D08" w:rsidRPr="0070292F">
        <w:rPr>
          <w:rFonts w:eastAsiaTheme="minorHAnsi"/>
          <w:lang w:val="fr-CH"/>
        </w:rPr>
        <w:t>imposées au</w:t>
      </w:r>
      <w:r w:rsidRPr="0070292F">
        <w:rPr>
          <w:rFonts w:eastAsiaTheme="minorHAnsi"/>
          <w:lang w:val="fr-CH"/>
        </w:rPr>
        <w:t xml:space="preserve"> requérant</w:t>
      </w:r>
      <w:r w:rsidR="00917B3D" w:rsidRPr="0070292F">
        <w:rPr>
          <w:rFonts w:eastAsiaTheme="minorHAnsi"/>
          <w:lang w:val="fr-CH"/>
        </w:rPr>
        <w:t xml:space="preserve"> dans la présente espèce</w:t>
      </w:r>
      <w:r w:rsidRPr="0070292F">
        <w:rPr>
          <w:rFonts w:eastAsiaTheme="minorHAnsi"/>
          <w:lang w:val="fr-CH"/>
        </w:rPr>
        <w:t xml:space="preserve">, </w:t>
      </w:r>
      <w:r w:rsidR="000330B7" w:rsidRPr="0070292F">
        <w:rPr>
          <w:rFonts w:eastAsiaTheme="minorHAnsi"/>
          <w:lang w:val="fr-CH"/>
        </w:rPr>
        <w:t xml:space="preserve">avait été </w:t>
      </w:r>
      <w:r w:rsidRPr="0070292F">
        <w:rPr>
          <w:rFonts w:eastAsiaTheme="minorHAnsi"/>
          <w:lang w:val="fr-CH"/>
        </w:rPr>
        <w:t xml:space="preserve">privé de sa liberté et </w:t>
      </w:r>
      <w:r w:rsidR="00917B3D" w:rsidRPr="0070292F">
        <w:rPr>
          <w:rFonts w:eastAsiaTheme="minorHAnsi"/>
          <w:lang w:val="fr-CH"/>
        </w:rPr>
        <w:t>qu</w:t>
      </w:r>
      <w:r w:rsidR="0070292F" w:rsidRPr="0070292F">
        <w:rPr>
          <w:rFonts w:eastAsiaTheme="minorHAnsi"/>
          <w:lang w:val="fr-CH"/>
        </w:rPr>
        <w:t>’</w:t>
      </w:r>
      <w:r w:rsidR="000330B7" w:rsidRPr="0070292F">
        <w:rPr>
          <w:rFonts w:eastAsiaTheme="minorHAnsi"/>
          <w:lang w:val="fr-CH"/>
        </w:rPr>
        <w:t xml:space="preserve">il </w:t>
      </w:r>
      <w:r w:rsidRPr="0070292F">
        <w:rPr>
          <w:rFonts w:eastAsiaTheme="minorHAnsi"/>
          <w:lang w:val="fr-CH"/>
        </w:rPr>
        <w:t xml:space="preserve">y avait </w:t>
      </w:r>
      <w:r w:rsidR="000330B7" w:rsidRPr="0070292F">
        <w:rPr>
          <w:rFonts w:eastAsiaTheme="minorHAnsi"/>
          <w:lang w:val="fr-CH"/>
        </w:rPr>
        <w:t xml:space="preserve">eu </w:t>
      </w:r>
      <w:r w:rsidRPr="0070292F">
        <w:rPr>
          <w:rFonts w:eastAsiaTheme="minorHAnsi"/>
          <w:lang w:val="fr-CH"/>
        </w:rPr>
        <w:t>violation de l</w:t>
      </w:r>
      <w:r w:rsidR="0070292F" w:rsidRPr="0070292F">
        <w:rPr>
          <w:rFonts w:eastAsiaTheme="minorHAnsi"/>
          <w:lang w:val="fr-CH"/>
        </w:rPr>
        <w:t>’</w:t>
      </w:r>
      <w:r w:rsidRPr="0070292F">
        <w:rPr>
          <w:rFonts w:eastAsiaTheme="minorHAnsi"/>
          <w:lang w:val="fr-CH"/>
        </w:rPr>
        <w:t>article 5.</w:t>
      </w:r>
    </w:p>
    <w:p w:rsidR="00DA4961" w:rsidRPr="0070292F" w:rsidRDefault="00DA4961" w:rsidP="0070292F">
      <w:pPr>
        <w:pStyle w:val="ECHRPara"/>
        <w:rPr>
          <w:rFonts w:eastAsiaTheme="minorHAnsi"/>
          <w:lang w:val="fr-CH"/>
        </w:rPr>
      </w:pPr>
      <w:r w:rsidRPr="0070292F">
        <w:rPr>
          <w:rFonts w:eastAsiaTheme="minorHAnsi"/>
          <w:lang w:val="fr-CH"/>
        </w:rPr>
        <w:fldChar w:fldCharType="begin"/>
      </w:r>
      <w:r w:rsidRPr="0070292F">
        <w:rPr>
          <w:rFonts w:eastAsiaTheme="minorHAnsi"/>
          <w:lang w:val="fr-CH"/>
        </w:rPr>
        <w:instrText xml:space="preserve"> SEQ level0 \*arabic </w:instrText>
      </w:r>
      <w:r w:rsidRPr="0070292F">
        <w:rPr>
          <w:rFonts w:eastAsiaTheme="minorHAnsi"/>
          <w:lang w:val="fr-CH"/>
        </w:rPr>
        <w:fldChar w:fldCharType="separate"/>
      </w:r>
      <w:r w:rsidR="0070292F" w:rsidRPr="0070292F">
        <w:rPr>
          <w:rFonts w:eastAsiaTheme="minorHAnsi"/>
          <w:noProof/>
          <w:lang w:val="fr-CH"/>
        </w:rPr>
        <w:t>78</w:t>
      </w:r>
      <w:r w:rsidRPr="0070292F">
        <w:rPr>
          <w:rFonts w:eastAsiaTheme="minorHAnsi"/>
          <w:lang w:val="fr-CH"/>
        </w:rPr>
        <w:fldChar w:fldCharType="end"/>
      </w:r>
      <w:r w:rsidRPr="0070292F">
        <w:rPr>
          <w:rFonts w:eastAsiaTheme="minorHAnsi"/>
          <w:lang w:val="fr-CH"/>
        </w:rPr>
        <w:t>.  Le requérant estime que l</w:t>
      </w:r>
      <w:r w:rsidR="0070292F" w:rsidRPr="0070292F">
        <w:rPr>
          <w:rFonts w:eastAsiaTheme="minorHAnsi"/>
          <w:lang w:val="fr-CH"/>
        </w:rPr>
        <w:t>’</w:t>
      </w:r>
      <w:r w:rsidRPr="0070292F">
        <w:rPr>
          <w:rFonts w:eastAsiaTheme="minorHAnsi"/>
          <w:lang w:val="fr-CH"/>
        </w:rPr>
        <w:t xml:space="preserve">impossibilité </w:t>
      </w:r>
      <w:r w:rsidR="00917B3D" w:rsidRPr="0070292F">
        <w:rPr>
          <w:rFonts w:eastAsiaTheme="minorHAnsi"/>
          <w:lang w:val="fr-CH"/>
        </w:rPr>
        <w:t>où il s</w:t>
      </w:r>
      <w:r w:rsidR="0070292F" w:rsidRPr="0070292F">
        <w:rPr>
          <w:rFonts w:eastAsiaTheme="minorHAnsi"/>
          <w:lang w:val="fr-CH"/>
        </w:rPr>
        <w:t>’</w:t>
      </w:r>
      <w:r w:rsidR="00917B3D" w:rsidRPr="0070292F">
        <w:rPr>
          <w:rFonts w:eastAsiaTheme="minorHAnsi"/>
          <w:lang w:val="fr-CH"/>
        </w:rPr>
        <w:t xml:space="preserve">est trouvé </w:t>
      </w:r>
      <w:r w:rsidRPr="0070292F">
        <w:rPr>
          <w:rFonts w:eastAsiaTheme="minorHAnsi"/>
          <w:lang w:val="fr-CH"/>
        </w:rPr>
        <w:t xml:space="preserve">de sortir de son habitation entre </w:t>
      </w:r>
      <w:r w:rsidR="009B46F1" w:rsidRPr="0070292F">
        <w:rPr>
          <w:rFonts w:eastAsiaTheme="minorHAnsi"/>
          <w:lang w:val="fr-CH"/>
        </w:rPr>
        <w:t>vingt-deux</w:t>
      </w:r>
      <w:r w:rsidRPr="0070292F">
        <w:rPr>
          <w:rFonts w:eastAsiaTheme="minorHAnsi"/>
          <w:lang w:val="fr-CH"/>
        </w:rPr>
        <w:t xml:space="preserve"> heures et </w:t>
      </w:r>
      <w:r w:rsidR="009B46F1" w:rsidRPr="0070292F">
        <w:rPr>
          <w:rFonts w:eastAsiaTheme="minorHAnsi"/>
          <w:lang w:val="fr-CH"/>
        </w:rPr>
        <w:t>six heures du matin</w:t>
      </w:r>
      <w:r w:rsidRPr="0070292F">
        <w:rPr>
          <w:rFonts w:eastAsiaTheme="minorHAnsi"/>
          <w:lang w:val="fr-CH"/>
        </w:rPr>
        <w:t xml:space="preserve"> constitue une privation de liberté et s</w:t>
      </w:r>
      <w:r w:rsidR="0070292F" w:rsidRPr="0070292F">
        <w:rPr>
          <w:rFonts w:eastAsiaTheme="minorHAnsi"/>
          <w:lang w:val="fr-CH"/>
        </w:rPr>
        <w:t>’</w:t>
      </w:r>
      <w:r w:rsidRPr="0070292F">
        <w:rPr>
          <w:rFonts w:eastAsiaTheme="minorHAnsi"/>
          <w:lang w:val="fr-CH"/>
        </w:rPr>
        <w:t xml:space="preserve">apparente à </w:t>
      </w:r>
      <w:r w:rsidR="00065D05" w:rsidRPr="0070292F">
        <w:rPr>
          <w:rFonts w:eastAsiaTheme="minorHAnsi"/>
          <w:lang w:val="fr-CH"/>
        </w:rPr>
        <w:t xml:space="preserve">une </w:t>
      </w:r>
      <w:r w:rsidRPr="0070292F">
        <w:rPr>
          <w:rFonts w:eastAsiaTheme="minorHAnsi"/>
          <w:lang w:val="fr-CH"/>
        </w:rPr>
        <w:t>assignation à domicile.</w:t>
      </w:r>
    </w:p>
    <w:p w:rsidR="002E375E" w:rsidRPr="0070292F" w:rsidRDefault="002E375E" w:rsidP="0070292F">
      <w:pPr>
        <w:pStyle w:val="ECHRHeading3"/>
        <w:rPr>
          <w:rFonts w:eastAsiaTheme="minorHAnsi"/>
          <w:lang w:val="fr-FR"/>
        </w:rPr>
      </w:pPr>
      <w:bookmarkStart w:id="31" w:name="_Toc475451848"/>
      <w:r w:rsidRPr="0070292F">
        <w:rPr>
          <w:rFonts w:eastAsiaTheme="minorHAnsi"/>
          <w:lang w:val="fr-FR"/>
        </w:rPr>
        <w:t>2.</w:t>
      </w:r>
      <w:r w:rsidR="009D554C" w:rsidRPr="0070292F">
        <w:rPr>
          <w:lang w:val="fr-FR"/>
        </w:rPr>
        <w:t>  </w:t>
      </w:r>
      <w:r w:rsidRPr="0070292F">
        <w:rPr>
          <w:rFonts w:eastAsiaTheme="minorHAnsi"/>
          <w:lang w:val="fr-FR"/>
        </w:rPr>
        <w:t>Appréciation de la Cour</w:t>
      </w:r>
      <w:bookmarkEnd w:id="31"/>
    </w:p>
    <w:p w:rsidR="0070292F" w:rsidRPr="0070292F" w:rsidRDefault="005F76D6"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79</w:t>
      </w:r>
      <w:r w:rsidRPr="0070292F">
        <w:rPr>
          <w:lang w:val="fr-FR"/>
        </w:rPr>
        <w:fldChar w:fldCharType="end"/>
      </w:r>
      <w:r w:rsidRPr="0070292F">
        <w:rPr>
          <w:lang w:val="fr-FR"/>
        </w:rPr>
        <w:t>.  </w:t>
      </w:r>
      <w:r w:rsidR="00065D05" w:rsidRPr="0070292F">
        <w:rPr>
          <w:lang w:val="fr-FR"/>
        </w:rPr>
        <w:t>D</w:t>
      </w:r>
      <w:r w:rsidR="0070292F" w:rsidRPr="0070292F">
        <w:rPr>
          <w:lang w:val="fr-FR"/>
        </w:rPr>
        <w:t>’</w:t>
      </w:r>
      <w:r w:rsidR="00065D05" w:rsidRPr="0070292F">
        <w:rPr>
          <w:lang w:val="fr-FR"/>
        </w:rPr>
        <w:t>emblée, l</w:t>
      </w:r>
      <w:r w:rsidR="002E375E" w:rsidRPr="0070292F">
        <w:rPr>
          <w:lang w:val="fr-FR"/>
        </w:rPr>
        <w:t xml:space="preserve">a Cour doit </w:t>
      </w:r>
      <w:r w:rsidR="00065D05" w:rsidRPr="0070292F">
        <w:rPr>
          <w:lang w:val="fr-FR"/>
        </w:rPr>
        <w:t>rechercher</w:t>
      </w:r>
      <w:r w:rsidR="002E375E" w:rsidRPr="0070292F">
        <w:rPr>
          <w:lang w:val="fr-FR"/>
        </w:rPr>
        <w:t xml:space="preserve"> si </w:t>
      </w:r>
      <w:r w:rsidR="00BF43DF" w:rsidRPr="0070292F">
        <w:rPr>
          <w:lang w:val="fr-FR"/>
        </w:rPr>
        <w:t>l</w:t>
      </w:r>
      <w:r w:rsidR="0070292F" w:rsidRPr="0070292F">
        <w:rPr>
          <w:lang w:val="fr-FR"/>
        </w:rPr>
        <w:t>’</w:t>
      </w:r>
      <w:r w:rsidR="00BF43DF" w:rsidRPr="0070292F">
        <w:rPr>
          <w:lang w:val="fr-FR"/>
        </w:rPr>
        <w:t>article 5 de la Convention</w:t>
      </w:r>
      <w:r w:rsidR="002E375E" w:rsidRPr="0070292F">
        <w:rPr>
          <w:lang w:val="fr-FR"/>
        </w:rPr>
        <w:t xml:space="preserve"> est applicable en </w:t>
      </w:r>
      <w:r w:rsidRPr="0070292F">
        <w:rPr>
          <w:lang w:val="fr-FR"/>
        </w:rPr>
        <w:t>l</w:t>
      </w:r>
      <w:r w:rsidR="0070292F" w:rsidRPr="0070292F">
        <w:rPr>
          <w:lang w:val="fr-FR"/>
        </w:rPr>
        <w:t>’</w:t>
      </w:r>
      <w:r w:rsidRPr="0070292F">
        <w:rPr>
          <w:lang w:val="fr-FR"/>
        </w:rPr>
        <w:t>espèce</w:t>
      </w:r>
      <w:r w:rsidR="002E375E" w:rsidRPr="0070292F">
        <w:rPr>
          <w:lang w:val="fr-FR"/>
        </w:rPr>
        <w:t>.</w:t>
      </w:r>
    </w:p>
    <w:p w:rsidR="002E375E" w:rsidRPr="0070292F" w:rsidRDefault="005F76D6" w:rsidP="0070292F">
      <w:pPr>
        <w:pStyle w:val="ECHRPara"/>
        <w:rPr>
          <w:lang w:val="fr-FR"/>
        </w:rPr>
      </w:pPr>
      <w:r w:rsidRPr="0070292F">
        <w:rPr>
          <w:lang w:val="fr-FR"/>
        </w:rPr>
        <w:lastRenderedPageBreak/>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80</w:t>
      </w:r>
      <w:r w:rsidRPr="0070292F">
        <w:rPr>
          <w:lang w:val="fr-FR"/>
        </w:rPr>
        <w:fldChar w:fldCharType="end"/>
      </w:r>
      <w:r w:rsidRPr="0070292F">
        <w:rPr>
          <w:lang w:val="fr-FR"/>
        </w:rPr>
        <w:t>.  </w:t>
      </w:r>
      <w:r w:rsidR="002E375E" w:rsidRPr="0070292F">
        <w:rPr>
          <w:lang w:val="fr-FR"/>
        </w:rPr>
        <w:t xml:space="preserve">Elle </w:t>
      </w:r>
      <w:r w:rsidR="00F341A2" w:rsidRPr="0070292F">
        <w:rPr>
          <w:lang w:val="fr-FR"/>
        </w:rPr>
        <w:t>rappelle tout d</w:t>
      </w:r>
      <w:r w:rsidR="0070292F" w:rsidRPr="0070292F">
        <w:rPr>
          <w:lang w:val="fr-FR"/>
        </w:rPr>
        <w:t>’</w:t>
      </w:r>
      <w:r w:rsidR="002E375E" w:rsidRPr="0070292F">
        <w:rPr>
          <w:lang w:val="fr-FR"/>
        </w:rPr>
        <w:t>abord qu</w:t>
      </w:r>
      <w:r w:rsidR="0070292F" w:rsidRPr="0070292F">
        <w:rPr>
          <w:lang w:val="fr-FR"/>
        </w:rPr>
        <w:t>’</w:t>
      </w:r>
      <w:r w:rsidR="002E375E" w:rsidRPr="0070292F">
        <w:rPr>
          <w:lang w:val="fr-FR"/>
        </w:rPr>
        <w:t>en proclamant le «</w:t>
      </w:r>
      <w:r w:rsidR="00065D05" w:rsidRPr="0070292F">
        <w:rPr>
          <w:lang w:val="fr-FR"/>
        </w:rPr>
        <w:t> </w:t>
      </w:r>
      <w:r w:rsidR="002E375E" w:rsidRPr="0070292F">
        <w:rPr>
          <w:lang w:val="fr-FR"/>
        </w:rPr>
        <w:t>droit à la liberté</w:t>
      </w:r>
      <w:r w:rsidR="00065D05" w:rsidRPr="0070292F">
        <w:rPr>
          <w:lang w:val="fr-FR"/>
        </w:rPr>
        <w:t> </w:t>
      </w:r>
      <w:r w:rsidR="002E375E" w:rsidRPr="0070292F">
        <w:rPr>
          <w:lang w:val="fr-FR"/>
        </w:rPr>
        <w:t>», le paragraphe 1 de l</w:t>
      </w:r>
      <w:r w:rsidR="0070292F" w:rsidRPr="0070292F">
        <w:rPr>
          <w:lang w:val="fr-FR"/>
        </w:rPr>
        <w:t>’</w:t>
      </w:r>
      <w:r w:rsidR="002E375E" w:rsidRPr="0070292F">
        <w:rPr>
          <w:lang w:val="fr-FR"/>
        </w:rPr>
        <w:t>article 5 vise la liberté physique de la personne. Dès lors, il ne concerne pas les simples restrictions à la liberté de circuler</w:t>
      </w:r>
      <w:r w:rsidR="00EB2E91" w:rsidRPr="0070292F">
        <w:rPr>
          <w:lang w:val="fr-FR"/>
        </w:rPr>
        <w:t>,</w:t>
      </w:r>
      <w:r w:rsidR="002E375E" w:rsidRPr="0070292F">
        <w:rPr>
          <w:lang w:val="fr-FR"/>
        </w:rPr>
        <w:t xml:space="preserve"> </w:t>
      </w:r>
      <w:r w:rsidR="006603B9" w:rsidRPr="0070292F">
        <w:rPr>
          <w:lang w:val="fr-FR"/>
        </w:rPr>
        <w:t>lesquelles</w:t>
      </w:r>
      <w:r w:rsidR="002E375E" w:rsidRPr="0070292F">
        <w:rPr>
          <w:lang w:val="fr-FR"/>
        </w:rPr>
        <w:t xml:space="preserve"> obéissent à </w:t>
      </w:r>
      <w:r w:rsidRPr="0070292F">
        <w:rPr>
          <w:lang w:val="fr-FR"/>
        </w:rPr>
        <w:t>l</w:t>
      </w:r>
      <w:r w:rsidR="0070292F" w:rsidRPr="0070292F">
        <w:rPr>
          <w:lang w:val="fr-FR"/>
        </w:rPr>
        <w:t>’</w:t>
      </w:r>
      <w:r w:rsidRPr="0070292F">
        <w:rPr>
          <w:lang w:val="fr-FR"/>
        </w:rPr>
        <w:t>article</w:t>
      </w:r>
      <w:r w:rsidR="00156556" w:rsidRPr="0070292F">
        <w:rPr>
          <w:lang w:val="fr-FR"/>
        </w:rPr>
        <w:t xml:space="preserve"> 2 du Protocole </w:t>
      </w:r>
      <w:r w:rsidR="006603B9" w:rsidRPr="0070292F">
        <w:rPr>
          <w:lang w:val="fr-FR"/>
        </w:rPr>
        <w:t>n</w:t>
      </w:r>
      <w:r w:rsidR="006603B9" w:rsidRPr="0070292F">
        <w:rPr>
          <w:vertAlign w:val="superscript"/>
          <w:lang w:val="fr-FR"/>
        </w:rPr>
        <w:t>o</w:t>
      </w:r>
      <w:r w:rsidR="002E375E" w:rsidRPr="0070292F">
        <w:rPr>
          <w:lang w:val="fr-FR"/>
        </w:rPr>
        <w:t xml:space="preserve"> 4. Pour déterminer si un individu </w:t>
      </w:r>
      <w:r w:rsidR="00F341A2" w:rsidRPr="0070292F">
        <w:rPr>
          <w:lang w:val="fr-FR"/>
        </w:rPr>
        <w:t>se trouve «</w:t>
      </w:r>
      <w:r w:rsidR="00065D05" w:rsidRPr="0070292F">
        <w:rPr>
          <w:lang w:val="fr-FR"/>
        </w:rPr>
        <w:t> </w:t>
      </w:r>
      <w:r w:rsidR="00F341A2" w:rsidRPr="0070292F">
        <w:rPr>
          <w:lang w:val="fr-FR"/>
        </w:rPr>
        <w:t>privé de sa liberté</w:t>
      </w:r>
      <w:r w:rsidR="00065D05" w:rsidRPr="0070292F">
        <w:rPr>
          <w:lang w:val="fr-FR"/>
        </w:rPr>
        <w:t> </w:t>
      </w:r>
      <w:r w:rsidR="002E375E" w:rsidRPr="0070292F">
        <w:rPr>
          <w:lang w:val="fr-FR"/>
        </w:rPr>
        <w:t xml:space="preserve">» au sens de </w:t>
      </w:r>
      <w:r w:rsidRPr="0070292F">
        <w:rPr>
          <w:lang w:val="fr-FR"/>
        </w:rPr>
        <w:t>l</w:t>
      </w:r>
      <w:r w:rsidR="0070292F" w:rsidRPr="0070292F">
        <w:rPr>
          <w:lang w:val="fr-FR"/>
        </w:rPr>
        <w:t>’</w:t>
      </w:r>
      <w:r w:rsidRPr="0070292F">
        <w:rPr>
          <w:lang w:val="fr-FR"/>
        </w:rPr>
        <w:t>article</w:t>
      </w:r>
      <w:r w:rsidR="002E375E" w:rsidRPr="0070292F">
        <w:rPr>
          <w:lang w:val="fr-FR"/>
        </w:rPr>
        <w:t xml:space="preserve"> 5, il faut partir de sa situation concrète et prendre en compte un ensemble de critères comme le genre, la durée, les effets et les modalités </w:t>
      </w:r>
      <w:r w:rsidRPr="0070292F">
        <w:rPr>
          <w:lang w:val="fr-FR"/>
        </w:rPr>
        <w:t>d</w:t>
      </w:r>
      <w:r w:rsidR="0070292F" w:rsidRPr="0070292F">
        <w:rPr>
          <w:lang w:val="fr-FR"/>
        </w:rPr>
        <w:t>’</w:t>
      </w:r>
      <w:r w:rsidRPr="0070292F">
        <w:rPr>
          <w:lang w:val="fr-FR"/>
        </w:rPr>
        <w:t>exécution</w:t>
      </w:r>
      <w:r w:rsidR="002E375E" w:rsidRPr="0070292F">
        <w:rPr>
          <w:lang w:val="fr-FR"/>
        </w:rPr>
        <w:t xml:space="preserve"> de la mesure considérée. Entre privation et restriction de </w:t>
      </w:r>
      <w:r w:rsidR="00F341A2" w:rsidRPr="0070292F">
        <w:rPr>
          <w:lang w:val="fr-FR"/>
        </w:rPr>
        <w:t>liberté, il n</w:t>
      </w:r>
      <w:r w:rsidR="0070292F" w:rsidRPr="0070292F">
        <w:rPr>
          <w:lang w:val="fr-FR"/>
        </w:rPr>
        <w:t>’</w:t>
      </w:r>
      <w:r w:rsidR="00F341A2" w:rsidRPr="0070292F">
        <w:rPr>
          <w:lang w:val="fr-FR"/>
        </w:rPr>
        <w:t>y a qu</w:t>
      </w:r>
      <w:r w:rsidR="0070292F" w:rsidRPr="0070292F">
        <w:rPr>
          <w:lang w:val="fr-FR"/>
        </w:rPr>
        <w:t>’</w:t>
      </w:r>
      <w:r w:rsidR="00F341A2" w:rsidRPr="0070292F">
        <w:rPr>
          <w:lang w:val="fr-FR"/>
        </w:rPr>
        <w:t>une différence de degré ou d</w:t>
      </w:r>
      <w:r w:rsidR="0070292F" w:rsidRPr="0070292F">
        <w:rPr>
          <w:lang w:val="fr-FR"/>
        </w:rPr>
        <w:t>’</w:t>
      </w:r>
      <w:r w:rsidR="00F341A2" w:rsidRPr="0070292F">
        <w:rPr>
          <w:lang w:val="fr-FR"/>
        </w:rPr>
        <w:t>intensité, non de nature ou d</w:t>
      </w:r>
      <w:r w:rsidR="0070292F" w:rsidRPr="0070292F">
        <w:rPr>
          <w:lang w:val="fr-FR"/>
        </w:rPr>
        <w:t>’</w:t>
      </w:r>
      <w:r w:rsidR="002E375E" w:rsidRPr="0070292F">
        <w:rPr>
          <w:lang w:val="fr-FR"/>
        </w:rPr>
        <w:t>essence (</w:t>
      </w:r>
      <w:r w:rsidR="002E375E" w:rsidRPr="0070292F">
        <w:rPr>
          <w:i/>
          <w:iCs/>
          <w:lang w:val="fr-FR"/>
        </w:rPr>
        <w:t>Guzzardi</w:t>
      </w:r>
      <w:r w:rsidR="002E375E" w:rsidRPr="0070292F">
        <w:rPr>
          <w:lang w:val="fr-FR"/>
        </w:rPr>
        <w:t>,</w:t>
      </w:r>
      <w:r w:rsidR="008C4EEF" w:rsidRPr="0070292F">
        <w:rPr>
          <w:lang w:val="fr-FR"/>
        </w:rPr>
        <w:t xml:space="preserve"> précité,</w:t>
      </w:r>
      <w:r w:rsidR="0070292F" w:rsidRPr="0070292F">
        <w:rPr>
          <w:lang w:val="fr-FR"/>
        </w:rPr>
        <w:t xml:space="preserve"> §§ </w:t>
      </w:r>
      <w:r w:rsidR="002E375E" w:rsidRPr="0070292F">
        <w:rPr>
          <w:lang w:val="fr-FR"/>
        </w:rPr>
        <w:t>92-93</w:t>
      </w:r>
      <w:r w:rsidRPr="0070292F">
        <w:rPr>
          <w:i/>
          <w:iCs/>
          <w:lang w:val="fr-FR"/>
        </w:rPr>
        <w:t xml:space="preserve">, Nada c. Suisse </w:t>
      </w:r>
      <w:r w:rsidRPr="0070292F">
        <w:rPr>
          <w:lang w:val="fr-FR"/>
        </w:rPr>
        <w:t>[GC], n</w:t>
      </w:r>
      <w:r w:rsidR="008C1E94" w:rsidRPr="0070292F">
        <w:rPr>
          <w:vertAlign w:val="superscript"/>
          <w:lang w:val="fr-FR"/>
        </w:rPr>
        <w:t>o</w:t>
      </w:r>
      <w:r w:rsidR="009D554C" w:rsidRPr="0070292F">
        <w:rPr>
          <w:lang w:val="fr-FR"/>
        </w:rPr>
        <w:t> </w:t>
      </w:r>
      <w:r w:rsidRPr="0070292F">
        <w:rPr>
          <w:lang w:val="fr-FR"/>
        </w:rPr>
        <w:t>10593/08, §</w:t>
      </w:r>
      <w:r w:rsidR="009D554C" w:rsidRPr="0070292F">
        <w:rPr>
          <w:lang w:val="fr-FR"/>
        </w:rPr>
        <w:t> </w:t>
      </w:r>
      <w:r w:rsidRPr="0070292F">
        <w:rPr>
          <w:lang w:val="fr-FR"/>
        </w:rPr>
        <w:t xml:space="preserve">225, CEDH 2012, </w:t>
      </w:r>
      <w:r w:rsidR="0070292F" w:rsidRPr="0070292F">
        <w:rPr>
          <w:i/>
          <w:iCs/>
          <w:lang w:val="fr-FR"/>
        </w:rPr>
        <w:t>Austin et </w:t>
      </w:r>
      <w:r w:rsidRPr="0070292F">
        <w:rPr>
          <w:i/>
          <w:iCs/>
          <w:lang w:val="fr-FR"/>
        </w:rPr>
        <w:t>autres c. Royaume-Uni</w:t>
      </w:r>
      <w:r w:rsidRPr="0070292F">
        <w:rPr>
          <w:lang w:val="fr-FR"/>
        </w:rPr>
        <w:t xml:space="preserve"> [GC], n</w:t>
      </w:r>
      <w:r w:rsidR="00065D05" w:rsidRPr="0070292F">
        <w:rPr>
          <w:vertAlign w:val="superscript"/>
          <w:lang w:val="fr-FR"/>
        </w:rPr>
        <w:t>os</w:t>
      </w:r>
      <w:r w:rsidR="009D554C" w:rsidRPr="0070292F">
        <w:rPr>
          <w:lang w:val="fr-FR"/>
        </w:rPr>
        <w:t> </w:t>
      </w:r>
      <w:r w:rsidRPr="0070292F">
        <w:rPr>
          <w:lang w:val="fr-FR"/>
        </w:rPr>
        <w:t xml:space="preserve">39692/09, </w:t>
      </w:r>
      <w:hyperlink r:id="rId14" w:anchor="{" w:history="1">
        <w:r w:rsidRPr="0070292F">
          <w:rPr>
            <w:rStyle w:val="Collegamentoipertestuale"/>
            <w:rFonts w:ascii="Times New Roman" w:hAnsi="Times New Roman" w:cs="Times New Roman"/>
            <w:color w:val="auto"/>
            <w:u w:val="none"/>
            <w:lang w:val="fr-FR"/>
          </w:rPr>
          <w:t>40713/09</w:t>
        </w:r>
      </w:hyperlink>
      <w:r w:rsidRPr="0070292F">
        <w:rPr>
          <w:lang w:val="fr-FR"/>
        </w:rPr>
        <w:t xml:space="preserve"> et</w:t>
      </w:r>
      <w:hyperlink r:id="rId15" w:anchor="{" w:history="1">
        <w:r w:rsidRPr="0070292F">
          <w:rPr>
            <w:rStyle w:val="Collegamentoipertestuale"/>
            <w:rFonts w:ascii="Times New Roman" w:hAnsi="Times New Roman" w:cs="Times New Roman"/>
            <w:color w:val="auto"/>
            <w:u w:val="none"/>
            <w:lang w:val="fr-FR"/>
          </w:rPr>
          <w:t xml:space="preserve"> 41008/09</w:t>
        </w:r>
      </w:hyperlink>
      <w:r w:rsidRPr="0070292F">
        <w:rPr>
          <w:lang w:val="fr-FR"/>
        </w:rPr>
        <w:t xml:space="preserve">, § 57, CEDH 2012, </w:t>
      </w:r>
      <w:r w:rsidRPr="0070292F">
        <w:rPr>
          <w:i/>
          <w:iCs/>
          <w:lang w:val="fr-FR"/>
        </w:rPr>
        <w:t>Stanev c. Bulgarie</w:t>
      </w:r>
      <w:r w:rsidRPr="0070292F">
        <w:rPr>
          <w:lang w:val="fr-FR"/>
        </w:rPr>
        <w:t xml:space="preserve"> [GC], n</w:t>
      </w:r>
      <w:r w:rsidR="008C1E94" w:rsidRPr="0070292F">
        <w:rPr>
          <w:vertAlign w:val="superscript"/>
          <w:lang w:val="fr-FR"/>
        </w:rPr>
        <w:t>o</w:t>
      </w:r>
      <w:r w:rsidR="009D554C" w:rsidRPr="0070292F">
        <w:rPr>
          <w:lang w:val="fr-FR"/>
        </w:rPr>
        <w:t> </w:t>
      </w:r>
      <w:hyperlink r:id="rId16" w:anchor="{" w:history="1">
        <w:r w:rsidRPr="0070292F">
          <w:rPr>
            <w:rStyle w:val="Collegamentoipertestuale"/>
            <w:rFonts w:ascii="Times New Roman" w:hAnsi="Times New Roman" w:cs="Times New Roman"/>
            <w:color w:val="auto"/>
            <w:u w:val="none"/>
            <w:lang w:val="fr-FR"/>
          </w:rPr>
          <w:t>36760/06</w:t>
        </w:r>
      </w:hyperlink>
      <w:r w:rsidRPr="0070292F">
        <w:rPr>
          <w:lang w:val="fr-FR"/>
        </w:rPr>
        <w:t xml:space="preserve">, § 115, CEDH 2012, </w:t>
      </w:r>
      <w:r w:rsidRPr="0070292F">
        <w:rPr>
          <w:i/>
          <w:iCs/>
          <w:lang w:val="fr-FR"/>
        </w:rPr>
        <w:t>Medvedyev et autres c. France</w:t>
      </w:r>
      <w:r w:rsidRPr="0070292F">
        <w:rPr>
          <w:lang w:val="fr-FR"/>
        </w:rPr>
        <w:t xml:space="preserve"> [GC], n</w:t>
      </w:r>
      <w:r w:rsidR="008C1E94" w:rsidRPr="0070292F">
        <w:rPr>
          <w:vertAlign w:val="superscript"/>
          <w:lang w:val="fr-FR"/>
        </w:rPr>
        <w:t>o</w:t>
      </w:r>
      <w:r w:rsidR="009D554C" w:rsidRPr="0070292F">
        <w:rPr>
          <w:lang w:val="fr-FR"/>
        </w:rPr>
        <w:t> </w:t>
      </w:r>
      <w:hyperlink r:id="rId17" w:anchor="{" w:history="1">
        <w:r w:rsidRPr="0070292F">
          <w:rPr>
            <w:rStyle w:val="Collegamentoipertestuale"/>
            <w:rFonts w:ascii="Times New Roman" w:hAnsi="Times New Roman" w:cs="Times New Roman"/>
            <w:color w:val="auto"/>
            <w:u w:val="none"/>
            <w:lang w:val="fr-FR"/>
          </w:rPr>
          <w:t>3394/03</w:t>
        </w:r>
      </w:hyperlink>
      <w:r w:rsidRPr="0070292F">
        <w:rPr>
          <w:lang w:val="fr-FR"/>
        </w:rPr>
        <w:t>, § 73, CEDH 2010).</w:t>
      </w:r>
      <w:r w:rsidR="000330B7" w:rsidRPr="0070292F">
        <w:rPr>
          <w:lang w:val="fr-FR"/>
        </w:rPr>
        <w:t xml:space="preserve"> De plus</w:t>
      </w:r>
      <w:r w:rsidRPr="0070292F">
        <w:rPr>
          <w:lang w:val="fr-FR"/>
        </w:rPr>
        <w:t>, pour évaluer la nature des mesures de prévention prévues par la loi de 1956, il faut les examiner « accumulé</w:t>
      </w:r>
      <w:r w:rsidR="00065D05" w:rsidRPr="0070292F">
        <w:rPr>
          <w:lang w:val="fr-FR"/>
        </w:rPr>
        <w:t>e</w:t>
      </w:r>
      <w:r w:rsidRPr="0070292F">
        <w:rPr>
          <w:lang w:val="fr-FR"/>
        </w:rPr>
        <w:t>s et combinées » (</w:t>
      </w:r>
      <w:r w:rsidRPr="0070292F">
        <w:rPr>
          <w:i/>
          <w:iCs/>
          <w:lang w:val="fr-FR"/>
        </w:rPr>
        <w:t xml:space="preserve">Guzzardi, </w:t>
      </w:r>
      <w:r w:rsidR="0070292F" w:rsidRPr="0070292F">
        <w:rPr>
          <w:lang w:val="fr-FR"/>
        </w:rPr>
        <w:t>précité, § </w:t>
      </w:r>
      <w:r w:rsidRPr="0070292F">
        <w:rPr>
          <w:lang w:val="fr-FR"/>
        </w:rPr>
        <w:t>95).</w:t>
      </w:r>
    </w:p>
    <w:p w:rsidR="005F76D6" w:rsidRPr="0070292F" w:rsidRDefault="005F76D6"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81</w:t>
      </w:r>
      <w:r w:rsidRPr="0070292F">
        <w:rPr>
          <w:lang w:val="fr-FR"/>
        </w:rPr>
        <w:fldChar w:fldCharType="end"/>
      </w:r>
      <w:r w:rsidRPr="0070292F">
        <w:rPr>
          <w:lang w:val="fr-FR"/>
        </w:rPr>
        <w:t>.  </w:t>
      </w:r>
      <w:r w:rsidR="000330B7" w:rsidRPr="0070292F">
        <w:rPr>
          <w:lang w:val="fr-FR"/>
        </w:rPr>
        <w:t>En outre</w:t>
      </w:r>
      <w:r w:rsidRPr="0070292F">
        <w:rPr>
          <w:lang w:val="fr-FR"/>
        </w:rPr>
        <w:t>, selon la Cour</w:t>
      </w:r>
      <w:r w:rsidR="00156556" w:rsidRPr="0070292F">
        <w:rPr>
          <w:lang w:val="fr-FR"/>
        </w:rPr>
        <w:t>,</w:t>
      </w:r>
      <w:r w:rsidRPr="0070292F">
        <w:rPr>
          <w:lang w:val="fr-FR"/>
        </w:rPr>
        <w:t xml:space="preserve"> la démarche consistant à prendre</w:t>
      </w:r>
      <w:r w:rsidR="00F341A2" w:rsidRPr="0070292F">
        <w:rPr>
          <w:lang w:val="fr-FR"/>
        </w:rPr>
        <w:t xml:space="preserve"> en compte le « genre</w:t>
      </w:r>
      <w:r w:rsidR="00065D05" w:rsidRPr="0070292F">
        <w:rPr>
          <w:lang w:val="fr-FR"/>
        </w:rPr>
        <w:t> </w:t>
      </w:r>
      <w:r w:rsidR="00F341A2" w:rsidRPr="0070292F">
        <w:rPr>
          <w:lang w:val="fr-FR"/>
        </w:rPr>
        <w:t xml:space="preserve">» et les </w:t>
      </w:r>
      <w:r w:rsidR="008C4EEF" w:rsidRPr="0070292F">
        <w:rPr>
          <w:lang w:val="fr-FR"/>
        </w:rPr>
        <w:t>« </w:t>
      </w:r>
      <w:r w:rsidR="00156556" w:rsidRPr="0070292F">
        <w:rPr>
          <w:lang w:val="fr-FR"/>
        </w:rPr>
        <w:t>modalités d</w:t>
      </w:r>
      <w:r w:rsidR="0070292F" w:rsidRPr="0070292F">
        <w:rPr>
          <w:lang w:val="fr-FR"/>
        </w:rPr>
        <w:t>’</w:t>
      </w:r>
      <w:r w:rsidRPr="0070292F">
        <w:rPr>
          <w:lang w:val="fr-FR"/>
        </w:rPr>
        <w:t>exécuti</w:t>
      </w:r>
      <w:r w:rsidR="00F341A2" w:rsidRPr="0070292F">
        <w:rPr>
          <w:lang w:val="fr-FR"/>
        </w:rPr>
        <w:t>on</w:t>
      </w:r>
      <w:r w:rsidR="00065D05" w:rsidRPr="0070292F">
        <w:rPr>
          <w:lang w:val="fr-FR"/>
        </w:rPr>
        <w:t> </w:t>
      </w:r>
      <w:r w:rsidR="00F341A2" w:rsidRPr="0070292F">
        <w:rPr>
          <w:lang w:val="fr-FR"/>
        </w:rPr>
        <w:t>» de la mesure en question (</w:t>
      </w:r>
      <w:r w:rsidRPr="0070292F">
        <w:rPr>
          <w:i/>
          <w:lang w:val="fr-FR"/>
        </w:rPr>
        <w:t>Guzzardi</w:t>
      </w:r>
      <w:r w:rsidRPr="0070292F">
        <w:rPr>
          <w:lang w:val="fr-FR"/>
        </w:rPr>
        <w:t xml:space="preserve">, </w:t>
      </w:r>
      <w:r w:rsidR="006603B9" w:rsidRPr="0070292F">
        <w:rPr>
          <w:lang w:val="fr-FR"/>
        </w:rPr>
        <w:t>précité</w:t>
      </w:r>
      <w:r w:rsidR="00065D05" w:rsidRPr="0070292F">
        <w:rPr>
          <w:lang w:val="fr-FR"/>
        </w:rPr>
        <w:t>,</w:t>
      </w:r>
      <w:r w:rsidR="006603B9" w:rsidRPr="0070292F">
        <w:rPr>
          <w:lang w:val="fr-FR"/>
        </w:rPr>
        <w:t xml:space="preserve"> </w:t>
      </w:r>
      <w:r w:rsidRPr="0070292F">
        <w:rPr>
          <w:lang w:val="fr-FR"/>
        </w:rPr>
        <w:t>§ 92</w:t>
      </w:r>
      <w:r w:rsidR="00F341A2" w:rsidRPr="0070292F">
        <w:rPr>
          <w:lang w:val="fr-FR"/>
        </w:rPr>
        <w:t>) lui permet d</w:t>
      </w:r>
      <w:r w:rsidR="0070292F" w:rsidRPr="0070292F">
        <w:rPr>
          <w:lang w:val="fr-FR"/>
        </w:rPr>
        <w:t>’</w:t>
      </w:r>
      <w:r w:rsidRPr="0070292F">
        <w:rPr>
          <w:lang w:val="fr-FR"/>
        </w:rPr>
        <w:t>avoir égard au contexte et aux circonstances spécifiques entourant les restrictions à la liberté</w:t>
      </w:r>
      <w:r w:rsidR="00F341A2" w:rsidRPr="0070292F">
        <w:rPr>
          <w:lang w:val="fr-FR"/>
        </w:rPr>
        <w:t xml:space="preserve"> qui s</w:t>
      </w:r>
      <w:r w:rsidR="0070292F" w:rsidRPr="0070292F">
        <w:rPr>
          <w:lang w:val="fr-FR"/>
        </w:rPr>
        <w:t>’</w:t>
      </w:r>
      <w:r w:rsidRPr="0070292F">
        <w:rPr>
          <w:lang w:val="fr-FR"/>
        </w:rPr>
        <w:t xml:space="preserve">éloignent </w:t>
      </w:r>
      <w:r w:rsidR="00F341A2" w:rsidRPr="0070292F">
        <w:rPr>
          <w:lang w:val="fr-FR"/>
        </w:rPr>
        <w:t>de la situation type qu</w:t>
      </w:r>
      <w:r w:rsidR="0070292F" w:rsidRPr="0070292F">
        <w:rPr>
          <w:lang w:val="fr-FR"/>
        </w:rPr>
        <w:t>’</w:t>
      </w:r>
      <w:r w:rsidR="00F341A2" w:rsidRPr="0070292F">
        <w:rPr>
          <w:lang w:val="fr-FR"/>
        </w:rPr>
        <w:t>est l</w:t>
      </w:r>
      <w:r w:rsidR="0070292F" w:rsidRPr="0070292F">
        <w:rPr>
          <w:lang w:val="fr-FR"/>
        </w:rPr>
        <w:t>’</w:t>
      </w:r>
      <w:r w:rsidRPr="0070292F">
        <w:rPr>
          <w:lang w:val="fr-FR"/>
        </w:rPr>
        <w:t>incarcération</w:t>
      </w:r>
      <w:r w:rsidR="008C4EEF" w:rsidRPr="0070292F">
        <w:rPr>
          <w:lang w:val="fr-FR"/>
        </w:rPr>
        <w:t>.</w:t>
      </w:r>
      <w:r w:rsidRPr="0070292F">
        <w:rPr>
          <w:lang w:val="fr-FR"/>
        </w:rPr>
        <w:t xml:space="preserve"> En e</w:t>
      </w:r>
      <w:r w:rsidR="00F341A2" w:rsidRPr="0070292F">
        <w:rPr>
          <w:lang w:val="fr-FR"/>
        </w:rPr>
        <w:t>ffet, le contexte dans lequel s</w:t>
      </w:r>
      <w:r w:rsidR="0070292F" w:rsidRPr="0070292F">
        <w:rPr>
          <w:lang w:val="fr-FR"/>
        </w:rPr>
        <w:t>’</w:t>
      </w:r>
      <w:r w:rsidRPr="0070292F">
        <w:rPr>
          <w:lang w:val="fr-FR"/>
        </w:rPr>
        <w:t xml:space="preserve">inscrit la mesure représente un facteur important car il est courant, dans les sociétés modernes, que surviennent des situations dans lesquelles le public peut être appelé à supporter des restrictions à la liberté de circulation ou à </w:t>
      </w:r>
      <w:r w:rsidR="00F341A2" w:rsidRPr="0070292F">
        <w:rPr>
          <w:lang w:val="fr-FR"/>
        </w:rPr>
        <w:t>la liberté des personnes dans l</w:t>
      </w:r>
      <w:r w:rsidR="0070292F" w:rsidRPr="0070292F">
        <w:rPr>
          <w:lang w:val="fr-FR"/>
        </w:rPr>
        <w:t>’</w:t>
      </w:r>
      <w:r w:rsidR="00F341A2" w:rsidRPr="0070292F">
        <w:rPr>
          <w:lang w:val="fr-FR"/>
        </w:rPr>
        <w:t>intérêt</w:t>
      </w:r>
      <w:r w:rsidRPr="0070292F">
        <w:rPr>
          <w:lang w:val="fr-FR"/>
        </w:rPr>
        <w:t xml:space="preserve"> du bien commun (voir, </w:t>
      </w:r>
      <w:r w:rsidRPr="0070292F">
        <w:rPr>
          <w:i/>
          <w:lang w:val="fr-FR"/>
        </w:rPr>
        <w:t>mutatis mutandis</w:t>
      </w:r>
      <w:r w:rsidRPr="0070292F">
        <w:rPr>
          <w:lang w:val="fr-FR"/>
        </w:rPr>
        <w:t xml:space="preserve">, </w:t>
      </w:r>
      <w:r w:rsidRPr="0070292F">
        <w:rPr>
          <w:i/>
          <w:lang w:val="fr-FR"/>
        </w:rPr>
        <w:t>Austin et autres,</w:t>
      </w:r>
      <w:r w:rsidR="003D57C0" w:rsidRPr="0070292F">
        <w:rPr>
          <w:lang w:val="fr-FR"/>
        </w:rPr>
        <w:t xml:space="preserve"> précité, § 59).</w:t>
      </w:r>
    </w:p>
    <w:p w:rsidR="0070292F" w:rsidRPr="0070292F" w:rsidRDefault="00261626"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82</w:t>
      </w:r>
      <w:r w:rsidRPr="0070292F">
        <w:rPr>
          <w:lang w:val="fr-FR"/>
        </w:rPr>
        <w:fldChar w:fldCharType="end"/>
      </w:r>
      <w:r w:rsidRPr="0070292F">
        <w:rPr>
          <w:lang w:val="fr-FR"/>
        </w:rPr>
        <w:t xml:space="preserve">.  En matière de mesures de prévention personnelles, </w:t>
      </w:r>
      <w:r w:rsidR="005717F7" w:rsidRPr="0070292F">
        <w:rPr>
          <w:lang w:val="fr-FR"/>
        </w:rPr>
        <w:t xml:space="preserve">les organes de la Convention ont </w:t>
      </w:r>
      <w:r w:rsidRPr="0070292F">
        <w:rPr>
          <w:lang w:val="fr-FR"/>
        </w:rPr>
        <w:t xml:space="preserve">amorcé </w:t>
      </w:r>
      <w:r w:rsidR="00FC5414" w:rsidRPr="0070292F">
        <w:rPr>
          <w:lang w:val="fr-FR"/>
        </w:rPr>
        <w:t>leur</w:t>
      </w:r>
      <w:r w:rsidRPr="0070292F">
        <w:rPr>
          <w:lang w:val="fr-FR"/>
        </w:rPr>
        <w:t xml:space="preserve"> </w:t>
      </w:r>
      <w:r w:rsidR="0094426C" w:rsidRPr="0070292F">
        <w:rPr>
          <w:lang w:val="fr-FR"/>
        </w:rPr>
        <w:t>jurisprudence dans la décision </w:t>
      </w:r>
      <w:r w:rsidRPr="0070292F">
        <w:rPr>
          <w:i/>
          <w:lang w:val="fr-FR"/>
        </w:rPr>
        <w:t>Guzzardi</w:t>
      </w:r>
      <w:r w:rsidRPr="0070292F">
        <w:rPr>
          <w:lang w:val="fr-FR"/>
        </w:rPr>
        <w:t xml:space="preserve"> du </w:t>
      </w:r>
      <w:r w:rsidR="0094426C" w:rsidRPr="0070292F">
        <w:rPr>
          <w:lang w:val="fr-FR"/>
        </w:rPr>
        <w:t>5</w:t>
      </w:r>
      <w:r w:rsidR="00864F63" w:rsidRPr="0070292F">
        <w:rPr>
          <w:lang w:val="fr-FR"/>
        </w:rPr>
        <w:t> </w:t>
      </w:r>
      <w:r w:rsidR="0094426C" w:rsidRPr="0070292F">
        <w:rPr>
          <w:lang w:val="fr-FR"/>
        </w:rPr>
        <w:t>octobre 1977</w:t>
      </w:r>
      <w:r w:rsidRPr="0070292F">
        <w:rPr>
          <w:lang w:val="fr-FR"/>
        </w:rPr>
        <w:t xml:space="preserve"> (</w:t>
      </w:r>
      <w:r w:rsidR="0094426C" w:rsidRPr="0070292F">
        <w:rPr>
          <w:i/>
          <w:lang w:val="fr-FR"/>
        </w:rPr>
        <w:t>Guzzardi c. Italie</w:t>
      </w:r>
      <w:r w:rsidR="0094426C" w:rsidRPr="0070292F">
        <w:rPr>
          <w:lang w:val="fr-FR"/>
        </w:rPr>
        <w:t>, n</w:t>
      </w:r>
      <w:r w:rsidR="0094426C" w:rsidRPr="0070292F">
        <w:rPr>
          <w:vertAlign w:val="superscript"/>
          <w:lang w:val="fr-FR"/>
        </w:rPr>
        <w:t>o</w:t>
      </w:r>
      <w:r w:rsidR="0094426C" w:rsidRPr="0070292F">
        <w:rPr>
          <w:lang w:val="fr-FR"/>
        </w:rPr>
        <w:t xml:space="preserve"> 7960/77, décision de la Commission du 5 octobre 1977, </w:t>
      </w:r>
      <w:r w:rsidR="009B233D" w:rsidRPr="0070292F">
        <w:rPr>
          <w:lang w:val="fr-FR"/>
        </w:rPr>
        <w:t>non publiée)</w:t>
      </w:r>
      <w:r w:rsidRPr="0070292F">
        <w:rPr>
          <w:lang w:val="fr-FR"/>
        </w:rPr>
        <w:t>.</w:t>
      </w:r>
      <w:r w:rsidR="0094426C" w:rsidRPr="0070292F">
        <w:rPr>
          <w:lang w:val="fr-FR"/>
        </w:rPr>
        <w:t xml:space="preserve"> Dans cette affaire</w:t>
      </w:r>
      <w:r w:rsidR="00065D05" w:rsidRPr="0070292F">
        <w:rPr>
          <w:lang w:val="fr-FR"/>
        </w:rPr>
        <w:t>,</w:t>
      </w:r>
      <w:r w:rsidR="0094426C" w:rsidRPr="0070292F">
        <w:rPr>
          <w:lang w:val="fr-FR"/>
        </w:rPr>
        <w:t xml:space="preserve"> le</w:t>
      </w:r>
      <w:r w:rsidR="005205EF" w:rsidRPr="0070292F">
        <w:rPr>
          <w:lang w:val="fr-FR"/>
        </w:rPr>
        <w:t xml:space="preserve"> </w:t>
      </w:r>
      <w:r w:rsidRPr="0070292F">
        <w:rPr>
          <w:lang w:val="fr-FR"/>
        </w:rPr>
        <w:t xml:space="preserve">requérant </w:t>
      </w:r>
      <w:r w:rsidR="00065D05" w:rsidRPr="0070292F">
        <w:rPr>
          <w:lang w:val="fr-FR"/>
        </w:rPr>
        <w:t>alléguait</w:t>
      </w:r>
      <w:r w:rsidRPr="0070292F">
        <w:rPr>
          <w:lang w:val="fr-FR"/>
        </w:rPr>
        <w:t xml:space="preserve"> que l</w:t>
      </w:r>
      <w:r w:rsidR="0070292F" w:rsidRPr="0070292F">
        <w:rPr>
          <w:lang w:val="fr-FR"/>
        </w:rPr>
        <w:t>’</w:t>
      </w:r>
      <w:r w:rsidRPr="0070292F">
        <w:rPr>
          <w:lang w:val="fr-FR"/>
        </w:rPr>
        <w:t xml:space="preserve">obligation </w:t>
      </w:r>
      <w:r w:rsidR="000330B7" w:rsidRPr="0070292F">
        <w:rPr>
          <w:lang w:val="fr-FR"/>
        </w:rPr>
        <w:t xml:space="preserve">pour lui </w:t>
      </w:r>
      <w:r w:rsidRPr="0070292F">
        <w:rPr>
          <w:lang w:val="fr-FR"/>
        </w:rPr>
        <w:t>de résider dans la commune de Force constituait une privation de liberté.</w:t>
      </w:r>
      <w:r w:rsidRPr="0070292F">
        <w:rPr>
          <w:rFonts w:eastAsia="Calibri"/>
          <w:lang w:val="fr-FR"/>
        </w:rPr>
        <w:t xml:space="preserve"> </w:t>
      </w:r>
      <w:r w:rsidR="00EB2E91" w:rsidRPr="0070292F">
        <w:rPr>
          <w:rFonts w:eastAsia="Calibri"/>
          <w:lang w:val="fr-FR"/>
        </w:rPr>
        <w:t>Pour rejeter</w:t>
      </w:r>
      <w:r w:rsidR="00F85757" w:rsidRPr="0070292F">
        <w:rPr>
          <w:rFonts w:eastAsia="Calibri"/>
          <w:lang w:val="fr-FR"/>
        </w:rPr>
        <w:t xml:space="preserve"> le grief du requérant, </w:t>
      </w:r>
      <w:r w:rsidR="00F85757" w:rsidRPr="0070292F">
        <w:rPr>
          <w:lang w:val="fr-FR"/>
        </w:rPr>
        <w:t>l</w:t>
      </w:r>
      <w:r w:rsidRPr="0070292F">
        <w:rPr>
          <w:lang w:val="fr-FR"/>
        </w:rPr>
        <w:t>a</w:t>
      </w:r>
      <w:r w:rsidR="0057263E" w:rsidRPr="0070292F">
        <w:rPr>
          <w:lang w:val="fr-FR"/>
        </w:rPr>
        <w:t xml:space="preserve"> </w:t>
      </w:r>
      <w:r w:rsidR="003C1DAE" w:rsidRPr="0070292F">
        <w:rPr>
          <w:lang w:val="fr-FR"/>
        </w:rPr>
        <w:t xml:space="preserve">Commission </w:t>
      </w:r>
      <w:r w:rsidRPr="0070292F">
        <w:rPr>
          <w:lang w:val="fr-FR"/>
        </w:rPr>
        <w:t>conclut que</w:t>
      </w:r>
      <w:r w:rsidR="00F85757" w:rsidRPr="0070292F">
        <w:rPr>
          <w:lang w:val="fr-FR"/>
        </w:rPr>
        <w:t xml:space="preserve"> </w:t>
      </w:r>
      <w:r w:rsidRPr="0070292F">
        <w:rPr>
          <w:lang w:val="fr-FR"/>
        </w:rPr>
        <w:t>les conditions d</w:t>
      </w:r>
      <w:r w:rsidR="0070292F" w:rsidRPr="0070292F">
        <w:rPr>
          <w:lang w:val="fr-FR"/>
        </w:rPr>
        <w:t>’</w:t>
      </w:r>
      <w:r w:rsidRPr="0070292F">
        <w:rPr>
          <w:lang w:val="fr-FR"/>
        </w:rPr>
        <w:t>exécution de la mesure d</w:t>
      </w:r>
      <w:r w:rsidR="0070292F" w:rsidRPr="0070292F">
        <w:rPr>
          <w:lang w:val="fr-FR"/>
        </w:rPr>
        <w:t>’</w:t>
      </w:r>
      <w:r w:rsidRPr="0070292F">
        <w:rPr>
          <w:lang w:val="fr-FR"/>
        </w:rPr>
        <w:t xml:space="preserve">assignation </w:t>
      </w:r>
      <w:r w:rsidR="0094426C" w:rsidRPr="0070292F">
        <w:rPr>
          <w:lang w:val="fr-FR"/>
        </w:rPr>
        <w:t>à</w:t>
      </w:r>
      <w:r w:rsidRPr="0070292F">
        <w:rPr>
          <w:lang w:val="fr-FR"/>
        </w:rPr>
        <w:t xml:space="preserve"> résidence appliquée </w:t>
      </w:r>
      <w:r w:rsidR="00065D05" w:rsidRPr="0070292F">
        <w:rPr>
          <w:lang w:val="fr-FR"/>
        </w:rPr>
        <w:t>à l</w:t>
      </w:r>
      <w:r w:rsidR="0070292F" w:rsidRPr="0070292F">
        <w:rPr>
          <w:lang w:val="fr-FR"/>
        </w:rPr>
        <w:t>’</w:t>
      </w:r>
      <w:r w:rsidR="00065D05" w:rsidRPr="0070292F">
        <w:rPr>
          <w:lang w:val="fr-FR"/>
        </w:rPr>
        <w:t>intéressé</w:t>
      </w:r>
      <w:r w:rsidRPr="0070292F">
        <w:rPr>
          <w:lang w:val="fr-FR"/>
        </w:rPr>
        <w:t xml:space="preserve">, ainsi que les obligations </w:t>
      </w:r>
      <w:r w:rsidR="00065D05" w:rsidRPr="0070292F">
        <w:rPr>
          <w:lang w:val="fr-FR"/>
        </w:rPr>
        <w:t>associées</w:t>
      </w:r>
      <w:r w:rsidR="000330B7" w:rsidRPr="0070292F">
        <w:rPr>
          <w:lang w:val="fr-FR"/>
        </w:rPr>
        <w:t>,</w:t>
      </w:r>
      <w:r w:rsidRPr="0070292F">
        <w:rPr>
          <w:lang w:val="fr-FR"/>
        </w:rPr>
        <w:t xml:space="preserve"> ne comportaient aucune privation de liberté</w:t>
      </w:r>
      <w:r w:rsidR="005F2526" w:rsidRPr="0070292F">
        <w:rPr>
          <w:lang w:val="fr-FR"/>
        </w:rPr>
        <w:t xml:space="preserve"> au sens de l</w:t>
      </w:r>
      <w:r w:rsidR="0070292F" w:rsidRPr="0070292F">
        <w:rPr>
          <w:lang w:val="fr-FR"/>
        </w:rPr>
        <w:t>’</w:t>
      </w:r>
      <w:r w:rsidR="005F2526" w:rsidRPr="0070292F">
        <w:rPr>
          <w:lang w:val="fr-FR"/>
        </w:rPr>
        <w:t>article 5 de la Convention</w:t>
      </w:r>
      <w:r w:rsidRPr="0070292F">
        <w:rPr>
          <w:lang w:val="fr-FR"/>
        </w:rPr>
        <w:t xml:space="preserve"> mais des restrictions à la liberté du requérant de circuler et de choisir sa résidence.</w:t>
      </w:r>
    </w:p>
    <w:p w:rsidR="00261626" w:rsidRPr="0070292F" w:rsidRDefault="00302799" w:rsidP="0070292F">
      <w:pPr>
        <w:pStyle w:val="ECHRPara"/>
        <w:rPr>
          <w:lang w:val="fr-FR"/>
        </w:rPr>
      </w:pPr>
      <w:r w:rsidRPr="0070292F">
        <w:fldChar w:fldCharType="begin"/>
      </w:r>
      <w:r w:rsidRPr="0070292F">
        <w:rPr>
          <w:lang w:val="fr-FR"/>
        </w:rPr>
        <w:instrText xml:space="preserve"> SEQ level0 \*arabic </w:instrText>
      </w:r>
      <w:r w:rsidRPr="0070292F">
        <w:fldChar w:fldCharType="separate"/>
      </w:r>
      <w:r w:rsidR="0070292F" w:rsidRPr="0070292F">
        <w:rPr>
          <w:noProof/>
          <w:lang w:val="fr-FR"/>
        </w:rPr>
        <w:t>83</w:t>
      </w:r>
      <w:r w:rsidRPr="0070292F">
        <w:fldChar w:fldCharType="end"/>
      </w:r>
      <w:r w:rsidR="00277E54" w:rsidRPr="0070292F">
        <w:rPr>
          <w:lang w:val="fr-FR"/>
        </w:rPr>
        <w:t>.  </w:t>
      </w:r>
      <w:r w:rsidR="00261626" w:rsidRPr="0070292F">
        <w:rPr>
          <w:lang w:val="fr-FR"/>
        </w:rPr>
        <w:t>Par la suite, dans une autre affaire</w:t>
      </w:r>
      <w:r w:rsidR="00F85757" w:rsidRPr="0070292F">
        <w:rPr>
          <w:lang w:val="fr-FR"/>
        </w:rPr>
        <w:t xml:space="preserve"> </w:t>
      </w:r>
      <w:r w:rsidR="00CB6C48" w:rsidRPr="0070292F">
        <w:rPr>
          <w:lang w:val="fr-FR"/>
        </w:rPr>
        <w:t>introduite par le même requérant</w:t>
      </w:r>
      <w:r w:rsidR="00065D05" w:rsidRPr="0070292F">
        <w:rPr>
          <w:lang w:val="fr-FR"/>
        </w:rPr>
        <w:t>, la Cour</w:t>
      </w:r>
      <w:r w:rsidR="00CB6C48" w:rsidRPr="0070292F">
        <w:rPr>
          <w:lang w:val="fr-FR"/>
        </w:rPr>
        <w:t xml:space="preserve"> renvoy</w:t>
      </w:r>
      <w:r w:rsidR="00065D05" w:rsidRPr="0070292F">
        <w:rPr>
          <w:lang w:val="fr-FR"/>
        </w:rPr>
        <w:t>a</w:t>
      </w:r>
      <w:r w:rsidR="00CB6C48" w:rsidRPr="0070292F">
        <w:rPr>
          <w:lang w:val="fr-FR"/>
        </w:rPr>
        <w:t xml:space="preserve"> à la décision susmentionnée de la Commission pour souligner que la surveillance spéciale avec assignation à résidence dans une commune donnée ne tomb</w:t>
      </w:r>
      <w:r w:rsidR="00065D05" w:rsidRPr="0070292F">
        <w:rPr>
          <w:lang w:val="fr-FR"/>
        </w:rPr>
        <w:t>ait</w:t>
      </w:r>
      <w:r w:rsidR="00CB6C48" w:rsidRPr="0070292F">
        <w:rPr>
          <w:lang w:val="fr-FR"/>
        </w:rPr>
        <w:t xml:space="preserve"> pas en elle-même sous le coup de l</w:t>
      </w:r>
      <w:r w:rsidR="0070292F" w:rsidRPr="0070292F">
        <w:rPr>
          <w:lang w:val="fr-FR"/>
        </w:rPr>
        <w:t>’</w:t>
      </w:r>
      <w:r w:rsidR="00CB6C48" w:rsidRPr="0070292F">
        <w:rPr>
          <w:lang w:val="fr-FR"/>
        </w:rPr>
        <w:t>article 5 (</w:t>
      </w:r>
      <w:r w:rsidR="00CB6C48" w:rsidRPr="0070292F">
        <w:rPr>
          <w:i/>
          <w:lang w:val="fr-FR"/>
        </w:rPr>
        <w:t>Guzzardi</w:t>
      </w:r>
      <w:r w:rsidR="00CB6C48" w:rsidRPr="0070292F">
        <w:rPr>
          <w:lang w:val="fr-FR"/>
        </w:rPr>
        <w:t xml:space="preserve">, </w:t>
      </w:r>
      <w:r w:rsidR="000330B7" w:rsidRPr="0070292F">
        <w:rPr>
          <w:lang w:val="fr-FR"/>
        </w:rPr>
        <w:t xml:space="preserve">arrêt </w:t>
      </w:r>
      <w:r w:rsidR="00CB6C48" w:rsidRPr="0070292F">
        <w:rPr>
          <w:lang w:val="fr-FR"/>
        </w:rPr>
        <w:t>précité</w:t>
      </w:r>
      <w:r w:rsidR="00065D05" w:rsidRPr="0070292F">
        <w:rPr>
          <w:lang w:val="fr-FR"/>
        </w:rPr>
        <w:t>,</w:t>
      </w:r>
      <w:r w:rsidR="00CB6C48" w:rsidRPr="0070292F">
        <w:rPr>
          <w:lang w:val="fr-FR"/>
        </w:rPr>
        <w:t xml:space="preserve"> § 94). </w:t>
      </w:r>
      <w:r w:rsidR="00065D05" w:rsidRPr="0070292F">
        <w:rPr>
          <w:lang w:val="fr-FR"/>
        </w:rPr>
        <w:t xml:space="preserve">Elle </w:t>
      </w:r>
      <w:r w:rsidR="00FA36A5" w:rsidRPr="0070292F">
        <w:rPr>
          <w:lang w:val="fr-FR"/>
        </w:rPr>
        <w:t>conclu</w:t>
      </w:r>
      <w:r w:rsidR="00065D05" w:rsidRPr="0070292F">
        <w:rPr>
          <w:lang w:val="fr-FR"/>
        </w:rPr>
        <w:t>t toutefois</w:t>
      </w:r>
      <w:r w:rsidR="00FA36A5" w:rsidRPr="0070292F">
        <w:rPr>
          <w:lang w:val="fr-FR"/>
        </w:rPr>
        <w:t>,</w:t>
      </w:r>
      <w:r w:rsidR="00CB6C48" w:rsidRPr="0070292F">
        <w:rPr>
          <w:lang w:val="fr-FR"/>
        </w:rPr>
        <w:t xml:space="preserve"> </w:t>
      </w:r>
      <w:r w:rsidR="00F85757" w:rsidRPr="0070292F">
        <w:rPr>
          <w:lang w:val="fr-FR"/>
        </w:rPr>
        <w:t>en</w:t>
      </w:r>
      <w:r w:rsidR="00261626" w:rsidRPr="0070292F">
        <w:rPr>
          <w:lang w:val="fr-FR"/>
        </w:rPr>
        <w:t xml:space="preserve"> raison des circonstances particulières de l</w:t>
      </w:r>
      <w:r w:rsidR="0070292F" w:rsidRPr="0070292F">
        <w:rPr>
          <w:lang w:val="fr-FR"/>
        </w:rPr>
        <w:t>’</w:t>
      </w:r>
      <w:r w:rsidR="00261626" w:rsidRPr="0070292F">
        <w:rPr>
          <w:lang w:val="fr-FR"/>
        </w:rPr>
        <w:t>affaire</w:t>
      </w:r>
      <w:r w:rsidR="00CB6C48" w:rsidRPr="0070292F">
        <w:rPr>
          <w:lang w:val="fr-FR"/>
        </w:rPr>
        <w:t>,</w:t>
      </w:r>
      <w:r w:rsidR="00261626" w:rsidRPr="0070292F">
        <w:rPr>
          <w:lang w:val="fr-FR"/>
        </w:rPr>
        <w:t xml:space="preserve"> que </w:t>
      </w:r>
      <w:r w:rsidR="000330B7" w:rsidRPr="0070292F">
        <w:rPr>
          <w:lang w:val="fr-FR"/>
        </w:rPr>
        <w:t>l</w:t>
      </w:r>
      <w:r w:rsidR="0070292F" w:rsidRPr="0070292F">
        <w:rPr>
          <w:lang w:val="fr-FR"/>
        </w:rPr>
        <w:t>’</w:t>
      </w:r>
      <w:r w:rsidR="000330B7" w:rsidRPr="0070292F">
        <w:rPr>
          <w:lang w:val="fr-FR"/>
        </w:rPr>
        <w:t>intéressé</w:t>
      </w:r>
      <w:r w:rsidR="00261626" w:rsidRPr="0070292F">
        <w:rPr>
          <w:lang w:val="fr-FR"/>
        </w:rPr>
        <w:t xml:space="preserve"> avait été « privé de sa liberté » au sens de l</w:t>
      </w:r>
      <w:r w:rsidR="0070292F" w:rsidRPr="0070292F">
        <w:rPr>
          <w:lang w:val="fr-FR"/>
        </w:rPr>
        <w:t>’</w:t>
      </w:r>
      <w:r w:rsidR="00261626" w:rsidRPr="0070292F">
        <w:rPr>
          <w:lang w:val="fr-FR"/>
        </w:rPr>
        <w:t>article 5 et qu</w:t>
      </w:r>
      <w:r w:rsidR="0070292F" w:rsidRPr="0070292F">
        <w:rPr>
          <w:lang w:val="fr-FR"/>
        </w:rPr>
        <w:t>’</w:t>
      </w:r>
      <w:r w:rsidR="00261626" w:rsidRPr="0070292F">
        <w:rPr>
          <w:lang w:val="fr-FR"/>
        </w:rPr>
        <w:t xml:space="preserve">il pouvait dès lors se prévaloir des </w:t>
      </w:r>
      <w:r w:rsidR="00261626" w:rsidRPr="0070292F">
        <w:rPr>
          <w:lang w:val="fr-FR"/>
        </w:rPr>
        <w:lastRenderedPageBreak/>
        <w:t>garanties découlant de cette disposition.</w:t>
      </w:r>
      <w:r w:rsidR="00F85757" w:rsidRPr="0070292F">
        <w:rPr>
          <w:lang w:val="fr-FR"/>
        </w:rPr>
        <w:t xml:space="preserve"> En effet, </w:t>
      </w:r>
      <w:r w:rsidR="00414043" w:rsidRPr="0070292F">
        <w:rPr>
          <w:lang w:val="fr-FR"/>
        </w:rPr>
        <w:t>soupçonné</w:t>
      </w:r>
      <w:r w:rsidR="00F85757" w:rsidRPr="0070292F">
        <w:rPr>
          <w:lang w:val="fr-FR"/>
        </w:rPr>
        <w:t xml:space="preserve"> d</w:t>
      </w:r>
      <w:r w:rsidR="0070292F" w:rsidRPr="0070292F">
        <w:rPr>
          <w:lang w:val="fr-FR"/>
        </w:rPr>
        <w:t>’</w:t>
      </w:r>
      <w:r w:rsidR="00F85757" w:rsidRPr="0070292F">
        <w:rPr>
          <w:lang w:val="fr-FR"/>
        </w:rPr>
        <w:t>appartenir à u</w:t>
      </w:r>
      <w:r w:rsidR="00EB2E91" w:rsidRPr="0070292F">
        <w:rPr>
          <w:lang w:val="fr-FR"/>
        </w:rPr>
        <w:t xml:space="preserve">n clan mafieux, </w:t>
      </w:r>
      <w:r w:rsidR="00065D05" w:rsidRPr="0070292F">
        <w:rPr>
          <w:lang w:val="fr-FR"/>
        </w:rPr>
        <w:t xml:space="preserve">le requérant avait été </w:t>
      </w:r>
      <w:r w:rsidR="00EB2E91" w:rsidRPr="0070292F">
        <w:rPr>
          <w:lang w:val="fr-FR"/>
        </w:rPr>
        <w:t>contraint</w:t>
      </w:r>
      <w:r w:rsidR="00F85757" w:rsidRPr="0070292F">
        <w:rPr>
          <w:lang w:val="fr-FR"/>
        </w:rPr>
        <w:t xml:space="preserve"> de vivre sur une île dans une zone – non clôturée – de 2,5 kilomètres carrés, en compagnie essentiellement de personnes se trouvant dans une situation semblable ainsi que </w:t>
      </w:r>
      <w:r w:rsidR="00065D05" w:rsidRPr="0070292F">
        <w:rPr>
          <w:lang w:val="fr-FR"/>
        </w:rPr>
        <w:t xml:space="preserve">de </w:t>
      </w:r>
      <w:r w:rsidR="00F85757" w:rsidRPr="0070292F">
        <w:rPr>
          <w:lang w:val="fr-FR"/>
        </w:rPr>
        <w:t xml:space="preserve">personnel </w:t>
      </w:r>
      <w:r w:rsidR="000330B7" w:rsidRPr="0070292F">
        <w:rPr>
          <w:lang w:val="fr-FR"/>
        </w:rPr>
        <w:t>de</w:t>
      </w:r>
      <w:r w:rsidR="00F85757" w:rsidRPr="0070292F">
        <w:rPr>
          <w:lang w:val="fr-FR"/>
        </w:rPr>
        <w:t xml:space="preserve"> surveillance. L</w:t>
      </w:r>
      <w:r w:rsidR="0070292F" w:rsidRPr="0070292F">
        <w:rPr>
          <w:lang w:val="fr-FR"/>
        </w:rPr>
        <w:t>’</w:t>
      </w:r>
      <w:r w:rsidR="00F85757" w:rsidRPr="0070292F">
        <w:rPr>
          <w:lang w:val="fr-FR"/>
        </w:rPr>
        <w:t>obligation de vivre sur l</w:t>
      </w:r>
      <w:r w:rsidR="0070292F" w:rsidRPr="0070292F">
        <w:rPr>
          <w:lang w:val="fr-FR"/>
        </w:rPr>
        <w:t>’</w:t>
      </w:r>
      <w:r w:rsidR="00F85757" w:rsidRPr="0070292F">
        <w:rPr>
          <w:lang w:val="fr-FR"/>
        </w:rPr>
        <w:t xml:space="preserve">île </w:t>
      </w:r>
      <w:r w:rsidR="00065D05" w:rsidRPr="0070292F">
        <w:rPr>
          <w:lang w:val="fr-FR"/>
        </w:rPr>
        <w:t xml:space="preserve">avait été </w:t>
      </w:r>
      <w:r w:rsidR="00F85757" w:rsidRPr="0070292F">
        <w:rPr>
          <w:lang w:val="fr-FR"/>
        </w:rPr>
        <w:t>assortie d</w:t>
      </w:r>
      <w:r w:rsidR="0070292F" w:rsidRPr="0070292F">
        <w:rPr>
          <w:lang w:val="fr-FR"/>
        </w:rPr>
        <w:t>’</w:t>
      </w:r>
      <w:r w:rsidR="00F85757" w:rsidRPr="0070292F">
        <w:rPr>
          <w:lang w:val="fr-FR"/>
        </w:rPr>
        <w:t xml:space="preserve">autres restrictions </w:t>
      </w:r>
      <w:r w:rsidR="00065D05" w:rsidRPr="0070292F">
        <w:rPr>
          <w:lang w:val="fr-FR"/>
        </w:rPr>
        <w:t xml:space="preserve">comparables </w:t>
      </w:r>
      <w:r w:rsidR="00F85757" w:rsidRPr="0070292F">
        <w:rPr>
          <w:lang w:val="fr-FR"/>
        </w:rPr>
        <w:t xml:space="preserve">aux mesures imposées à M. </w:t>
      </w:r>
      <w:r w:rsidR="00065D05" w:rsidRPr="0070292F">
        <w:rPr>
          <w:lang w:val="fr-FR"/>
        </w:rPr>
        <w:t xml:space="preserve">de </w:t>
      </w:r>
      <w:r w:rsidR="00F85757" w:rsidRPr="0070292F">
        <w:rPr>
          <w:lang w:val="fr-FR"/>
        </w:rPr>
        <w:t>Tommaso. La Cour attach</w:t>
      </w:r>
      <w:r w:rsidR="00E74812" w:rsidRPr="0070292F">
        <w:rPr>
          <w:lang w:val="fr-FR"/>
        </w:rPr>
        <w:t xml:space="preserve">a </w:t>
      </w:r>
      <w:r w:rsidR="00F85757" w:rsidRPr="0070292F">
        <w:rPr>
          <w:lang w:val="fr-FR"/>
        </w:rPr>
        <w:t>une importance particulière à l</w:t>
      </w:r>
      <w:r w:rsidR="0070292F" w:rsidRPr="0070292F">
        <w:rPr>
          <w:lang w:val="fr-FR"/>
        </w:rPr>
        <w:t>’</w:t>
      </w:r>
      <w:r w:rsidR="00F85757" w:rsidRPr="0070292F">
        <w:rPr>
          <w:lang w:val="fr-FR"/>
        </w:rPr>
        <w:t xml:space="preserve">exiguïté de la zone où le requérant </w:t>
      </w:r>
      <w:r w:rsidR="00E74812" w:rsidRPr="0070292F">
        <w:rPr>
          <w:lang w:val="fr-FR"/>
        </w:rPr>
        <w:t xml:space="preserve">était </w:t>
      </w:r>
      <w:r w:rsidR="00F85757" w:rsidRPr="0070292F">
        <w:rPr>
          <w:lang w:val="fr-FR"/>
        </w:rPr>
        <w:t>demeur</w:t>
      </w:r>
      <w:r w:rsidR="00E74812" w:rsidRPr="0070292F">
        <w:rPr>
          <w:lang w:val="fr-FR"/>
        </w:rPr>
        <w:t>é</w:t>
      </w:r>
      <w:r w:rsidR="00F85757" w:rsidRPr="0070292F">
        <w:rPr>
          <w:lang w:val="fr-FR"/>
        </w:rPr>
        <w:t xml:space="preserve"> confiné, à la surveillance quasi permanente exercée sur lui</w:t>
      </w:r>
      <w:r w:rsidR="006D0F68" w:rsidRPr="0070292F">
        <w:rPr>
          <w:lang w:val="fr-FR"/>
        </w:rPr>
        <w:t xml:space="preserve"> et</w:t>
      </w:r>
      <w:r w:rsidR="00F85757" w:rsidRPr="0070292F">
        <w:rPr>
          <w:lang w:val="fr-FR"/>
        </w:rPr>
        <w:t xml:space="preserve"> à l</w:t>
      </w:r>
      <w:r w:rsidR="0070292F" w:rsidRPr="0070292F">
        <w:rPr>
          <w:lang w:val="fr-FR"/>
        </w:rPr>
        <w:t>’</w:t>
      </w:r>
      <w:r w:rsidR="00F85757" w:rsidRPr="0070292F">
        <w:rPr>
          <w:lang w:val="fr-FR"/>
        </w:rPr>
        <w:t xml:space="preserve">impossibilité presque complète dans laquelle il </w:t>
      </w:r>
      <w:r w:rsidR="00E74812" w:rsidRPr="0070292F">
        <w:rPr>
          <w:lang w:val="fr-FR"/>
        </w:rPr>
        <w:t>s</w:t>
      </w:r>
      <w:r w:rsidR="0070292F" w:rsidRPr="0070292F">
        <w:rPr>
          <w:lang w:val="fr-FR"/>
        </w:rPr>
        <w:t>’</w:t>
      </w:r>
      <w:r w:rsidR="00E74812" w:rsidRPr="0070292F">
        <w:rPr>
          <w:lang w:val="fr-FR"/>
        </w:rPr>
        <w:t>était trouvé</w:t>
      </w:r>
      <w:r w:rsidR="00F85757" w:rsidRPr="0070292F">
        <w:rPr>
          <w:lang w:val="fr-FR"/>
        </w:rPr>
        <w:t xml:space="preserve"> de nouer des contacts sociaux</w:t>
      </w:r>
      <w:r w:rsidR="009A7270" w:rsidRPr="0070292F">
        <w:rPr>
          <w:lang w:val="fr-FR"/>
        </w:rPr>
        <w:t xml:space="preserve"> (</w:t>
      </w:r>
      <w:r w:rsidR="009A7270" w:rsidRPr="0070292F">
        <w:rPr>
          <w:i/>
          <w:lang w:val="fr-FR"/>
        </w:rPr>
        <w:t>Guzzardi</w:t>
      </w:r>
      <w:r w:rsidR="009A7270" w:rsidRPr="0070292F">
        <w:rPr>
          <w:lang w:val="fr-FR"/>
        </w:rPr>
        <w:t xml:space="preserve">, précité, </w:t>
      </w:r>
      <w:r w:rsidR="009A7270" w:rsidRPr="0070292F">
        <w:rPr>
          <w:rFonts w:cstheme="minorHAnsi"/>
          <w:lang w:val="fr-FR"/>
        </w:rPr>
        <w:t>§</w:t>
      </w:r>
      <w:r w:rsidR="00EB2E91" w:rsidRPr="0070292F">
        <w:rPr>
          <w:lang w:val="fr-FR"/>
        </w:rPr>
        <w:t> </w:t>
      </w:r>
      <w:r w:rsidR="009A7270" w:rsidRPr="0070292F">
        <w:rPr>
          <w:lang w:val="fr-FR"/>
        </w:rPr>
        <w:t>95)</w:t>
      </w:r>
      <w:r w:rsidR="00F85757" w:rsidRPr="0070292F">
        <w:rPr>
          <w:lang w:val="fr-FR"/>
        </w:rPr>
        <w:t>.</w:t>
      </w:r>
    </w:p>
    <w:bookmarkStart w:id="32" w:name="para78"/>
    <w:p w:rsidR="00E0163E" w:rsidRPr="0070292F" w:rsidRDefault="005F76D6" w:rsidP="0070292F">
      <w:pPr>
        <w:pStyle w:val="ECHRPara"/>
        <w:rPr>
          <w:lang w:val="fr-FR"/>
        </w:rPr>
      </w:pPr>
      <w:r w:rsidRPr="0070292F">
        <w:fldChar w:fldCharType="begin"/>
      </w:r>
      <w:r w:rsidRPr="0070292F">
        <w:rPr>
          <w:lang w:val="fr-FR"/>
        </w:rPr>
        <w:instrText xml:space="preserve"> SEQ level0 \*arabic </w:instrText>
      </w:r>
      <w:r w:rsidRPr="0070292F">
        <w:fldChar w:fldCharType="separate"/>
      </w:r>
      <w:r w:rsidR="0070292F" w:rsidRPr="0070292F">
        <w:rPr>
          <w:noProof/>
          <w:lang w:val="fr-FR"/>
        </w:rPr>
        <w:t>84</w:t>
      </w:r>
      <w:r w:rsidRPr="0070292F">
        <w:fldChar w:fldCharType="end"/>
      </w:r>
      <w:bookmarkEnd w:id="32"/>
      <w:r w:rsidR="003D57C0" w:rsidRPr="0070292F">
        <w:rPr>
          <w:lang w:val="fr-FR"/>
        </w:rPr>
        <w:t>.  La C</w:t>
      </w:r>
      <w:r w:rsidRPr="0070292F">
        <w:rPr>
          <w:lang w:val="fr-FR"/>
        </w:rPr>
        <w:t>our note que</w:t>
      </w:r>
      <w:r w:rsidR="001A7998" w:rsidRPr="0070292F">
        <w:rPr>
          <w:lang w:val="fr-FR"/>
        </w:rPr>
        <w:t>,</w:t>
      </w:r>
      <w:r w:rsidRPr="0070292F">
        <w:rPr>
          <w:lang w:val="fr-FR"/>
        </w:rPr>
        <w:t xml:space="preserve"> depuis l</w:t>
      </w:r>
      <w:r w:rsidR="0070292F" w:rsidRPr="0070292F">
        <w:rPr>
          <w:lang w:val="fr-FR"/>
        </w:rPr>
        <w:t>’</w:t>
      </w:r>
      <w:r w:rsidRPr="0070292F">
        <w:rPr>
          <w:lang w:val="fr-FR"/>
        </w:rPr>
        <w:t xml:space="preserve">affaire </w:t>
      </w:r>
      <w:r w:rsidRPr="0070292F">
        <w:rPr>
          <w:i/>
          <w:lang w:val="fr-FR"/>
        </w:rPr>
        <w:t>Guzzardi</w:t>
      </w:r>
      <w:r w:rsidR="003D57C0" w:rsidRPr="0070292F">
        <w:rPr>
          <w:lang w:val="fr-FR"/>
        </w:rPr>
        <w:t xml:space="preserve">, </w:t>
      </w:r>
      <w:r w:rsidR="00742300" w:rsidRPr="0070292F">
        <w:rPr>
          <w:lang w:val="fr-FR"/>
        </w:rPr>
        <w:t>elle</w:t>
      </w:r>
      <w:r w:rsidR="0068695A" w:rsidRPr="0070292F">
        <w:rPr>
          <w:lang w:val="fr-FR"/>
        </w:rPr>
        <w:t xml:space="preserve"> </w:t>
      </w:r>
      <w:r w:rsidR="00742300" w:rsidRPr="0070292F">
        <w:rPr>
          <w:lang w:val="fr-FR"/>
        </w:rPr>
        <w:t xml:space="preserve">a examiné dans plusieurs affaires </w:t>
      </w:r>
      <w:r w:rsidR="00742300" w:rsidRPr="0070292F">
        <w:rPr>
          <w:rFonts w:ascii="Arial" w:eastAsiaTheme="minorHAnsi" w:hAnsi="Arial" w:cs="Arial"/>
          <w:i/>
          <w:szCs w:val="24"/>
          <w:lang w:val="fr-FR"/>
        </w:rPr>
        <w:t>(</w:t>
      </w:r>
      <w:r w:rsidR="00742300" w:rsidRPr="0070292F">
        <w:rPr>
          <w:i/>
          <w:lang w:val="fr-FR"/>
        </w:rPr>
        <w:t>Raimondo</w:t>
      </w:r>
      <w:r w:rsidR="00742300" w:rsidRPr="0070292F">
        <w:rPr>
          <w:lang w:val="fr-FR"/>
        </w:rPr>
        <w:t>, précité, § 39</w:t>
      </w:r>
      <w:r w:rsidR="00E74812" w:rsidRPr="0070292F">
        <w:rPr>
          <w:lang w:val="fr-FR"/>
        </w:rPr>
        <w:t xml:space="preserve">, </w:t>
      </w:r>
      <w:r w:rsidR="00742300" w:rsidRPr="0070292F">
        <w:rPr>
          <w:i/>
          <w:lang w:val="fr-FR"/>
        </w:rPr>
        <w:t>Labita c. Italie</w:t>
      </w:r>
      <w:r w:rsidR="00742300" w:rsidRPr="0070292F">
        <w:rPr>
          <w:lang w:val="fr-FR"/>
        </w:rPr>
        <w:t xml:space="preserve"> [GC], n</w:t>
      </w:r>
      <w:r w:rsidR="008C1E94" w:rsidRPr="0070292F">
        <w:rPr>
          <w:vertAlign w:val="superscript"/>
          <w:lang w:val="fr-FR"/>
        </w:rPr>
        <w:t>o</w:t>
      </w:r>
      <w:r w:rsidR="00742300" w:rsidRPr="0070292F">
        <w:rPr>
          <w:lang w:val="fr-FR"/>
        </w:rPr>
        <w:t> 26772/95, § 193, CEDH 2000</w:t>
      </w:r>
      <w:r w:rsidR="00742300" w:rsidRPr="0070292F">
        <w:rPr>
          <w:lang w:val="fr-FR"/>
        </w:rPr>
        <w:noBreakHyphen/>
        <w:t>IV</w:t>
      </w:r>
      <w:r w:rsidR="00E74812" w:rsidRPr="0070292F">
        <w:rPr>
          <w:lang w:val="fr-FR"/>
        </w:rPr>
        <w:t xml:space="preserve">, </w:t>
      </w:r>
      <w:r w:rsidR="00742300" w:rsidRPr="0070292F">
        <w:rPr>
          <w:i/>
          <w:lang w:val="fr-FR"/>
        </w:rPr>
        <w:t>Vito Sante Santoro c. Italie</w:t>
      </w:r>
      <w:r w:rsidR="00742300" w:rsidRPr="0070292F">
        <w:rPr>
          <w:lang w:val="fr-FR"/>
        </w:rPr>
        <w:t>, n</w:t>
      </w:r>
      <w:r w:rsidR="008C1E94" w:rsidRPr="0070292F">
        <w:rPr>
          <w:vertAlign w:val="superscript"/>
          <w:lang w:val="fr-FR"/>
        </w:rPr>
        <w:t>o</w:t>
      </w:r>
      <w:r w:rsidR="00E74812" w:rsidRPr="0070292F">
        <w:rPr>
          <w:lang w:val="fr-FR"/>
        </w:rPr>
        <w:t> </w:t>
      </w:r>
      <w:r w:rsidR="00742300" w:rsidRPr="0070292F">
        <w:rPr>
          <w:lang w:val="fr-FR"/>
        </w:rPr>
        <w:t>36681/97,</w:t>
      </w:r>
      <w:r w:rsidR="00FC5DC6" w:rsidRPr="0070292F">
        <w:rPr>
          <w:lang w:val="fr-FR"/>
        </w:rPr>
        <w:t xml:space="preserve"> </w:t>
      </w:r>
      <w:r w:rsidR="00742300" w:rsidRPr="0070292F">
        <w:rPr>
          <w:lang w:val="fr-FR"/>
        </w:rPr>
        <w:t>§ 37, CEDH 2004</w:t>
      </w:r>
      <w:r w:rsidR="00742300" w:rsidRPr="0070292F">
        <w:rPr>
          <w:lang w:val="fr-FR"/>
        </w:rPr>
        <w:noBreakHyphen/>
        <w:t>VI</w:t>
      </w:r>
      <w:r w:rsidR="00E74812" w:rsidRPr="0070292F">
        <w:rPr>
          <w:lang w:val="fr-FR"/>
        </w:rPr>
        <w:t> ; voir aussi</w:t>
      </w:r>
      <w:r w:rsidR="00742300" w:rsidRPr="0070292F">
        <w:rPr>
          <w:lang w:val="fr-FR"/>
        </w:rPr>
        <w:t xml:space="preserve">, </w:t>
      </w:r>
      <w:r w:rsidR="00742300" w:rsidRPr="0070292F">
        <w:rPr>
          <w:i/>
          <w:lang w:val="fr-FR"/>
        </w:rPr>
        <w:t>mutatis mutandis</w:t>
      </w:r>
      <w:r w:rsidR="00742300" w:rsidRPr="0070292F">
        <w:rPr>
          <w:lang w:val="fr-FR"/>
        </w:rPr>
        <w:t xml:space="preserve">, </w:t>
      </w:r>
      <w:r w:rsidR="00742300" w:rsidRPr="0070292F">
        <w:rPr>
          <w:i/>
          <w:lang w:val="fr-FR"/>
        </w:rPr>
        <w:t>Villa</w:t>
      </w:r>
      <w:r w:rsidR="00742300" w:rsidRPr="0070292F">
        <w:rPr>
          <w:lang w:val="fr-FR"/>
        </w:rPr>
        <w:t xml:space="preserve">, précité, §§ 43-44, et </w:t>
      </w:r>
      <w:r w:rsidR="00742300" w:rsidRPr="0070292F">
        <w:rPr>
          <w:i/>
          <w:lang w:val="fr-FR"/>
        </w:rPr>
        <w:t>Monno</w:t>
      </w:r>
      <w:r w:rsidR="00742300" w:rsidRPr="0070292F">
        <w:rPr>
          <w:lang w:val="fr-FR"/>
        </w:rPr>
        <w:t xml:space="preserve">, </w:t>
      </w:r>
      <w:r w:rsidR="00E74812" w:rsidRPr="0070292F">
        <w:rPr>
          <w:lang w:val="fr-FR"/>
        </w:rPr>
        <w:t xml:space="preserve">décision </w:t>
      </w:r>
      <w:r w:rsidR="00742300" w:rsidRPr="0070292F">
        <w:rPr>
          <w:lang w:val="fr-FR"/>
        </w:rPr>
        <w:t>précité</w:t>
      </w:r>
      <w:r w:rsidR="000330B7" w:rsidRPr="0070292F">
        <w:rPr>
          <w:lang w:val="fr-FR"/>
        </w:rPr>
        <w:t>e</w:t>
      </w:r>
      <w:r w:rsidR="00742300" w:rsidRPr="0070292F">
        <w:rPr>
          <w:lang w:val="fr-FR"/>
        </w:rPr>
        <w:t xml:space="preserve">, §§ 22-23) </w:t>
      </w:r>
      <w:r w:rsidR="00D70E0D" w:rsidRPr="0070292F">
        <w:rPr>
          <w:lang w:val="fr-FR"/>
        </w:rPr>
        <w:t xml:space="preserve">la surveillance spéciale avec assignation à résidence et les autres restrictions </w:t>
      </w:r>
      <w:r w:rsidR="00E74812" w:rsidRPr="0070292F">
        <w:rPr>
          <w:lang w:val="fr-FR"/>
        </w:rPr>
        <w:t>associées</w:t>
      </w:r>
      <w:r w:rsidR="001A7998" w:rsidRPr="0070292F">
        <w:rPr>
          <w:lang w:val="fr-FR"/>
        </w:rPr>
        <w:t xml:space="preserve"> (interdiction de </w:t>
      </w:r>
      <w:r w:rsidR="00DB1871" w:rsidRPr="0070292F">
        <w:rPr>
          <w:lang w:val="fr-FR"/>
        </w:rPr>
        <w:t>sortir pendant la nuit, interdiction de s</w:t>
      </w:r>
      <w:r w:rsidR="0070292F" w:rsidRPr="0070292F">
        <w:rPr>
          <w:lang w:val="fr-FR"/>
        </w:rPr>
        <w:t>’</w:t>
      </w:r>
      <w:r w:rsidR="00DB1871" w:rsidRPr="0070292F">
        <w:rPr>
          <w:lang w:val="fr-FR"/>
        </w:rPr>
        <w:t xml:space="preserve">éloigner du lieu de résidence, interdiction </w:t>
      </w:r>
      <w:r w:rsidR="001A7998" w:rsidRPr="0070292F">
        <w:rPr>
          <w:lang w:val="fr-FR"/>
        </w:rPr>
        <w:t>de fréquenter les cafés, cabarets, salles de jeux et lieux de prostitution et de parti</w:t>
      </w:r>
      <w:r w:rsidR="00742300" w:rsidRPr="0070292F">
        <w:rPr>
          <w:lang w:val="fr-FR"/>
        </w:rPr>
        <w:t xml:space="preserve">ciper à des réunions publiques, </w:t>
      </w:r>
      <w:r w:rsidR="001A7998" w:rsidRPr="0070292F">
        <w:rPr>
          <w:lang w:val="fr-FR"/>
        </w:rPr>
        <w:t xml:space="preserve">interdiction de fréquenter des personnes ayant </w:t>
      </w:r>
      <w:r w:rsidR="00E74812" w:rsidRPr="0070292F">
        <w:rPr>
          <w:lang w:val="fr-FR"/>
        </w:rPr>
        <w:t>fait l</w:t>
      </w:r>
      <w:r w:rsidR="0070292F" w:rsidRPr="0070292F">
        <w:rPr>
          <w:lang w:val="fr-FR"/>
        </w:rPr>
        <w:t>’</w:t>
      </w:r>
      <w:r w:rsidR="00E74812" w:rsidRPr="0070292F">
        <w:rPr>
          <w:lang w:val="fr-FR"/>
        </w:rPr>
        <w:t>objet de</w:t>
      </w:r>
      <w:r w:rsidR="001A7998" w:rsidRPr="0070292F">
        <w:rPr>
          <w:lang w:val="fr-FR"/>
        </w:rPr>
        <w:t xml:space="preserve"> condamnations et soumises à des mesures de prévention).</w:t>
      </w:r>
      <w:r w:rsidR="006C5EA5" w:rsidRPr="0070292F">
        <w:rPr>
          <w:lang w:val="fr-FR"/>
        </w:rPr>
        <w:t xml:space="preserve"> Aucune de ces affaires ne présentant des circonstances particulières comparables à celles de </w:t>
      </w:r>
      <w:r w:rsidR="00E74812" w:rsidRPr="0070292F">
        <w:rPr>
          <w:lang w:val="fr-FR"/>
        </w:rPr>
        <w:t>l</w:t>
      </w:r>
      <w:r w:rsidR="0070292F" w:rsidRPr="0070292F">
        <w:rPr>
          <w:lang w:val="fr-FR"/>
        </w:rPr>
        <w:t>’</w:t>
      </w:r>
      <w:r w:rsidR="00E74812" w:rsidRPr="0070292F">
        <w:rPr>
          <w:lang w:val="fr-FR"/>
        </w:rPr>
        <w:t xml:space="preserve">affaire </w:t>
      </w:r>
      <w:r w:rsidR="006C5EA5" w:rsidRPr="0070292F">
        <w:rPr>
          <w:i/>
          <w:lang w:val="fr-FR"/>
        </w:rPr>
        <w:t>Guzzardi</w:t>
      </w:r>
      <w:r w:rsidR="006C5EA5" w:rsidRPr="0070292F">
        <w:rPr>
          <w:lang w:val="fr-FR"/>
        </w:rPr>
        <w:t xml:space="preserve">, la Cour a examiné les mesures de prévention </w:t>
      </w:r>
      <w:r w:rsidR="00E74812" w:rsidRPr="0070292F">
        <w:rPr>
          <w:lang w:val="fr-FR"/>
        </w:rPr>
        <w:t xml:space="preserve">en question </w:t>
      </w:r>
      <w:r w:rsidR="006C5EA5" w:rsidRPr="0070292F">
        <w:rPr>
          <w:lang w:val="fr-FR"/>
        </w:rPr>
        <w:t>sous l</w:t>
      </w:r>
      <w:r w:rsidR="0070292F" w:rsidRPr="0070292F">
        <w:rPr>
          <w:lang w:val="fr-FR"/>
        </w:rPr>
        <w:t>’</w:t>
      </w:r>
      <w:r w:rsidR="006C5EA5" w:rsidRPr="0070292F">
        <w:rPr>
          <w:lang w:val="fr-FR"/>
        </w:rPr>
        <w:t>angle de l</w:t>
      </w:r>
      <w:r w:rsidR="0070292F" w:rsidRPr="0070292F">
        <w:rPr>
          <w:lang w:val="fr-FR"/>
        </w:rPr>
        <w:t>’</w:t>
      </w:r>
      <w:r w:rsidR="006C5EA5" w:rsidRPr="0070292F">
        <w:rPr>
          <w:lang w:val="fr-FR"/>
        </w:rPr>
        <w:t>article 2 du protocole n</w:t>
      </w:r>
      <w:r w:rsidR="008C1E94" w:rsidRPr="0070292F">
        <w:rPr>
          <w:vertAlign w:val="superscript"/>
          <w:lang w:val="fr-FR"/>
        </w:rPr>
        <w:t>o</w:t>
      </w:r>
      <w:r w:rsidR="006C5EA5" w:rsidRPr="0070292F">
        <w:rPr>
          <w:lang w:val="fr-FR"/>
        </w:rPr>
        <w:t> 4</w:t>
      </w:r>
      <w:r w:rsidR="00E0163E" w:rsidRPr="0070292F">
        <w:rPr>
          <w:lang w:val="fr-FR"/>
        </w:rPr>
        <w:t>.</w:t>
      </w:r>
    </w:p>
    <w:p w:rsidR="0070292F" w:rsidRPr="0070292F" w:rsidRDefault="00927FF6" w:rsidP="0070292F">
      <w:pPr>
        <w:pStyle w:val="ECHRPara"/>
        <w:rPr>
          <w:rFonts w:ascii="Times New Roman" w:eastAsia="Calibri" w:hAnsi="Times New Roman" w:cs="Times New Roman"/>
          <w:iCs/>
          <w:lang w:val="fr-FR"/>
        </w:rPr>
      </w:pPr>
      <w:r w:rsidRPr="0070292F">
        <w:rPr>
          <w:rStyle w:val="JuParaCar"/>
        </w:rPr>
        <w:fldChar w:fldCharType="begin"/>
      </w:r>
      <w:r w:rsidRPr="0070292F">
        <w:rPr>
          <w:rStyle w:val="JuParaCar"/>
          <w:lang w:val="fr-FR"/>
        </w:rPr>
        <w:instrText xml:space="preserve"> SEQ level0 \*arabic </w:instrText>
      </w:r>
      <w:r w:rsidRPr="0070292F">
        <w:rPr>
          <w:rStyle w:val="JuParaCar"/>
        </w:rPr>
        <w:fldChar w:fldCharType="separate"/>
      </w:r>
      <w:r w:rsidR="0070292F" w:rsidRPr="0070292F">
        <w:rPr>
          <w:rStyle w:val="JuParaCar"/>
          <w:noProof/>
          <w:lang w:val="fr-FR"/>
        </w:rPr>
        <w:t>85</w:t>
      </w:r>
      <w:r w:rsidRPr="0070292F">
        <w:rPr>
          <w:rStyle w:val="JuParaCar"/>
        </w:rPr>
        <w:fldChar w:fldCharType="end"/>
      </w:r>
      <w:r w:rsidRPr="0070292F">
        <w:rPr>
          <w:rStyle w:val="JuParaCar"/>
          <w:lang w:val="fr-FR"/>
        </w:rPr>
        <w:t xml:space="preserve">.  La Cour </w:t>
      </w:r>
      <w:r w:rsidR="001B01D1" w:rsidRPr="0070292F">
        <w:rPr>
          <w:rStyle w:val="JuParaCar"/>
          <w:lang w:val="fr-FR"/>
        </w:rPr>
        <w:t>relève</w:t>
      </w:r>
      <w:r w:rsidRPr="0070292F">
        <w:rPr>
          <w:rStyle w:val="JuParaCar"/>
          <w:lang w:val="fr-FR"/>
        </w:rPr>
        <w:t xml:space="preserve"> que</w:t>
      </w:r>
      <w:r w:rsidR="000330B7" w:rsidRPr="0070292F">
        <w:rPr>
          <w:rStyle w:val="JuParaCar"/>
          <w:lang w:val="fr-FR"/>
        </w:rPr>
        <w:t>,</w:t>
      </w:r>
      <w:r w:rsidRPr="0070292F">
        <w:rPr>
          <w:rStyle w:val="JuParaCar"/>
          <w:lang w:val="fr-FR"/>
        </w:rPr>
        <w:t xml:space="preserve"> dans le cas d</w:t>
      </w:r>
      <w:r w:rsidR="0070292F" w:rsidRPr="0070292F">
        <w:rPr>
          <w:rStyle w:val="JuParaCar"/>
          <w:lang w:val="fr-FR"/>
        </w:rPr>
        <w:t>’</w:t>
      </w:r>
      <w:r w:rsidRPr="0070292F">
        <w:rPr>
          <w:rStyle w:val="JuParaCar"/>
          <w:lang w:val="fr-FR"/>
        </w:rPr>
        <w:t xml:space="preserve">espèce, le requérant est soumis </w:t>
      </w:r>
      <w:r w:rsidR="00E74812" w:rsidRPr="0070292F">
        <w:rPr>
          <w:rStyle w:val="JuParaCar"/>
          <w:lang w:val="fr-FR"/>
        </w:rPr>
        <w:t>à des</w:t>
      </w:r>
      <w:r w:rsidRPr="0070292F">
        <w:rPr>
          <w:rStyle w:val="JuParaCar"/>
          <w:lang w:val="fr-FR"/>
        </w:rPr>
        <w:t xml:space="preserve"> mesures </w:t>
      </w:r>
      <w:r w:rsidR="00E74812" w:rsidRPr="0070292F">
        <w:rPr>
          <w:rStyle w:val="JuParaCar"/>
          <w:lang w:val="fr-FR"/>
        </w:rPr>
        <w:t xml:space="preserve">identiques à </w:t>
      </w:r>
      <w:r w:rsidRPr="0070292F">
        <w:rPr>
          <w:rStyle w:val="JuParaCar"/>
          <w:lang w:val="fr-FR"/>
        </w:rPr>
        <w:t>celles examinées par la Cour dan</w:t>
      </w:r>
      <w:r w:rsidR="00952EC3" w:rsidRPr="0070292F">
        <w:rPr>
          <w:rStyle w:val="JuParaCar"/>
          <w:lang w:val="fr-FR"/>
        </w:rPr>
        <w:t>s les affaires précitées et qu</w:t>
      </w:r>
      <w:r w:rsidR="00E74812" w:rsidRPr="0070292F">
        <w:rPr>
          <w:rStyle w:val="JuParaCar"/>
          <w:lang w:val="fr-FR"/>
        </w:rPr>
        <w:t xml:space="preserve">e, </w:t>
      </w:r>
      <w:r w:rsidRPr="0070292F">
        <w:rPr>
          <w:rStyle w:val="JuParaCar"/>
          <w:lang w:val="fr-FR"/>
        </w:rPr>
        <w:t xml:space="preserve">à la différence </w:t>
      </w:r>
      <w:r w:rsidR="00E74812" w:rsidRPr="0070292F">
        <w:rPr>
          <w:rStyle w:val="JuParaCar"/>
          <w:lang w:val="fr-FR"/>
        </w:rPr>
        <w:t>de l</w:t>
      </w:r>
      <w:r w:rsidR="0070292F" w:rsidRPr="0070292F">
        <w:rPr>
          <w:rStyle w:val="JuParaCar"/>
          <w:lang w:val="fr-FR"/>
        </w:rPr>
        <w:t>’</w:t>
      </w:r>
      <w:r w:rsidR="00E74812" w:rsidRPr="0070292F">
        <w:rPr>
          <w:rStyle w:val="JuParaCar"/>
          <w:lang w:val="fr-FR"/>
        </w:rPr>
        <w:t xml:space="preserve">intéressé dans </w:t>
      </w:r>
      <w:r w:rsidRPr="0070292F">
        <w:rPr>
          <w:rStyle w:val="JuParaCar"/>
          <w:lang w:val="fr-FR"/>
        </w:rPr>
        <w:t>l</w:t>
      </w:r>
      <w:r w:rsidR="0070292F" w:rsidRPr="0070292F">
        <w:rPr>
          <w:rStyle w:val="JuParaCar"/>
          <w:lang w:val="fr-FR"/>
        </w:rPr>
        <w:t>’</w:t>
      </w:r>
      <w:r w:rsidRPr="0070292F">
        <w:rPr>
          <w:rStyle w:val="JuParaCar"/>
          <w:lang w:val="fr-FR"/>
        </w:rPr>
        <w:t xml:space="preserve">affaire </w:t>
      </w:r>
      <w:r w:rsidRPr="0070292F">
        <w:rPr>
          <w:rStyle w:val="JuParaCar"/>
          <w:i/>
          <w:lang w:val="fr-FR"/>
        </w:rPr>
        <w:t>Guzzardi</w:t>
      </w:r>
      <w:r w:rsidR="00E74812" w:rsidRPr="0070292F">
        <w:rPr>
          <w:rStyle w:val="JuParaCar"/>
          <w:lang w:val="fr-FR"/>
        </w:rPr>
        <w:t xml:space="preserve">, </w:t>
      </w:r>
      <w:r w:rsidRPr="0070292F">
        <w:rPr>
          <w:rStyle w:val="JuParaCar"/>
          <w:lang w:val="fr-FR"/>
        </w:rPr>
        <w:t xml:space="preserve">le requérant </w:t>
      </w:r>
      <w:r w:rsidR="00E74812" w:rsidRPr="0070292F">
        <w:rPr>
          <w:rStyle w:val="JuParaCar"/>
          <w:lang w:val="fr-FR"/>
        </w:rPr>
        <w:t xml:space="preserve">dans la présente espèce </w:t>
      </w:r>
      <w:r w:rsidRPr="0070292F">
        <w:rPr>
          <w:rStyle w:val="JuParaCar"/>
          <w:lang w:val="fr-FR"/>
        </w:rPr>
        <w:t>n</w:t>
      </w:r>
      <w:r w:rsidR="0070292F" w:rsidRPr="0070292F">
        <w:rPr>
          <w:rStyle w:val="JuParaCar"/>
          <w:lang w:val="fr-FR"/>
        </w:rPr>
        <w:t>’</w:t>
      </w:r>
      <w:r w:rsidRPr="0070292F">
        <w:rPr>
          <w:rStyle w:val="JuParaCar"/>
          <w:lang w:val="fr-FR"/>
        </w:rPr>
        <w:t xml:space="preserve">a pas été contraint </w:t>
      </w:r>
      <w:r w:rsidR="00E74812" w:rsidRPr="0070292F">
        <w:rPr>
          <w:rFonts w:ascii="Times New Roman" w:eastAsia="Calibri" w:hAnsi="Times New Roman" w:cs="Times New Roman"/>
          <w:iCs/>
          <w:lang w:val="fr-FR"/>
        </w:rPr>
        <w:t xml:space="preserve">de </w:t>
      </w:r>
      <w:r w:rsidRPr="0070292F">
        <w:rPr>
          <w:rFonts w:ascii="Times New Roman" w:eastAsia="Calibri" w:hAnsi="Times New Roman" w:cs="Times New Roman"/>
          <w:iCs/>
          <w:lang w:val="fr-FR"/>
        </w:rPr>
        <w:t xml:space="preserve">vivre dans un endroit exigu et </w:t>
      </w:r>
      <w:r w:rsidR="00DA04FA" w:rsidRPr="0070292F">
        <w:rPr>
          <w:rFonts w:ascii="Times New Roman" w:eastAsia="Calibri" w:hAnsi="Times New Roman" w:cs="Times New Roman"/>
          <w:iCs/>
          <w:lang w:val="fr-FR"/>
        </w:rPr>
        <w:t xml:space="preserve">ne </w:t>
      </w:r>
      <w:r w:rsidR="00E74812" w:rsidRPr="0070292F">
        <w:rPr>
          <w:rFonts w:ascii="Times New Roman" w:eastAsia="Calibri" w:hAnsi="Times New Roman" w:cs="Times New Roman"/>
          <w:iCs/>
          <w:lang w:val="fr-FR"/>
        </w:rPr>
        <w:t>s</w:t>
      </w:r>
      <w:r w:rsidR="0070292F" w:rsidRPr="0070292F">
        <w:rPr>
          <w:rFonts w:ascii="Times New Roman" w:eastAsia="Calibri" w:hAnsi="Times New Roman" w:cs="Times New Roman"/>
          <w:iCs/>
          <w:lang w:val="fr-FR"/>
        </w:rPr>
        <w:t>’</w:t>
      </w:r>
      <w:r w:rsidR="00E74812" w:rsidRPr="0070292F">
        <w:rPr>
          <w:rFonts w:ascii="Times New Roman" w:eastAsia="Calibri" w:hAnsi="Times New Roman" w:cs="Times New Roman"/>
          <w:iCs/>
          <w:lang w:val="fr-FR"/>
        </w:rPr>
        <w:t>est pas trouvé</w:t>
      </w:r>
      <w:r w:rsidRPr="0070292F">
        <w:rPr>
          <w:rFonts w:ascii="Times New Roman" w:eastAsia="Calibri" w:hAnsi="Times New Roman" w:cs="Times New Roman"/>
          <w:iCs/>
          <w:lang w:val="fr-FR"/>
        </w:rPr>
        <w:t xml:space="preserve"> dans l</w:t>
      </w:r>
      <w:r w:rsidR="0070292F" w:rsidRPr="0070292F">
        <w:rPr>
          <w:rFonts w:ascii="Times New Roman" w:eastAsia="Calibri" w:hAnsi="Times New Roman" w:cs="Times New Roman"/>
          <w:iCs/>
          <w:lang w:val="fr-FR"/>
        </w:rPr>
        <w:t>’</w:t>
      </w:r>
      <w:r w:rsidRPr="0070292F">
        <w:rPr>
          <w:rFonts w:ascii="Times New Roman" w:eastAsia="Calibri" w:hAnsi="Times New Roman" w:cs="Times New Roman"/>
          <w:iCs/>
          <w:lang w:val="fr-FR"/>
        </w:rPr>
        <w:t>impossibilité de nouer de</w:t>
      </w:r>
      <w:r w:rsidR="00EB2E91" w:rsidRPr="0070292F">
        <w:rPr>
          <w:rFonts w:ascii="Times New Roman" w:eastAsia="Calibri" w:hAnsi="Times New Roman" w:cs="Times New Roman"/>
          <w:iCs/>
          <w:lang w:val="fr-FR"/>
        </w:rPr>
        <w:t>s</w:t>
      </w:r>
      <w:r w:rsidRPr="0070292F">
        <w:rPr>
          <w:rFonts w:ascii="Times New Roman" w:eastAsia="Calibri" w:hAnsi="Times New Roman" w:cs="Times New Roman"/>
          <w:iCs/>
          <w:lang w:val="fr-FR"/>
        </w:rPr>
        <w:t xml:space="preserve"> contacts </w:t>
      </w:r>
      <w:r w:rsidR="00E854B0" w:rsidRPr="0070292F">
        <w:rPr>
          <w:rFonts w:ascii="Times New Roman" w:eastAsia="Calibri" w:hAnsi="Times New Roman" w:cs="Times New Roman"/>
          <w:iCs/>
          <w:lang w:val="fr-FR"/>
        </w:rPr>
        <w:t>sociaux</w:t>
      </w:r>
      <w:r w:rsidRPr="0070292F">
        <w:rPr>
          <w:rFonts w:ascii="Times New Roman" w:eastAsia="Calibri" w:hAnsi="Times New Roman" w:cs="Times New Roman"/>
          <w:iCs/>
          <w:lang w:val="fr-FR"/>
        </w:rPr>
        <w:t>.</w:t>
      </w:r>
    </w:p>
    <w:p w:rsidR="00E854B0" w:rsidRPr="0070292F" w:rsidRDefault="00E854B0" w:rsidP="0070292F">
      <w:pPr>
        <w:pStyle w:val="ECHRPara"/>
        <w:rPr>
          <w:i/>
          <w:lang w:val="fr-FR"/>
        </w:rPr>
      </w:pPr>
      <w:r w:rsidRPr="0070292F">
        <w:rPr>
          <w:rFonts w:ascii="Times New Roman" w:eastAsia="Calibri" w:hAnsi="Times New Roman" w:cs="Times New Roman"/>
          <w:iCs/>
          <w:lang w:val="fr-FR"/>
        </w:rPr>
        <w:fldChar w:fldCharType="begin"/>
      </w:r>
      <w:r w:rsidRPr="0070292F">
        <w:rPr>
          <w:rFonts w:ascii="Times New Roman" w:eastAsia="Calibri" w:hAnsi="Times New Roman" w:cs="Times New Roman"/>
          <w:iCs/>
          <w:lang w:val="fr-FR"/>
        </w:rPr>
        <w:instrText xml:space="preserve"> SEQ level0 \*arabic </w:instrText>
      </w:r>
      <w:r w:rsidRPr="0070292F">
        <w:rPr>
          <w:rFonts w:ascii="Times New Roman" w:eastAsia="Calibri" w:hAnsi="Times New Roman" w:cs="Times New Roman"/>
          <w:iCs/>
          <w:lang w:val="fr-FR"/>
        </w:rPr>
        <w:fldChar w:fldCharType="separate"/>
      </w:r>
      <w:r w:rsidR="0070292F" w:rsidRPr="0070292F">
        <w:rPr>
          <w:rFonts w:ascii="Times New Roman" w:eastAsia="Calibri" w:hAnsi="Times New Roman" w:cs="Times New Roman"/>
          <w:iCs/>
          <w:noProof/>
          <w:lang w:val="fr-FR"/>
        </w:rPr>
        <w:t>86</w:t>
      </w:r>
      <w:r w:rsidRPr="0070292F">
        <w:rPr>
          <w:rFonts w:ascii="Times New Roman" w:eastAsia="Calibri" w:hAnsi="Times New Roman" w:cs="Times New Roman"/>
          <w:iCs/>
          <w:lang w:val="fr-FR"/>
        </w:rPr>
        <w:fldChar w:fldCharType="end"/>
      </w:r>
      <w:r w:rsidRPr="0070292F">
        <w:rPr>
          <w:rFonts w:ascii="Times New Roman" w:eastAsia="Calibri" w:hAnsi="Times New Roman" w:cs="Times New Roman"/>
          <w:iCs/>
          <w:lang w:val="fr-FR"/>
        </w:rPr>
        <w:t>.  De plus, la Cour ne saurait accepter l</w:t>
      </w:r>
      <w:r w:rsidR="0070292F" w:rsidRPr="0070292F">
        <w:rPr>
          <w:rFonts w:ascii="Times New Roman" w:eastAsia="Calibri" w:hAnsi="Times New Roman" w:cs="Times New Roman"/>
          <w:iCs/>
          <w:lang w:val="fr-FR"/>
        </w:rPr>
        <w:t>’</w:t>
      </w:r>
      <w:r w:rsidRPr="0070292F">
        <w:rPr>
          <w:rFonts w:ascii="Times New Roman" w:eastAsia="Calibri" w:hAnsi="Times New Roman" w:cs="Times New Roman"/>
          <w:iCs/>
          <w:lang w:val="fr-FR"/>
        </w:rPr>
        <w:t xml:space="preserve">argument du requérant selon lequel le fait de ne pas pouvoir sortir, sauf en cas de nécessité, entre </w:t>
      </w:r>
      <w:r w:rsidR="0094426C" w:rsidRPr="0070292F">
        <w:rPr>
          <w:rFonts w:ascii="Times New Roman" w:eastAsia="Calibri" w:hAnsi="Times New Roman" w:cs="Times New Roman"/>
          <w:iCs/>
          <w:lang w:val="fr-FR"/>
        </w:rPr>
        <w:t xml:space="preserve">vingt-deux </w:t>
      </w:r>
      <w:r w:rsidRPr="0070292F">
        <w:rPr>
          <w:rFonts w:ascii="Times New Roman" w:eastAsia="Calibri" w:hAnsi="Times New Roman" w:cs="Times New Roman"/>
          <w:iCs/>
          <w:lang w:val="fr-FR"/>
        </w:rPr>
        <w:t xml:space="preserve">heures et </w:t>
      </w:r>
      <w:r w:rsidR="0094426C" w:rsidRPr="0070292F">
        <w:rPr>
          <w:rFonts w:ascii="Times New Roman" w:eastAsia="Calibri" w:hAnsi="Times New Roman" w:cs="Times New Roman"/>
          <w:iCs/>
          <w:lang w:val="fr-FR"/>
        </w:rPr>
        <w:t>six</w:t>
      </w:r>
      <w:r w:rsidRPr="0070292F">
        <w:rPr>
          <w:rFonts w:ascii="Times New Roman" w:eastAsia="Calibri" w:hAnsi="Times New Roman" w:cs="Times New Roman"/>
          <w:iCs/>
          <w:lang w:val="fr-FR"/>
        </w:rPr>
        <w:t xml:space="preserve"> heures du matin, s</w:t>
      </w:r>
      <w:r w:rsidR="0070292F" w:rsidRPr="0070292F">
        <w:rPr>
          <w:rFonts w:ascii="Times New Roman" w:eastAsia="Calibri" w:hAnsi="Times New Roman" w:cs="Times New Roman"/>
          <w:iCs/>
          <w:lang w:val="fr-FR"/>
        </w:rPr>
        <w:t>’</w:t>
      </w:r>
      <w:r w:rsidRPr="0070292F">
        <w:rPr>
          <w:rFonts w:ascii="Times New Roman" w:eastAsia="Calibri" w:hAnsi="Times New Roman" w:cs="Times New Roman"/>
          <w:iCs/>
          <w:lang w:val="fr-FR"/>
        </w:rPr>
        <w:t>apparente à une assignation à domicile et donc à une privation de liberté</w:t>
      </w:r>
      <w:r w:rsidR="00B409FD" w:rsidRPr="0070292F">
        <w:rPr>
          <w:snapToGrid w:val="0"/>
          <w:lang w:val="fr-FR"/>
        </w:rPr>
        <w:t>.</w:t>
      </w:r>
    </w:p>
    <w:p w:rsidR="0070292F" w:rsidRPr="0070292F" w:rsidRDefault="0094426C" w:rsidP="0070292F">
      <w:pPr>
        <w:pStyle w:val="ECHRPara"/>
        <w:rPr>
          <w:lang w:val="fr-FR"/>
        </w:rPr>
      </w:pPr>
      <w:r w:rsidRPr="0070292F">
        <w:rPr>
          <w:rFonts w:ascii="Times New Roman" w:eastAsia="Calibri" w:hAnsi="Times New Roman" w:cs="Times New Roman"/>
          <w:iCs/>
          <w:szCs w:val="24"/>
          <w:lang w:val="fr-FR"/>
        </w:rPr>
        <w:fldChar w:fldCharType="begin"/>
      </w:r>
      <w:r w:rsidRPr="0070292F">
        <w:rPr>
          <w:rFonts w:ascii="Times New Roman" w:eastAsia="Calibri" w:hAnsi="Times New Roman" w:cs="Times New Roman"/>
          <w:iCs/>
          <w:szCs w:val="24"/>
          <w:lang w:val="fr-FR"/>
        </w:rPr>
        <w:instrText xml:space="preserve"> SEQ level0 \*arabic </w:instrText>
      </w:r>
      <w:r w:rsidRPr="0070292F">
        <w:rPr>
          <w:rFonts w:ascii="Times New Roman" w:eastAsia="Calibri" w:hAnsi="Times New Roman" w:cs="Times New Roman"/>
          <w:iCs/>
          <w:szCs w:val="24"/>
          <w:lang w:val="fr-FR"/>
        </w:rPr>
        <w:fldChar w:fldCharType="separate"/>
      </w:r>
      <w:r w:rsidR="0070292F" w:rsidRPr="0070292F">
        <w:rPr>
          <w:rFonts w:ascii="Times New Roman" w:eastAsia="Calibri" w:hAnsi="Times New Roman" w:cs="Times New Roman"/>
          <w:iCs/>
          <w:noProof/>
          <w:szCs w:val="24"/>
          <w:lang w:val="fr-FR"/>
        </w:rPr>
        <w:t>87</w:t>
      </w:r>
      <w:r w:rsidRPr="0070292F">
        <w:rPr>
          <w:rFonts w:ascii="Times New Roman" w:eastAsia="Calibri" w:hAnsi="Times New Roman" w:cs="Times New Roman"/>
          <w:iCs/>
          <w:szCs w:val="24"/>
          <w:lang w:val="fr-FR"/>
        </w:rPr>
        <w:fldChar w:fldCharType="end"/>
      </w:r>
      <w:r w:rsidRPr="0070292F">
        <w:rPr>
          <w:rFonts w:ascii="Times New Roman" w:eastAsia="Calibri" w:hAnsi="Times New Roman" w:cs="Times New Roman"/>
          <w:iCs/>
          <w:szCs w:val="24"/>
          <w:lang w:val="fr-FR"/>
        </w:rPr>
        <w:t>.  </w:t>
      </w:r>
      <w:r w:rsidR="00E854B0" w:rsidRPr="0070292F">
        <w:rPr>
          <w:rFonts w:ascii="Times New Roman" w:eastAsia="Calibri" w:hAnsi="Times New Roman" w:cs="Times New Roman"/>
          <w:iCs/>
          <w:szCs w:val="24"/>
          <w:lang w:val="fr-FR"/>
        </w:rPr>
        <w:t>Elle</w:t>
      </w:r>
      <w:r w:rsidR="000E579D" w:rsidRPr="0070292F">
        <w:rPr>
          <w:rFonts w:ascii="Times New Roman" w:eastAsia="Calibri" w:hAnsi="Times New Roman" w:cs="Times New Roman"/>
          <w:iCs/>
          <w:szCs w:val="24"/>
          <w:lang w:val="fr-FR"/>
        </w:rPr>
        <w:t xml:space="preserve"> rappelle que l</w:t>
      </w:r>
      <w:r w:rsidR="0070292F" w:rsidRPr="0070292F">
        <w:rPr>
          <w:rFonts w:ascii="Times New Roman" w:eastAsia="Calibri" w:hAnsi="Times New Roman" w:cs="Times New Roman"/>
          <w:iCs/>
          <w:szCs w:val="24"/>
          <w:lang w:val="fr-FR"/>
        </w:rPr>
        <w:t>’</w:t>
      </w:r>
      <w:r w:rsidR="000E579D" w:rsidRPr="0070292F">
        <w:rPr>
          <w:rFonts w:ascii="Times New Roman" w:eastAsia="Calibri" w:hAnsi="Times New Roman" w:cs="Times New Roman"/>
          <w:iCs/>
          <w:szCs w:val="24"/>
          <w:lang w:val="fr-FR"/>
        </w:rPr>
        <w:t xml:space="preserve">assignation à </w:t>
      </w:r>
      <w:r w:rsidR="00F341A2" w:rsidRPr="0070292F">
        <w:rPr>
          <w:rFonts w:ascii="Times New Roman" w:eastAsia="Calibri" w:hAnsi="Times New Roman" w:cs="Times New Roman"/>
          <w:iCs/>
          <w:szCs w:val="24"/>
          <w:lang w:val="fr-FR"/>
        </w:rPr>
        <w:t>domicile</w:t>
      </w:r>
      <w:r w:rsidR="000E579D" w:rsidRPr="0070292F">
        <w:rPr>
          <w:rFonts w:ascii="Times New Roman" w:eastAsia="Calibri" w:hAnsi="Times New Roman" w:cs="Times New Roman"/>
          <w:iCs/>
          <w:szCs w:val="24"/>
          <w:lang w:val="fr-FR"/>
        </w:rPr>
        <w:t xml:space="preserve"> s</w:t>
      </w:r>
      <w:r w:rsidR="0070292F" w:rsidRPr="0070292F">
        <w:rPr>
          <w:rFonts w:ascii="Times New Roman" w:eastAsia="Calibri" w:hAnsi="Times New Roman" w:cs="Times New Roman"/>
          <w:iCs/>
          <w:szCs w:val="24"/>
          <w:lang w:val="fr-FR"/>
        </w:rPr>
        <w:t>’</w:t>
      </w:r>
      <w:r w:rsidR="000E579D" w:rsidRPr="0070292F">
        <w:rPr>
          <w:rFonts w:ascii="Times New Roman" w:eastAsia="Calibri" w:hAnsi="Times New Roman" w:cs="Times New Roman"/>
          <w:iCs/>
          <w:szCs w:val="24"/>
          <w:lang w:val="fr-FR"/>
        </w:rPr>
        <w:t>analyse</w:t>
      </w:r>
      <w:r w:rsidR="0059556D" w:rsidRPr="0070292F">
        <w:rPr>
          <w:rFonts w:eastAsia="Calibri" w:cstheme="minorHAnsi"/>
          <w:iCs/>
          <w:szCs w:val="24"/>
          <w:lang w:val="fr-FR"/>
        </w:rPr>
        <w:t>,</w:t>
      </w:r>
      <w:r w:rsidR="000E579D" w:rsidRPr="0070292F">
        <w:rPr>
          <w:rFonts w:eastAsia="Calibri" w:cstheme="minorHAnsi"/>
          <w:iCs/>
          <w:szCs w:val="24"/>
          <w:lang w:val="fr-FR"/>
        </w:rPr>
        <w:t xml:space="preserve"> </w:t>
      </w:r>
      <w:r w:rsidR="0059556D" w:rsidRPr="0070292F">
        <w:rPr>
          <w:rFonts w:eastAsia="Calibri" w:cstheme="minorHAnsi"/>
          <w:szCs w:val="24"/>
          <w:lang w:val="fr-FR"/>
        </w:rPr>
        <w:t>au vu de son degré d</w:t>
      </w:r>
      <w:r w:rsidR="0070292F" w:rsidRPr="0070292F">
        <w:rPr>
          <w:rFonts w:eastAsia="Calibri" w:cstheme="minorHAnsi"/>
          <w:szCs w:val="24"/>
          <w:lang w:val="fr-FR"/>
        </w:rPr>
        <w:t>’</w:t>
      </w:r>
      <w:r w:rsidR="0059556D" w:rsidRPr="0070292F">
        <w:rPr>
          <w:rFonts w:eastAsia="Calibri" w:cstheme="minorHAnsi"/>
          <w:szCs w:val="24"/>
          <w:lang w:val="fr-FR"/>
        </w:rPr>
        <w:t>intensité</w:t>
      </w:r>
      <w:r w:rsidR="00716F51" w:rsidRPr="0070292F">
        <w:rPr>
          <w:i/>
          <w:lang w:val="fr-FR"/>
        </w:rPr>
        <w:t xml:space="preserve"> </w:t>
      </w:r>
      <w:r w:rsidR="005C70CA" w:rsidRPr="0070292F">
        <w:rPr>
          <w:lang w:val="fr-FR"/>
        </w:rPr>
        <w:t>(</w:t>
      </w:r>
      <w:r w:rsidR="00716F51" w:rsidRPr="0070292F">
        <w:rPr>
          <w:i/>
          <w:lang w:val="fr-FR"/>
        </w:rPr>
        <w:t>Buzadji c. République de Moldova</w:t>
      </w:r>
      <w:r w:rsidR="005C70CA" w:rsidRPr="0070292F">
        <w:rPr>
          <w:i/>
          <w:lang w:val="fr-FR"/>
        </w:rPr>
        <w:t xml:space="preserve"> </w:t>
      </w:r>
      <w:r w:rsidR="00716F51" w:rsidRPr="0070292F">
        <w:rPr>
          <w:lang w:val="fr-FR"/>
        </w:rPr>
        <w:t>[GC], n</w:t>
      </w:r>
      <w:r w:rsidR="00716F51" w:rsidRPr="0070292F">
        <w:rPr>
          <w:vertAlign w:val="superscript"/>
          <w:lang w:val="fr-FR"/>
        </w:rPr>
        <w:t>o</w:t>
      </w:r>
      <w:r w:rsidR="005C70CA" w:rsidRPr="0070292F">
        <w:rPr>
          <w:lang w:val="fr-FR"/>
        </w:rPr>
        <w:t> </w:t>
      </w:r>
      <w:r w:rsidR="00716F51" w:rsidRPr="0070292F">
        <w:rPr>
          <w:lang w:val="fr-FR"/>
        </w:rPr>
        <w:t>23755/07</w:t>
      </w:r>
      <w:r w:rsidR="00264AC0" w:rsidRPr="0070292F">
        <w:rPr>
          <w:snapToGrid w:val="0"/>
          <w:lang w:val="fr-FR"/>
        </w:rPr>
        <w:t>, § </w:t>
      </w:r>
      <w:r w:rsidR="00716F51" w:rsidRPr="0070292F">
        <w:rPr>
          <w:snapToGrid w:val="0"/>
          <w:lang w:val="fr-FR"/>
        </w:rPr>
        <w:t xml:space="preserve">104, </w:t>
      </w:r>
      <w:r w:rsidR="00716F51" w:rsidRPr="0070292F">
        <w:rPr>
          <w:lang w:val="fr-FR"/>
        </w:rPr>
        <w:t>CEDH</w:t>
      </w:r>
      <w:r w:rsidR="00716F51" w:rsidRPr="0070292F">
        <w:rPr>
          <w:snapToGrid w:val="0"/>
          <w:lang w:val="fr-FR"/>
        </w:rPr>
        <w:t xml:space="preserve"> 2016)</w:t>
      </w:r>
      <w:r w:rsidR="005C70CA" w:rsidRPr="0070292F">
        <w:rPr>
          <w:snapToGrid w:val="0"/>
          <w:lang w:val="fr-FR"/>
        </w:rPr>
        <w:t>,</w:t>
      </w:r>
      <w:r w:rsidR="0059556D" w:rsidRPr="0070292F">
        <w:rPr>
          <w:rStyle w:val="Rimandonotaapidipagina"/>
          <w:rFonts w:eastAsia="Calibri" w:cstheme="minorHAnsi"/>
          <w:szCs w:val="24"/>
          <w:lang w:val="fr-FR"/>
        </w:rPr>
        <w:t xml:space="preserve"> </w:t>
      </w:r>
      <w:r w:rsidR="000E579D" w:rsidRPr="0070292F">
        <w:rPr>
          <w:rFonts w:ascii="Times New Roman" w:eastAsia="Calibri" w:hAnsi="Times New Roman" w:cs="Times New Roman"/>
          <w:iCs/>
          <w:szCs w:val="24"/>
          <w:lang w:val="fr-FR"/>
        </w:rPr>
        <w:t>en une privation de liberté au sens de l</w:t>
      </w:r>
      <w:r w:rsidR="0070292F" w:rsidRPr="0070292F">
        <w:rPr>
          <w:rFonts w:ascii="Times New Roman" w:eastAsia="Calibri" w:hAnsi="Times New Roman" w:cs="Times New Roman"/>
          <w:iCs/>
          <w:szCs w:val="24"/>
          <w:lang w:val="fr-FR"/>
        </w:rPr>
        <w:t>’</w:t>
      </w:r>
      <w:r w:rsidR="000E579D" w:rsidRPr="0070292F">
        <w:rPr>
          <w:rFonts w:ascii="Times New Roman" w:eastAsia="Calibri" w:hAnsi="Times New Roman" w:cs="Times New Roman"/>
          <w:iCs/>
          <w:szCs w:val="24"/>
          <w:lang w:val="fr-FR"/>
        </w:rPr>
        <w:t>article 5 de la Convention (</w:t>
      </w:r>
      <w:r w:rsidR="000E579D" w:rsidRPr="0070292F">
        <w:rPr>
          <w:rFonts w:ascii="Times New Roman" w:eastAsia="Calibri" w:hAnsi="Times New Roman" w:cs="Times New Roman"/>
          <w:i/>
          <w:iCs/>
          <w:szCs w:val="24"/>
          <w:lang w:val="fr-FR"/>
        </w:rPr>
        <w:t>N.C. c. Italie</w:t>
      </w:r>
      <w:r w:rsidR="000E579D" w:rsidRPr="0070292F">
        <w:rPr>
          <w:rFonts w:ascii="Times New Roman" w:eastAsia="Calibri" w:hAnsi="Times New Roman" w:cs="Times New Roman"/>
          <w:iCs/>
          <w:szCs w:val="24"/>
          <w:lang w:val="fr-FR"/>
        </w:rPr>
        <w:t>, n</w:t>
      </w:r>
      <w:r w:rsidR="008C1E94" w:rsidRPr="0070292F">
        <w:rPr>
          <w:rFonts w:ascii="Times New Roman" w:eastAsia="Calibri" w:hAnsi="Times New Roman" w:cs="Times New Roman"/>
          <w:iCs/>
          <w:szCs w:val="24"/>
          <w:vertAlign w:val="superscript"/>
          <w:lang w:val="fr-FR"/>
        </w:rPr>
        <w:t>o</w:t>
      </w:r>
      <w:r w:rsidR="009D554C" w:rsidRPr="0070292F">
        <w:rPr>
          <w:rFonts w:ascii="Times New Roman" w:eastAsiaTheme="minorHAnsi" w:hAnsi="Times New Roman" w:cs="Times New Roman"/>
          <w:szCs w:val="24"/>
          <w:lang w:val="fr-FR"/>
        </w:rPr>
        <w:t> </w:t>
      </w:r>
      <w:hyperlink r:id="rId18" w:anchor="{&quot;appno&quot;:[&quot;24952/94&quot;]}" w:tgtFrame="_blank" w:history="1">
        <w:r w:rsidR="000E579D" w:rsidRPr="0070292F">
          <w:rPr>
            <w:rStyle w:val="Collegamentoipertestuale"/>
            <w:rFonts w:ascii="Times New Roman" w:eastAsia="Calibri" w:hAnsi="Times New Roman" w:cs="Times New Roman"/>
            <w:iCs/>
            <w:color w:val="auto"/>
            <w:szCs w:val="24"/>
            <w:u w:val="none"/>
            <w:lang w:val="fr-FR"/>
          </w:rPr>
          <w:t>24952/94</w:t>
        </w:r>
      </w:hyperlink>
      <w:r w:rsidR="000E579D" w:rsidRPr="0070292F">
        <w:rPr>
          <w:rFonts w:ascii="Times New Roman" w:eastAsia="Calibri" w:hAnsi="Times New Roman" w:cs="Times New Roman"/>
          <w:iCs/>
          <w:szCs w:val="24"/>
          <w:lang w:val="fr-FR"/>
        </w:rPr>
        <w:t xml:space="preserve">, § 33, 11 janvier 2001, </w:t>
      </w:r>
      <w:r w:rsidR="000E579D" w:rsidRPr="0070292F">
        <w:rPr>
          <w:rFonts w:ascii="Times New Roman" w:eastAsia="Calibri" w:hAnsi="Times New Roman" w:cs="Times New Roman"/>
          <w:i/>
          <w:iCs/>
          <w:szCs w:val="24"/>
          <w:lang w:val="fr-FR"/>
        </w:rPr>
        <w:t>Nikolova c.</w:t>
      </w:r>
      <w:r w:rsidR="006E67C3" w:rsidRPr="0070292F">
        <w:rPr>
          <w:rFonts w:ascii="Times New Roman" w:eastAsia="Calibri" w:hAnsi="Times New Roman" w:cs="Times New Roman"/>
          <w:i/>
          <w:iCs/>
          <w:szCs w:val="24"/>
          <w:lang w:val="fr-FR"/>
        </w:rPr>
        <w:t> </w:t>
      </w:r>
      <w:r w:rsidR="000E579D" w:rsidRPr="0070292F">
        <w:rPr>
          <w:rFonts w:ascii="Times New Roman" w:eastAsia="Calibri" w:hAnsi="Times New Roman" w:cs="Times New Roman"/>
          <w:i/>
          <w:iCs/>
          <w:szCs w:val="24"/>
          <w:lang w:val="fr-FR"/>
        </w:rPr>
        <w:t>Bulgarie</w:t>
      </w:r>
      <w:r w:rsidR="000E579D" w:rsidRPr="0070292F">
        <w:rPr>
          <w:rFonts w:ascii="Times New Roman" w:eastAsia="Calibri" w:hAnsi="Times New Roman" w:cs="Times New Roman"/>
          <w:iCs/>
          <w:szCs w:val="24"/>
          <w:lang w:val="fr-FR"/>
        </w:rPr>
        <w:t xml:space="preserve"> </w:t>
      </w:r>
      <w:r w:rsidR="000E579D" w:rsidRPr="0070292F">
        <w:rPr>
          <w:rFonts w:ascii="Times New Roman" w:eastAsia="Calibri" w:hAnsi="Times New Roman" w:cs="Times New Roman"/>
          <w:i/>
          <w:iCs/>
          <w:szCs w:val="24"/>
          <w:lang w:val="fr-FR"/>
        </w:rPr>
        <w:t>(n</w:t>
      </w:r>
      <w:r w:rsidR="000E579D" w:rsidRPr="0070292F">
        <w:rPr>
          <w:rFonts w:ascii="Times New Roman" w:eastAsia="Calibri" w:hAnsi="Times New Roman" w:cs="Times New Roman"/>
          <w:i/>
          <w:iCs/>
          <w:szCs w:val="24"/>
          <w:vertAlign w:val="superscript"/>
          <w:lang w:val="fr-FR"/>
        </w:rPr>
        <w:t>o</w:t>
      </w:r>
      <w:r w:rsidR="001A0828" w:rsidRPr="0070292F">
        <w:rPr>
          <w:rFonts w:ascii="Times New Roman" w:eastAsia="Calibri" w:hAnsi="Times New Roman" w:cs="Times New Roman"/>
          <w:i/>
          <w:iCs/>
          <w:szCs w:val="24"/>
          <w:lang w:val="fr-FR"/>
        </w:rPr>
        <w:t> </w:t>
      </w:r>
      <w:r w:rsidR="000E579D" w:rsidRPr="0070292F">
        <w:rPr>
          <w:rFonts w:ascii="Times New Roman" w:eastAsia="Calibri" w:hAnsi="Times New Roman" w:cs="Times New Roman"/>
          <w:i/>
          <w:iCs/>
          <w:szCs w:val="24"/>
          <w:lang w:val="fr-FR"/>
        </w:rPr>
        <w:t>2)</w:t>
      </w:r>
      <w:r w:rsidR="000E579D" w:rsidRPr="0070292F">
        <w:rPr>
          <w:rFonts w:ascii="Times New Roman" w:eastAsia="Calibri" w:hAnsi="Times New Roman" w:cs="Times New Roman"/>
          <w:iCs/>
          <w:szCs w:val="24"/>
          <w:lang w:val="fr-FR"/>
        </w:rPr>
        <w:t>, n</w:t>
      </w:r>
      <w:r w:rsidR="008C1E94" w:rsidRPr="0070292F">
        <w:rPr>
          <w:rFonts w:ascii="Times New Roman" w:eastAsia="Calibri" w:hAnsi="Times New Roman" w:cs="Times New Roman"/>
          <w:iCs/>
          <w:szCs w:val="24"/>
          <w:vertAlign w:val="superscript"/>
          <w:lang w:val="fr-FR"/>
        </w:rPr>
        <w:t>o</w:t>
      </w:r>
      <w:r w:rsidR="009D554C" w:rsidRPr="0070292F">
        <w:rPr>
          <w:rFonts w:ascii="Times New Roman" w:eastAsiaTheme="minorHAnsi" w:hAnsi="Times New Roman" w:cs="Times New Roman"/>
          <w:szCs w:val="24"/>
          <w:lang w:val="fr-FR"/>
        </w:rPr>
        <w:t> </w:t>
      </w:r>
      <w:hyperlink r:id="rId19" w:anchor="{&quot;appno&quot;:[&quot;40896/98&quot;]}" w:tgtFrame="_blank" w:history="1">
        <w:r w:rsidR="000E579D" w:rsidRPr="0070292F">
          <w:rPr>
            <w:rStyle w:val="Collegamentoipertestuale"/>
            <w:rFonts w:ascii="Times New Roman" w:eastAsia="Calibri" w:hAnsi="Times New Roman" w:cs="Times New Roman"/>
            <w:iCs/>
            <w:color w:val="auto"/>
            <w:szCs w:val="24"/>
            <w:u w:val="none"/>
            <w:lang w:val="fr-FR"/>
          </w:rPr>
          <w:t>40896/98</w:t>
        </w:r>
      </w:hyperlink>
      <w:r w:rsidR="000E579D" w:rsidRPr="0070292F">
        <w:rPr>
          <w:rFonts w:ascii="Times New Roman" w:eastAsia="Calibri" w:hAnsi="Times New Roman" w:cs="Times New Roman"/>
          <w:iCs/>
          <w:szCs w:val="24"/>
          <w:lang w:val="fr-FR"/>
        </w:rPr>
        <w:t xml:space="preserve">, §§ 60 et 74, 30 septembre 2004, </w:t>
      </w:r>
      <w:r w:rsidR="000E579D" w:rsidRPr="0070292F">
        <w:rPr>
          <w:rFonts w:ascii="Times New Roman" w:eastAsia="Calibri" w:hAnsi="Times New Roman" w:cs="Times New Roman"/>
          <w:i/>
          <w:iCs/>
          <w:szCs w:val="24"/>
          <w:lang w:val="fr-FR"/>
        </w:rPr>
        <w:t>Danov c.</w:t>
      </w:r>
      <w:r w:rsidR="006E67C3" w:rsidRPr="0070292F">
        <w:rPr>
          <w:rFonts w:ascii="Times New Roman" w:eastAsia="Calibri" w:hAnsi="Times New Roman" w:cs="Times New Roman"/>
          <w:i/>
          <w:iCs/>
          <w:szCs w:val="24"/>
          <w:lang w:val="fr-FR"/>
        </w:rPr>
        <w:t> </w:t>
      </w:r>
      <w:r w:rsidR="000E579D" w:rsidRPr="0070292F">
        <w:rPr>
          <w:rFonts w:ascii="Times New Roman" w:eastAsia="Calibri" w:hAnsi="Times New Roman" w:cs="Times New Roman"/>
          <w:i/>
          <w:iCs/>
          <w:szCs w:val="24"/>
          <w:lang w:val="fr-FR"/>
        </w:rPr>
        <w:t>Bulgarie,</w:t>
      </w:r>
      <w:r w:rsidR="000E579D" w:rsidRPr="0070292F">
        <w:rPr>
          <w:rFonts w:ascii="Times New Roman" w:eastAsia="Calibri" w:hAnsi="Times New Roman" w:cs="Times New Roman"/>
          <w:iCs/>
          <w:szCs w:val="24"/>
          <w:lang w:val="fr-FR"/>
        </w:rPr>
        <w:t xml:space="preserve"> n</w:t>
      </w:r>
      <w:r w:rsidR="008C1E94" w:rsidRPr="0070292F">
        <w:rPr>
          <w:rFonts w:ascii="Times New Roman" w:eastAsia="Calibri" w:hAnsi="Times New Roman" w:cs="Times New Roman"/>
          <w:iCs/>
          <w:szCs w:val="24"/>
          <w:vertAlign w:val="superscript"/>
          <w:lang w:val="fr-FR"/>
        </w:rPr>
        <w:t>o</w:t>
      </w:r>
      <w:r w:rsidR="009D554C" w:rsidRPr="0070292F">
        <w:rPr>
          <w:rFonts w:ascii="Times New Roman" w:eastAsia="Calibri" w:hAnsi="Times New Roman" w:cs="Times New Roman"/>
          <w:iCs/>
          <w:szCs w:val="24"/>
          <w:lang w:val="fr-FR"/>
        </w:rPr>
        <w:t> </w:t>
      </w:r>
      <w:hyperlink r:id="rId20" w:anchor="{&quot;appno&quot;:[&quot;56796/00&quot;]}" w:tgtFrame="_blank" w:history="1">
        <w:r w:rsidR="000E579D" w:rsidRPr="0070292F">
          <w:rPr>
            <w:rStyle w:val="Collegamentoipertestuale"/>
            <w:rFonts w:ascii="Times New Roman" w:eastAsia="Calibri" w:hAnsi="Times New Roman" w:cs="Times New Roman"/>
            <w:iCs/>
            <w:color w:val="auto"/>
            <w:szCs w:val="24"/>
            <w:u w:val="none"/>
            <w:lang w:val="fr-FR"/>
          </w:rPr>
          <w:t>56796/00</w:t>
        </w:r>
      </w:hyperlink>
      <w:r w:rsidR="000E579D" w:rsidRPr="0070292F">
        <w:rPr>
          <w:rFonts w:ascii="Times New Roman" w:eastAsia="Calibri" w:hAnsi="Times New Roman" w:cs="Times New Roman"/>
          <w:iCs/>
          <w:szCs w:val="24"/>
          <w:lang w:val="fr-FR"/>
        </w:rPr>
        <w:t>, §§ 61 et 80, 26 octobre 2006</w:t>
      </w:r>
      <w:r w:rsidR="00E74812" w:rsidRPr="0070292F">
        <w:rPr>
          <w:rFonts w:ascii="Times New Roman" w:eastAsia="Calibri" w:hAnsi="Times New Roman" w:cs="Times New Roman"/>
          <w:iCs/>
          <w:szCs w:val="24"/>
          <w:lang w:val="fr-FR"/>
        </w:rPr>
        <w:t xml:space="preserve">, et </w:t>
      </w:r>
      <w:r w:rsidR="000E579D" w:rsidRPr="0070292F">
        <w:rPr>
          <w:i/>
          <w:lang w:val="fr-FR"/>
        </w:rPr>
        <w:t>Ninescu c.</w:t>
      </w:r>
      <w:r w:rsidR="006E67C3" w:rsidRPr="0070292F">
        <w:rPr>
          <w:i/>
          <w:lang w:val="fr-FR"/>
        </w:rPr>
        <w:t> </w:t>
      </w:r>
      <w:r w:rsidR="000E579D" w:rsidRPr="0070292F">
        <w:rPr>
          <w:i/>
          <w:lang w:val="fr-FR"/>
        </w:rPr>
        <w:t>République de Moldova</w:t>
      </w:r>
      <w:r w:rsidR="000E579D" w:rsidRPr="0070292F">
        <w:rPr>
          <w:lang w:val="fr-FR"/>
        </w:rPr>
        <w:t>, n</w:t>
      </w:r>
      <w:r w:rsidR="000E579D" w:rsidRPr="0070292F">
        <w:rPr>
          <w:vertAlign w:val="superscript"/>
          <w:lang w:val="fr-FR"/>
        </w:rPr>
        <w:t>o</w:t>
      </w:r>
      <w:r w:rsidR="000E579D" w:rsidRPr="0070292F">
        <w:rPr>
          <w:lang w:val="fr-FR"/>
        </w:rPr>
        <w:t xml:space="preserve"> 47306/07</w:t>
      </w:r>
      <w:r w:rsidR="000E579D" w:rsidRPr="0070292F">
        <w:rPr>
          <w:snapToGrid w:val="0"/>
          <w:lang w:val="fr-FR"/>
        </w:rPr>
        <w:t>, § 53</w:t>
      </w:r>
      <w:r w:rsidR="000330B7" w:rsidRPr="0070292F">
        <w:rPr>
          <w:snapToGrid w:val="0"/>
          <w:lang w:val="fr-FR"/>
        </w:rPr>
        <w:t>,</w:t>
      </w:r>
      <w:r w:rsidR="000E579D" w:rsidRPr="0070292F">
        <w:rPr>
          <w:snapToGrid w:val="0"/>
          <w:lang w:val="fr-FR"/>
        </w:rPr>
        <w:t xml:space="preserve"> 15 </w:t>
      </w:r>
      <w:r w:rsidR="000E579D" w:rsidRPr="0070292F">
        <w:rPr>
          <w:lang w:val="fr-FR"/>
        </w:rPr>
        <w:t>juillet</w:t>
      </w:r>
      <w:r w:rsidR="000E579D" w:rsidRPr="0070292F">
        <w:rPr>
          <w:snapToGrid w:val="0"/>
          <w:lang w:val="fr-FR"/>
        </w:rPr>
        <w:t xml:space="preserve"> 2014</w:t>
      </w:r>
      <w:r w:rsidR="000E579D" w:rsidRPr="0070292F">
        <w:rPr>
          <w:rFonts w:ascii="Times New Roman" w:eastAsia="Calibri" w:hAnsi="Times New Roman" w:cs="Times New Roman"/>
          <w:iCs/>
          <w:szCs w:val="24"/>
          <w:lang w:val="fr-FR"/>
        </w:rPr>
        <w:t xml:space="preserve">). Elle </w:t>
      </w:r>
      <w:r w:rsidR="00927FF6" w:rsidRPr="0070292F">
        <w:rPr>
          <w:rFonts w:ascii="Times New Roman" w:eastAsia="Calibri" w:hAnsi="Times New Roman" w:cs="Times New Roman"/>
          <w:iCs/>
          <w:szCs w:val="24"/>
          <w:lang w:val="fr-FR"/>
        </w:rPr>
        <w:t xml:space="preserve">note </w:t>
      </w:r>
      <w:r w:rsidR="000E579D" w:rsidRPr="0070292F">
        <w:rPr>
          <w:rFonts w:ascii="Times New Roman" w:eastAsia="Calibri" w:hAnsi="Times New Roman" w:cs="Times New Roman"/>
          <w:iCs/>
          <w:szCs w:val="24"/>
          <w:lang w:val="fr-FR"/>
        </w:rPr>
        <w:t xml:space="preserve">également </w:t>
      </w:r>
      <w:r w:rsidR="000E579D" w:rsidRPr="0070292F">
        <w:rPr>
          <w:lang w:val="fr-FR"/>
        </w:rPr>
        <w:t>qu</w:t>
      </w:r>
      <w:r w:rsidR="0070292F" w:rsidRPr="0070292F">
        <w:rPr>
          <w:lang w:val="fr-FR"/>
        </w:rPr>
        <w:t>’</w:t>
      </w:r>
      <w:r w:rsidR="000E579D" w:rsidRPr="0070292F">
        <w:rPr>
          <w:lang w:val="fr-FR"/>
        </w:rPr>
        <w:t xml:space="preserve">en droit italien une personne assignée à domicile est réputée être en détention </w:t>
      </w:r>
      <w:r w:rsidR="00F341A2" w:rsidRPr="0070292F">
        <w:rPr>
          <w:lang w:val="fr-FR"/>
        </w:rPr>
        <w:t xml:space="preserve">provisoire </w:t>
      </w:r>
      <w:r w:rsidR="000E579D" w:rsidRPr="0070292F">
        <w:rPr>
          <w:lang w:val="fr-FR"/>
        </w:rPr>
        <w:t>(</w:t>
      </w:r>
      <w:r w:rsidR="000E579D" w:rsidRPr="0070292F">
        <w:rPr>
          <w:i/>
          <w:lang w:val="fr-FR"/>
        </w:rPr>
        <w:t>Ciobanu c. Roumanie et Italie</w:t>
      </w:r>
      <w:r w:rsidR="000E579D" w:rsidRPr="0070292F">
        <w:rPr>
          <w:lang w:val="fr-FR"/>
        </w:rPr>
        <w:t>, n</w:t>
      </w:r>
      <w:r w:rsidR="008C1E94" w:rsidRPr="0070292F">
        <w:rPr>
          <w:vertAlign w:val="superscript"/>
          <w:lang w:val="fr-FR"/>
        </w:rPr>
        <w:t>o</w:t>
      </w:r>
      <w:r w:rsidR="000E579D" w:rsidRPr="0070292F">
        <w:rPr>
          <w:lang w:val="fr-FR"/>
        </w:rPr>
        <w:t xml:space="preserve"> 4509/08, </w:t>
      </w:r>
      <w:r w:rsidR="000E579D" w:rsidRPr="0070292F">
        <w:rPr>
          <w:lang w:val="fr-FR"/>
        </w:rPr>
        <w:lastRenderedPageBreak/>
        <w:t>§</w:t>
      </w:r>
      <w:r w:rsidR="006E67C3" w:rsidRPr="0070292F">
        <w:rPr>
          <w:lang w:val="fr-FR"/>
        </w:rPr>
        <w:t> </w:t>
      </w:r>
      <w:r w:rsidR="000E579D" w:rsidRPr="0070292F">
        <w:rPr>
          <w:lang w:val="fr-FR"/>
        </w:rPr>
        <w:t>22, 9 juillet 2013</w:t>
      </w:r>
      <w:r w:rsidR="00E74812" w:rsidRPr="0070292F">
        <w:rPr>
          <w:lang w:val="fr-FR"/>
        </w:rPr>
        <w:t>,</w:t>
      </w:r>
      <w:r w:rsidR="000E579D" w:rsidRPr="0070292F">
        <w:rPr>
          <w:lang w:val="fr-FR"/>
        </w:rPr>
        <w:t xml:space="preserve"> et</w:t>
      </w:r>
      <w:r w:rsidR="000E579D" w:rsidRPr="0070292F">
        <w:rPr>
          <w:i/>
          <w:lang w:val="fr-FR"/>
        </w:rPr>
        <w:t xml:space="preserve"> Mancini c. Italie</w:t>
      </w:r>
      <w:r w:rsidR="000E579D" w:rsidRPr="0070292F">
        <w:rPr>
          <w:lang w:val="fr-FR"/>
        </w:rPr>
        <w:t>, n</w:t>
      </w:r>
      <w:r w:rsidR="000330B7" w:rsidRPr="0070292F">
        <w:rPr>
          <w:vertAlign w:val="superscript"/>
          <w:lang w:val="fr-FR"/>
        </w:rPr>
        <w:t>o</w:t>
      </w:r>
      <w:r w:rsidR="000E579D" w:rsidRPr="0070292F">
        <w:rPr>
          <w:lang w:val="fr-FR"/>
        </w:rPr>
        <w:t xml:space="preserve">  </w:t>
      </w:r>
      <w:hyperlink r:id="rId21" w:anchor="{&quot;appno&quot;:[&quot;44955/98&quot;]}" w:tgtFrame="_blank" w:history="1">
        <w:r w:rsidR="000E579D" w:rsidRPr="0070292F">
          <w:rPr>
            <w:lang w:val="fr-FR"/>
          </w:rPr>
          <w:t>44955/98</w:t>
        </w:r>
      </w:hyperlink>
      <w:r w:rsidR="000E579D" w:rsidRPr="0070292F">
        <w:rPr>
          <w:lang w:val="fr-FR"/>
        </w:rPr>
        <w:t>, § 17, CEDH 2001</w:t>
      </w:r>
      <w:r w:rsidR="000E579D" w:rsidRPr="0070292F">
        <w:rPr>
          <w:lang w:val="fr-FR"/>
        </w:rPr>
        <w:noBreakHyphen/>
        <w:t>IX).</w:t>
      </w:r>
    </w:p>
    <w:p w:rsidR="0070292F" w:rsidRPr="0070292F" w:rsidRDefault="002F495F" w:rsidP="0070292F">
      <w:pPr>
        <w:pStyle w:val="ECHRPara"/>
        <w:rPr>
          <w:rFonts w:ascii="Times New Roman" w:eastAsia="Calibri" w:hAnsi="Times New Roman" w:cs="Times New Roman"/>
          <w:iCs/>
          <w:szCs w:val="24"/>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88</w:t>
      </w:r>
      <w:r w:rsidRPr="0070292F">
        <w:rPr>
          <w:lang w:val="fr-FR"/>
        </w:rPr>
        <w:fldChar w:fldCharType="end"/>
      </w:r>
      <w:r w:rsidRPr="0070292F">
        <w:rPr>
          <w:lang w:val="fr-FR"/>
        </w:rPr>
        <w:t>.  </w:t>
      </w:r>
      <w:r w:rsidR="00414043" w:rsidRPr="0070292F">
        <w:rPr>
          <w:lang w:val="fr-FR"/>
        </w:rPr>
        <w:t>E</w:t>
      </w:r>
      <w:r w:rsidR="00EB2E91" w:rsidRPr="0070292F">
        <w:rPr>
          <w:lang w:val="fr-FR"/>
        </w:rPr>
        <w:t>lle</w:t>
      </w:r>
      <w:r w:rsidR="009B5CBE" w:rsidRPr="0070292F">
        <w:rPr>
          <w:lang w:val="fr-FR"/>
        </w:rPr>
        <w:t xml:space="preserve"> </w:t>
      </w:r>
      <w:r w:rsidR="000330B7" w:rsidRPr="0070292F">
        <w:rPr>
          <w:lang w:val="fr-FR"/>
        </w:rPr>
        <w:t>observe</w:t>
      </w:r>
      <w:r w:rsidR="009B5CBE" w:rsidRPr="0070292F">
        <w:rPr>
          <w:lang w:val="fr-FR"/>
        </w:rPr>
        <w:t xml:space="preserve"> </w:t>
      </w:r>
      <w:r w:rsidR="00414043" w:rsidRPr="0070292F">
        <w:rPr>
          <w:lang w:val="fr-FR"/>
        </w:rPr>
        <w:t xml:space="preserve">toutefois </w:t>
      </w:r>
      <w:r w:rsidR="00E854B0" w:rsidRPr="0070292F">
        <w:rPr>
          <w:lang w:val="fr-FR"/>
        </w:rPr>
        <w:t>que dans toutes les affaires</w:t>
      </w:r>
      <w:r w:rsidR="001B01D1" w:rsidRPr="0070292F">
        <w:rPr>
          <w:lang w:val="fr-FR"/>
        </w:rPr>
        <w:t xml:space="preserve"> </w:t>
      </w:r>
      <w:r w:rsidR="00E74812" w:rsidRPr="0070292F">
        <w:rPr>
          <w:lang w:val="fr-FR"/>
        </w:rPr>
        <w:t xml:space="preserve">semblables </w:t>
      </w:r>
      <w:r w:rsidR="00F1655F" w:rsidRPr="0070292F">
        <w:rPr>
          <w:lang w:val="fr-FR"/>
        </w:rPr>
        <w:t xml:space="preserve">à la présente </w:t>
      </w:r>
      <w:r w:rsidR="00E74812" w:rsidRPr="0070292F">
        <w:rPr>
          <w:lang w:val="fr-FR"/>
        </w:rPr>
        <w:t xml:space="preserve">espèce qui ont été </w:t>
      </w:r>
      <w:r w:rsidR="00E854B0" w:rsidRPr="0070292F">
        <w:rPr>
          <w:lang w:val="fr-FR"/>
        </w:rPr>
        <w:t>examinées par la Cour, les requérants avaient l</w:t>
      </w:r>
      <w:r w:rsidR="0070292F" w:rsidRPr="0070292F">
        <w:rPr>
          <w:lang w:val="fr-FR"/>
        </w:rPr>
        <w:t>’</w:t>
      </w:r>
      <w:r w:rsidR="00E854B0" w:rsidRPr="0070292F">
        <w:rPr>
          <w:lang w:val="fr-FR"/>
        </w:rPr>
        <w:t xml:space="preserve">obligation de ne pas sortir </w:t>
      </w:r>
      <w:r w:rsidR="00DB1871" w:rsidRPr="0070292F">
        <w:rPr>
          <w:lang w:val="fr-FR"/>
        </w:rPr>
        <w:t>pendant la nuit</w:t>
      </w:r>
      <w:r w:rsidR="00E854B0" w:rsidRPr="0070292F">
        <w:rPr>
          <w:lang w:val="fr-FR"/>
        </w:rPr>
        <w:t xml:space="preserve"> </w:t>
      </w:r>
      <w:r w:rsidR="00643999" w:rsidRPr="0070292F">
        <w:rPr>
          <w:lang w:val="fr-FR"/>
        </w:rPr>
        <w:t>(</w:t>
      </w:r>
      <w:r w:rsidR="00A0161B" w:rsidRPr="0070292F">
        <w:rPr>
          <w:lang w:val="fr-FR"/>
        </w:rPr>
        <w:t xml:space="preserve">paragraphe </w:t>
      </w:r>
      <w:r w:rsidR="00597386" w:rsidRPr="0070292F">
        <w:rPr>
          <w:lang w:val="fr-FR"/>
        </w:rPr>
        <w:fldChar w:fldCharType="begin"/>
      </w:r>
      <w:r w:rsidR="00597386" w:rsidRPr="0070292F">
        <w:rPr>
          <w:lang w:val="fr-FR"/>
        </w:rPr>
        <w:instrText xml:space="preserve"> REF para78 \h </w:instrText>
      </w:r>
      <w:r w:rsidR="00597386" w:rsidRPr="0070292F">
        <w:rPr>
          <w:lang w:val="fr-FR"/>
        </w:rPr>
      </w:r>
      <w:r w:rsidR="00597386" w:rsidRPr="0070292F">
        <w:rPr>
          <w:lang w:val="fr-FR"/>
        </w:rPr>
        <w:fldChar w:fldCharType="separate"/>
      </w:r>
      <w:r w:rsidR="0070292F" w:rsidRPr="0070292F">
        <w:rPr>
          <w:noProof/>
          <w:lang w:val="fr-FR"/>
        </w:rPr>
        <w:t>84</w:t>
      </w:r>
      <w:r w:rsidR="00597386" w:rsidRPr="0070292F">
        <w:rPr>
          <w:lang w:val="fr-FR"/>
        </w:rPr>
        <w:fldChar w:fldCharType="end"/>
      </w:r>
      <w:r w:rsidR="00A0161B" w:rsidRPr="0070292F">
        <w:rPr>
          <w:lang w:val="fr-FR"/>
        </w:rPr>
        <w:t xml:space="preserve"> ci-</w:t>
      </w:r>
      <w:r w:rsidR="00643999" w:rsidRPr="0070292F">
        <w:rPr>
          <w:lang w:val="fr-FR"/>
        </w:rPr>
        <w:t>dessus)</w:t>
      </w:r>
      <w:r w:rsidR="00E74812" w:rsidRPr="0070292F">
        <w:rPr>
          <w:lang w:val="fr-FR"/>
        </w:rPr>
        <w:t>,</w:t>
      </w:r>
      <w:r w:rsidR="00A0161B" w:rsidRPr="0070292F">
        <w:rPr>
          <w:lang w:val="fr-FR"/>
        </w:rPr>
        <w:t xml:space="preserve"> </w:t>
      </w:r>
      <w:r w:rsidR="009B5CBE" w:rsidRPr="0070292F">
        <w:rPr>
          <w:lang w:val="fr-FR"/>
        </w:rPr>
        <w:t xml:space="preserve">et </w:t>
      </w:r>
      <w:r w:rsidR="00E854B0" w:rsidRPr="0070292F">
        <w:rPr>
          <w:lang w:val="fr-FR"/>
        </w:rPr>
        <w:t xml:space="preserve">elle rappelle </w:t>
      </w:r>
      <w:r w:rsidR="00643999" w:rsidRPr="0070292F">
        <w:rPr>
          <w:lang w:val="fr-FR"/>
        </w:rPr>
        <w:t xml:space="preserve">avoir conclu </w:t>
      </w:r>
      <w:r w:rsidR="009B5CBE" w:rsidRPr="0070292F">
        <w:rPr>
          <w:lang w:val="fr-FR"/>
        </w:rPr>
        <w:t>qu</w:t>
      </w:r>
      <w:r w:rsidR="0070292F" w:rsidRPr="0070292F">
        <w:rPr>
          <w:lang w:val="fr-FR"/>
        </w:rPr>
        <w:t>’</w:t>
      </w:r>
      <w:r w:rsidR="009B5CBE" w:rsidRPr="0070292F">
        <w:rPr>
          <w:lang w:val="fr-FR"/>
        </w:rPr>
        <w:t>il s</w:t>
      </w:r>
      <w:r w:rsidR="0070292F" w:rsidRPr="0070292F">
        <w:rPr>
          <w:lang w:val="fr-FR"/>
        </w:rPr>
        <w:t>’</w:t>
      </w:r>
      <w:r w:rsidR="009B5CBE" w:rsidRPr="0070292F">
        <w:rPr>
          <w:lang w:val="fr-FR"/>
        </w:rPr>
        <w:t>agit en l</w:t>
      </w:r>
      <w:r w:rsidR="0070292F" w:rsidRPr="0070292F">
        <w:rPr>
          <w:lang w:val="fr-FR"/>
        </w:rPr>
        <w:t>’</w:t>
      </w:r>
      <w:r w:rsidR="009B5CBE" w:rsidRPr="0070292F">
        <w:rPr>
          <w:lang w:val="fr-FR"/>
        </w:rPr>
        <w:t>espèce d</w:t>
      </w:r>
      <w:r w:rsidR="0070292F" w:rsidRPr="0070292F">
        <w:rPr>
          <w:lang w:val="fr-FR"/>
        </w:rPr>
        <w:t>’</w:t>
      </w:r>
      <w:r w:rsidR="009B5CBE" w:rsidRPr="0070292F">
        <w:rPr>
          <w:lang w:val="fr-FR"/>
        </w:rPr>
        <w:t xml:space="preserve">une </w:t>
      </w:r>
      <w:r w:rsidR="00860C98" w:rsidRPr="0070292F">
        <w:rPr>
          <w:lang w:val="fr-FR"/>
        </w:rPr>
        <w:t xml:space="preserve">atteinte </w:t>
      </w:r>
      <w:r w:rsidR="009B5CBE" w:rsidRPr="0070292F">
        <w:rPr>
          <w:lang w:val="fr-FR"/>
        </w:rPr>
        <w:t>à la liberté de</w:t>
      </w:r>
      <w:r w:rsidR="004C29D7" w:rsidRPr="0070292F">
        <w:rPr>
          <w:lang w:val="fr-FR"/>
        </w:rPr>
        <w:t xml:space="preserve"> circulation</w:t>
      </w:r>
      <w:r w:rsidR="00A0161B" w:rsidRPr="0070292F">
        <w:rPr>
          <w:lang w:val="fr-FR"/>
        </w:rPr>
        <w:t xml:space="preserve">. La Cour ne voit donc pas </w:t>
      </w:r>
      <w:r w:rsidR="00643999" w:rsidRPr="0070292F">
        <w:rPr>
          <w:iCs/>
          <w:lang w:val="fr-FR"/>
        </w:rPr>
        <w:t xml:space="preserve">de motifs suffisamment pertinents de </w:t>
      </w:r>
      <w:r w:rsidR="00643999" w:rsidRPr="0070292F">
        <w:rPr>
          <w:lang w:val="fr-FR"/>
        </w:rPr>
        <w:t>changer cette approche</w:t>
      </w:r>
      <w:r w:rsidR="00EB2E91" w:rsidRPr="0070292F">
        <w:rPr>
          <w:lang w:val="fr-FR"/>
        </w:rPr>
        <w:t>,</w:t>
      </w:r>
      <w:r w:rsidR="00A0161B" w:rsidRPr="0070292F">
        <w:rPr>
          <w:lang w:val="fr-FR"/>
        </w:rPr>
        <w:t xml:space="preserve"> d</w:t>
      </w:r>
      <w:r w:rsidR="0070292F" w:rsidRPr="0070292F">
        <w:rPr>
          <w:lang w:val="fr-FR"/>
        </w:rPr>
        <w:t>’</w:t>
      </w:r>
      <w:r w:rsidR="00A0161B" w:rsidRPr="0070292F">
        <w:rPr>
          <w:lang w:val="fr-FR"/>
        </w:rPr>
        <w:t xml:space="preserve">autant </w:t>
      </w:r>
      <w:r w:rsidR="00E74812" w:rsidRPr="0070292F">
        <w:rPr>
          <w:lang w:val="fr-FR"/>
        </w:rPr>
        <w:t>qu</w:t>
      </w:r>
      <w:r w:rsidR="0070292F" w:rsidRPr="0070292F">
        <w:rPr>
          <w:lang w:val="fr-FR"/>
        </w:rPr>
        <w:t>’</w:t>
      </w:r>
      <w:r w:rsidR="00E74812" w:rsidRPr="0070292F">
        <w:rPr>
          <w:lang w:val="fr-FR"/>
        </w:rPr>
        <w:t>en l</w:t>
      </w:r>
      <w:r w:rsidR="0070292F" w:rsidRPr="0070292F">
        <w:rPr>
          <w:rFonts w:ascii="Times New Roman" w:eastAsia="Calibri" w:hAnsi="Times New Roman" w:cs="Times New Roman"/>
          <w:iCs/>
          <w:szCs w:val="24"/>
          <w:lang w:val="fr-FR"/>
        </w:rPr>
        <w:t>’</w:t>
      </w:r>
      <w:r w:rsidR="00E86E04" w:rsidRPr="0070292F">
        <w:rPr>
          <w:rFonts w:ascii="Times New Roman" w:eastAsia="Calibri" w:hAnsi="Times New Roman" w:cs="Times New Roman"/>
          <w:iCs/>
          <w:szCs w:val="24"/>
          <w:lang w:val="fr-FR"/>
        </w:rPr>
        <w:t xml:space="preserve">espèce, </w:t>
      </w:r>
      <w:r w:rsidR="000330B7" w:rsidRPr="0070292F">
        <w:rPr>
          <w:rFonts w:ascii="Times New Roman" w:eastAsia="Calibri" w:hAnsi="Times New Roman" w:cs="Times New Roman"/>
          <w:iCs/>
          <w:szCs w:val="24"/>
          <w:lang w:val="fr-FR"/>
        </w:rPr>
        <w:t>vu les</w:t>
      </w:r>
      <w:r w:rsidR="000E579D" w:rsidRPr="0070292F">
        <w:rPr>
          <w:rFonts w:ascii="Times New Roman" w:eastAsia="Calibri" w:hAnsi="Times New Roman" w:cs="Times New Roman"/>
          <w:iCs/>
          <w:szCs w:val="24"/>
          <w:lang w:val="fr-FR"/>
        </w:rPr>
        <w:t xml:space="preserve"> effets de la surveillance spéciale</w:t>
      </w:r>
      <w:r w:rsidR="00643999" w:rsidRPr="0070292F">
        <w:rPr>
          <w:rFonts w:ascii="Times New Roman" w:eastAsia="Calibri" w:hAnsi="Times New Roman" w:cs="Times New Roman"/>
          <w:iCs/>
          <w:szCs w:val="24"/>
          <w:lang w:val="fr-FR"/>
        </w:rPr>
        <w:t xml:space="preserve"> </w:t>
      </w:r>
      <w:r w:rsidR="000E579D" w:rsidRPr="0070292F">
        <w:rPr>
          <w:rFonts w:ascii="Times New Roman" w:eastAsia="Calibri" w:hAnsi="Times New Roman" w:cs="Times New Roman"/>
          <w:iCs/>
          <w:szCs w:val="24"/>
          <w:lang w:val="fr-FR"/>
        </w:rPr>
        <w:t>du requérant et ses modalités d</w:t>
      </w:r>
      <w:r w:rsidR="0070292F" w:rsidRPr="0070292F">
        <w:rPr>
          <w:rFonts w:ascii="Times New Roman" w:eastAsia="Calibri" w:hAnsi="Times New Roman" w:cs="Times New Roman"/>
          <w:iCs/>
          <w:szCs w:val="24"/>
          <w:lang w:val="fr-FR"/>
        </w:rPr>
        <w:t>’</w:t>
      </w:r>
      <w:r w:rsidR="000E579D" w:rsidRPr="0070292F">
        <w:rPr>
          <w:rFonts w:ascii="Times New Roman" w:eastAsia="Calibri" w:hAnsi="Times New Roman" w:cs="Times New Roman"/>
          <w:iCs/>
          <w:szCs w:val="24"/>
          <w:lang w:val="fr-FR"/>
        </w:rPr>
        <w:t xml:space="preserve">exécution, </w:t>
      </w:r>
      <w:r w:rsidR="009B5CBE" w:rsidRPr="0070292F">
        <w:rPr>
          <w:rFonts w:ascii="Times New Roman" w:eastAsia="Calibri" w:hAnsi="Times New Roman" w:cs="Times New Roman"/>
          <w:iCs/>
          <w:szCs w:val="24"/>
          <w:lang w:val="fr-FR"/>
        </w:rPr>
        <w:t xml:space="preserve">il apparaît </w:t>
      </w:r>
      <w:r w:rsidR="000C42FD" w:rsidRPr="0070292F">
        <w:rPr>
          <w:rFonts w:ascii="Times New Roman" w:eastAsia="Calibri" w:hAnsi="Times New Roman" w:cs="Times New Roman"/>
          <w:iCs/>
          <w:szCs w:val="24"/>
          <w:lang w:val="fr-FR"/>
        </w:rPr>
        <w:t>que l</w:t>
      </w:r>
      <w:r w:rsidR="0070292F" w:rsidRPr="0070292F">
        <w:rPr>
          <w:rFonts w:ascii="Times New Roman" w:eastAsia="Calibri" w:hAnsi="Times New Roman" w:cs="Times New Roman"/>
          <w:iCs/>
          <w:szCs w:val="24"/>
          <w:lang w:val="fr-FR"/>
        </w:rPr>
        <w:t>’</w:t>
      </w:r>
      <w:r w:rsidR="000C42FD" w:rsidRPr="0070292F">
        <w:rPr>
          <w:rFonts w:ascii="Times New Roman" w:eastAsia="Calibri" w:hAnsi="Times New Roman" w:cs="Times New Roman"/>
          <w:iCs/>
          <w:szCs w:val="24"/>
          <w:lang w:val="fr-FR"/>
        </w:rPr>
        <w:t xml:space="preserve">intéressé </w:t>
      </w:r>
      <w:r w:rsidR="006D303A" w:rsidRPr="0070292F">
        <w:rPr>
          <w:rFonts w:ascii="Times New Roman" w:eastAsia="Calibri" w:hAnsi="Times New Roman" w:cs="Times New Roman"/>
          <w:iCs/>
          <w:szCs w:val="24"/>
          <w:lang w:val="fr-FR"/>
        </w:rPr>
        <w:t>n</w:t>
      </w:r>
      <w:r w:rsidR="0070292F" w:rsidRPr="0070292F">
        <w:rPr>
          <w:rFonts w:ascii="Times New Roman" w:eastAsia="Calibri" w:hAnsi="Times New Roman" w:cs="Times New Roman"/>
          <w:iCs/>
          <w:szCs w:val="24"/>
          <w:lang w:val="fr-FR"/>
        </w:rPr>
        <w:t>’</w:t>
      </w:r>
      <w:r w:rsidR="006D303A" w:rsidRPr="0070292F">
        <w:rPr>
          <w:rFonts w:ascii="Times New Roman" w:eastAsia="Calibri" w:hAnsi="Times New Roman" w:cs="Times New Roman"/>
          <w:iCs/>
          <w:szCs w:val="24"/>
          <w:lang w:val="fr-FR"/>
        </w:rPr>
        <w:t xml:space="preserve">a pas </w:t>
      </w:r>
      <w:r w:rsidR="009B5CBE" w:rsidRPr="0070292F">
        <w:rPr>
          <w:rFonts w:ascii="Times New Roman" w:eastAsia="Calibri" w:hAnsi="Times New Roman" w:cs="Times New Roman"/>
          <w:iCs/>
          <w:szCs w:val="24"/>
          <w:lang w:val="fr-FR"/>
        </w:rPr>
        <w:t>subi de restrictions à sa liberté de sortir pendant la journée</w:t>
      </w:r>
      <w:r w:rsidR="006D303A" w:rsidRPr="0070292F">
        <w:rPr>
          <w:rFonts w:ascii="Times New Roman" w:eastAsia="Calibri" w:hAnsi="Times New Roman" w:cs="Times New Roman"/>
          <w:iCs/>
          <w:szCs w:val="24"/>
          <w:lang w:val="fr-FR"/>
        </w:rPr>
        <w:t xml:space="preserve"> et </w:t>
      </w:r>
      <w:r w:rsidR="000330B7" w:rsidRPr="0070292F">
        <w:rPr>
          <w:rFonts w:ascii="Times New Roman" w:eastAsia="Calibri" w:hAnsi="Times New Roman" w:cs="Times New Roman"/>
          <w:iCs/>
          <w:szCs w:val="24"/>
          <w:lang w:val="fr-FR"/>
        </w:rPr>
        <w:t>qu</w:t>
      </w:r>
      <w:r w:rsidR="0070292F" w:rsidRPr="0070292F">
        <w:rPr>
          <w:rFonts w:ascii="Times New Roman" w:eastAsia="Calibri" w:hAnsi="Times New Roman" w:cs="Times New Roman"/>
          <w:iCs/>
          <w:szCs w:val="24"/>
          <w:lang w:val="fr-FR"/>
        </w:rPr>
        <w:t>’</w:t>
      </w:r>
      <w:r w:rsidR="006603B9" w:rsidRPr="0070292F">
        <w:rPr>
          <w:rFonts w:ascii="Times New Roman" w:eastAsia="Calibri" w:hAnsi="Times New Roman" w:cs="Times New Roman"/>
          <w:iCs/>
          <w:szCs w:val="24"/>
          <w:lang w:val="fr-FR"/>
        </w:rPr>
        <w:t>il</w:t>
      </w:r>
      <w:r w:rsidR="009B5CBE" w:rsidRPr="0070292F">
        <w:rPr>
          <w:rFonts w:ascii="Times New Roman" w:eastAsia="Calibri" w:hAnsi="Times New Roman" w:cs="Times New Roman"/>
          <w:iCs/>
          <w:szCs w:val="24"/>
          <w:lang w:val="fr-FR"/>
        </w:rPr>
        <w:t xml:space="preserve"> a eu</w:t>
      </w:r>
      <w:r w:rsidR="000E579D" w:rsidRPr="0070292F">
        <w:rPr>
          <w:rFonts w:ascii="Times New Roman" w:eastAsia="Calibri" w:hAnsi="Times New Roman" w:cs="Times New Roman"/>
          <w:iCs/>
          <w:szCs w:val="24"/>
          <w:lang w:val="fr-FR"/>
        </w:rPr>
        <w:t xml:space="preserve"> </w:t>
      </w:r>
      <w:r w:rsidR="00E86E04" w:rsidRPr="0070292F">
        <w:rPr>
          <w:rFonts w:ascii="Times New Roman" w:eastAsia="Calibri" w:hAnsi="Times New Roman" w:cs="Times New Roman"/>
          <w:iCs/>
          <w:szCs w:val="24"/>
          <w:lang w:val="fr-FR"/>
        </w:rPr>
        <w:t xml:space="preserve">la possibilité </w:t>
      </w:r>
      <w:r w:rsidR="000E579D" w:rsidRPr="0070292F">
        <w:rPr>
          <w:rFonts w:ascii="Times New Roman" w:eastAsia="Calibri" w:hAnsi="Times New Roman" w:cs="Times New Roman"/>
          <w:iCs/>
          <w:szCs w:val="24"/>
          <w:lang w:val="fr-FR"/>
        </w:rPr>
        <w:t xml:space="preserve">de mener une vie </w:t>
      </w:r>
      <w:r w:rsidR="00643999" w:rsidRPr="0070292F">
        <w:rPr>
          <w:rFonts w:ascii="Times New Roman" w:eastAsia="Calibri" w:hAnsi="Times New Roman" w:cs="Times New Roman"/>
          <w:iCs/>
          <w:szCs w:val="24"/>
          <w:lang w:val="fr-FR"/>
        </w:rPr>
        <w:t>sociale</w:t>
      </w:r>
      <w:r w:rsidR="000E579D" w:rsidRPr="0070292F">
        <w:rPr>
          <w:rFonts w:ascii="Times New Roman" w:eastAsia="Calibri" w:hAnsi="Times New Roman" w:cs="Times New Roman"/>
          <w:iCs/>
          <w:szCs w:val="24"/>
          <w:lang w:val="fr-FR"/>
        </w:rPr>
        <w:t xml:space="preserve"> </w:t>
      </w:r>
      <w:r w:rsidR="00643999" w:rsidRPr="0070292F">
        <w:rPr>
          <w:rFonts w:ascii="Times New Roman" w:eastAsia="Calibri" w:hAnsi="Times New Roman" w:cs="Times New Roman"/>
          <w:iCs/>
          <w:szCs w:val="24"/>
          <w:lang w:val="fr-FR"/>
        </w:rPr>
        <w:t xml:space="preserve">et </w:t>
      </w:r>
      <w:r w:rsidR="000E579D" w:rsidRPr="0070292F">
        <w:rPr>
          <w:rFonts w:ascii="Times New Roman" w:eastAsia="Calibri" w:hAnsi="Times New Roman" w:cs="Times New Roman"/>
          <w:iCs/>
          <w:szCs w:val="24"/>
          <w:lang w:val="fr-FR"/>
        </w:rPr>
        <w:t>d</w:t>
      </w:r>
      <w:r w:rsidR="0070292F" w:rsidRPr="0070292F">
        <w:rPr>
          <w:rFonts w:ascii="Times New Roman" w:eastAsia="Calibri" w:hAnsi="Times New Roman" w:cs="Times New Roman"/>
          <w:iCs/>
          <w:szCs w:val="24"/>
          <w:lang w:val="fr-FR"/>
        </w:rPr>
        <w:t>’</w:t>
      </w:r>
      <w:r w:rsidR="000E579D" w:rsidRPr="0070292F">
        <w:rPr>
          <w:rFonts w:ascii="Times New Roman" w:eastAsia="Calibri" w:hAnsi="Times New Roman" w:cs="Times New Roman"/>
          <w:iCs/>
          <w:szCs w:val="24"/>
          <w:lang w:val="fr-FR"/>
        </w:rPr>
        <w:t xml:space="preserve">entretenir des relations avec </w:t>
      </w:r>
      <w:r w:rsidR="00F341A2" w:rsidRPr="0070292F">
        <w:rPr>
          <w:rFonts w:ascii="Times New Roman" w:eastAsia="Calibri" w:hAnsi="Times New Roman" w:cs="Times New Roman"/>
          <w:iCs/>
          <w:szCs w:val="24"/>
          <w:lang w:val="fr-FR"/>
        </w:rPr>
        <w:t>l</w:t>
      </w:r>
      <w:r w:rsidR="0070292F" w:rsidRPr="0070292F">
        <w:rPr>
          <w:rFonts w:ascii="Times New Roman" w:eastAsia="Calibri" w:hAnsi="Times New Roman" w:cs="Times New Roman"/>
          <w:iCs/>
          <w:szCs w:val="24"/>
          <w:lang w:val="fr-FR"/>
        </w:rPr>
        <w:t>’</w:t>
      </w:r>
      <w:r w:rsidR="00F341A2" w:rsidRPr="0070292F">
        <w:rPr>
          <w:rFonts w:ascii="Times New Roman" w:eastAsia="Calibri" w:hAnsi="Times New Roman" w:cs="Times New Roman"/>
          <w:iCs/>
          <w:szCs w:val="24"/>
          <w:lang w:val="fr-FR"/>
        </w:rPr>
        <w:t>extérieur</w:t>
      </w:r>
      <w:r w:rsidR="00E86E04" w:rsidRPr="0070292F">
        <w:rPr>
          <w:rFonts w:ascii="Times New Roman" w:eastAsia="Calibri" w:hAnsi="Times New Roman" w:cs="Times New Roman"/>
          <w:iCs/>
          <w:szCs w:val="24"/>
          <w:lang w:val="fr-FR"/>
        </w:rPr>
        <w:t>.</w:t>
      </w:r>
      <w:r w:rsidR="004E3440" w:rsidRPr="0070292F">
        <w:rPr>
          <w:rFonts w:ascii="Times New Roman" w:eastAsia="Calibri" w:hAnsi="Times New Roman" w:cs="Times New Roman"/>
          <w:iCs/>
          <w:szCs w:val="24"/>
          <w:lang w:val="fr-FR"/>
        </w:rPr>
        <w:t xml:space="preserve"> Par ailleurs,</w:t>
      </w:r>
      <w:r w:rsidR="009B5CBE" w:rsidRPr="0070292F">
        <w:rPr>
          <w:rFonts w:ascii="Times New Roman" w:eastAsia="Calibri" w:hAnsi="Times New Roman" w:cs="Times New Roman"/>
          <w:iCs/>
          <w:szCs w:val="24"/>
          <w:lang w:val="fr-FR"/>
        </w:rPr>
        <w:t xml:space="preserve"> l</w:t>
      </w:r>
      <w:r w:rsidR="00BD1C61" w:rsidRPr="0070292F">
        <w:rPr>
          <w:rFonts w:ascii="Times New Roman" w:eastAsia="Calibri" w:hAnsi="Times New Roman" w:cs="Times New Roman"/>
          <w:iCs/>
          <w:szCs w:val="24"/>
          <w:lang w:val="fr-FR"/>
        </w:rPr>
        <w:t>a</w:t>
      </w:r>
      <w:r w:rsidR="009B5CBE" w:rsidRPr="0070292F">
        <w:rPr>
          <w:rFonts w:ascii="Times New Roman" w:eastAsia="Calibri" w:hAnsi="Times New Roman" w:cs="Times New Roman"/>
          <w:iCs/>
          <w:szCs w:val="24"/>
          <w:lang w:val="fr-FR"/>
        </w:rPr>
        <w:t xml:space="preserve"> Cour relève </w:t>
      </w:r>
      <w:r w:rsidR="00EB2E91" w:rsidRPr="0070292F">
        <w:rPr>
          <w:rFonts w:ascii="Times New Roman" w:eastAsia="Calibri" w:hAnsi="Times New Roman" w:cs="Times New Roman"/>
          <w:iCs/>
          <w:szCs w:val="24"/>
          <w:lang w:val="fr-FR"/>
        </w:rPr>
        <w:t>qu</w:t>
      </w:r>
      <w:r w:rsidR="0070292F" w:rsidRPr="0070292F">
        <w:rPr>
          <w:rFonts w:ascii="Times New Roman" w:eastAsia="Calibri" w:hAnsi="Times New Roman" w:cs="Times New Roman"/>
          <w:iCs/>
          <w:szCs w:val="24"/>
          <w:lang w:val="fr-FR"/>
        </w:rPr>
        <w:t>’</w:t>
      </w:r>
      <w:r w:rsidR="00EB2E91" w:rsidRPr="0070292F">
        <w:rPr>
          <w:rFonts w:ascii="Times New Roman" w:eastAsia="Calibri" w:hAnsi="Times New Roman" w:cs="Times New Roman"/>
          <w:iCs/>
          <w:szCs w:val="24"/>
          <w:lang w:val="fr-FR"/>
        </w:rPr>
        <w:t>il ne ressort</w:t>
      </w:r>
      <w:r w:rsidR="00BC5328" w:rsidRPr="0070292F">
        <w:rPr>
          <w:rFonts w:ascii="Times New Roman" w:eastAsia="Calibri" w:hAnsi="Times New Roman" w:cs="Times New Roman"/>
          <w:iCs/>
          <w:szCs w:val="24"/>
          <w:lang w:val="fr-FR"/>
        </w:rPr>
        <w:t xml:space="preserve"> pas du dossier que </w:t>
      </w:r>
      <w:r w:rsidR="001B01D1" w:rsidRPr="0070292F">
        <w:rPr>
          <w:rFonts w:ascii="Times New Roman" w:eastAsia="Calibri" w:hAnsi="Times New Roman" w:cs="Times New Roman"/>
          <w:iCs/>
          <w:szCs w:val="24"/>
          <w:lang w:val="fr-FR"/>
        </w:rPr>
        <w:t>le requérant</w:t>
      </w:r>
      <w:r w:rsidR="008310DC" w:rsidRPr="0070292F">
        <w:rPr>
          <w:rFonts w:ascii="Times New Roman" w:eastAsia="Calibri" w:hAnsi="Times New Roman" w:cs="Times New Roman"/>
          <w:iCs/>
          <w:szCs w:val="24"/>
          <w:lang w:val="fr-FR"/>
        </w:rPr>
        <w:t xml:space="preserve"> </w:t>
      </w:r>
      <w:r w:rsidR="001B01D1" w:rsidRPr="0070292F">
        <w:rPr>
          <w:rFonts w:ascii="Times New Roman" w:eastAsia="Calibri" w:hAnsi="Times New Roman" w:cs="Times New Roman"/>
          <w:iCs/>
          <w:szCs w:val="24"/>
          <w:lang w:val="fr-FR"/>
        </w:rPr>
        <w:t>ait jamais</w:t>
      </w:r>
      <w:r w:rsidR="00C11F35" w:rsidRPr="0070292F">
        <w:rPr>
          <w:rFonts w:ascii="Times New Roman" w:eastAsia="Calibri" w:hAnsi="Times New Roman" w:cs="Times New Roman"/>
          <w:iCs/>
          <w:szCs w:val="24"/>
          <w:lang w:val="fr-FR"/>
        </w:rPr>
        <w:t xml:space="preserve"> demandé aux autorités </w:t>
      </w:r>
      <w:r w:rsidR="000C42FD" w:rsidRPr="0070292F">
        <w:rPr>
          <w:rFonts w:ascii="Times New Roman" w:eastAsia="Calibri" w:hAnsi="Times New Roman" w:cs="Times New Roman"/>
          <w:iCs/>
          <w:szCs w:val="24"/>
          <w:lang w:val="fr-FR"/>
        </w:rPr>
        <w:t>la permission de</w:t>
      </w:r>
      <w:r w:rsidR="00EB2E91" w:rsidRPr="0070292F">
        <w:rPr>
          <w:rFonts w:ascii="Times New Roman" w:eastAsia="Calibri" w:hAnsi="Times New Roman" w:cs="Times New Roman"/>
          <w:iCs/>
          <w:szCs w:val="24"/>
          <w:lang w:val="fr-FR"/>
        </w:rPr>
        <w:t xml:space="preserve"> </w:t>
      </w:r>
      <w:r w:rsidR="001B01D1" w:rsidRPr="0070292F">
        <w:rPr>
          <w:rFonts w:ascii="Times New Roman" w:eastAsia="Calibri" w:hAnsi="Times New Roman" w:cs="Times New Roman"/>
          <w:iCs/>
          <w:szCs w:val="24"/>
          <w:lang w:val="fr-FR"/>
        </w:rPr>
        <w:t>s</w:t>
      </w:r>
      <w:r w:rsidR="0070292F" w:rsidRPr="0070292F">
        <w:rPr>
          <w:rFonts w:ascii="Times New Roman" w:eastAsia="Calibri" w:hAnsi="Times New Roman" w:cs="Times New Roman"/>
          <w:iCs/>
          <w:szCs w:val="24"/>
          <w:lang w:val="fr-FR"/>
        </w:rPr>
        <w:t>’</w:t>
      </w:r>
      <w:r w:rsidR="001B01D1" w:rsidRPr="0070292F">
        <w:rPr>
          <w:rFonts w:ascii="Times New Roman" w:eastAsia="Calibri" w:hAnsi="Times New Roman" w:cs="Times New Roman"/>
          <w:iCs/>
          <w:szCs w:val="24"/>
          <w:lang w:val="fr-FR"/>
        </w:rPr>
        <w:t>éloigner de son lieu de résidence.</w:t>
      </w:r>
    </w:p>
    <w:p w:rsidR="00E86E04" w:rsidRPr="0070292F" w:rsidRDefault="00DB1871" w:rsidP="0070292F">
      <w:pPr>
        <w:pStyle w:val="ECHRPara"/>
        <w:rPr>
          <w:rFonts w:ascii="Times New Roman" w:eastAsia="Calibri" w:hAnsi="Times New Roman" w:cs="Times New Roman"/>
          <w:iCs/>
          <w:lang w:val="fr-FR"/>
        </w:rPr>
      </w:pPr>
      <w:r w:rsidRPr="0070292F">
        <w:rPr>
          <w:rFonts w:ascii="Times New Roman" w:hAnsi="Times New Roman" w:cs="Times New Roman"/>
          <w:color w:val="000000"/>
          <w:lang w:val="fr-FR"/>
        </w:rPr>
        <w:fldChar w:fldCharType="begin"/>
      </w:r>
      <w:r w:rsidRPr="0070292F">
        <w:rPr>
          <w:rFonts w:ascii="Times New Roman" w:hAnsi="Times New Roman" w:cs="Times New Roman"/>
          <w:color w:val="000000"/>
          <w:lang w:val="fr-FR"/>
        </w:rPr>
        <w:instrText xml:space="preserve"> SEQ level0 \*arabic </w:instrText>
      </w:r>
      <w:r w:rsidRPr="0070292F">
        <w:rPr>
          <w:rFonts w:ascii="Times New Roman" w:hAnsi="Times New Roman" w:cs="Times New Roman"/>
          <w:color w:val="000000"/>
          <w:lang w:val="fr-FR"/>
        </w:rPr>
        <w:fldChar w:fldCharType="separate"/>
      </w:r>
      <w:r w:rsidR="0070292F" w:rsidRPr="0070292F">
        <w:rPr>
          <w:rFonts w:ascii="Times New Roman" w:hAnsi="Times New Roman" w:cs="Times New Roman"/>
          <w:noProof/>
          <w:color w:val="000000"/>
          <w:lang w:val="fr-FR"/>
        </w:rPr>
        <w:t>89</w:t>
      </w:r>
      <w:r w:rsidRPr="0070292F">
        <w:rPr>
          <w:rFonts w:ascii="Times New Roman" w:hAnsi="Times New Roman" w:cs="Times New Roman"/>
          <w:color w:val="000000"/>
          <w:lang w:val="fr-FR"/>
        </w:rPr>
        <w:fldChar w:fldCharType="end"/>
      </w:r>
      <w:r w:rsidRPr="0070292F">
        <w:rPr>
          <w:rFonts w:ascii="Times New Roman" w:hAnsi="Times New Roman" w:cs="Times New Roman"/>
          <w:color w:val="000000"/>
          <w:lang w:val="fr-FR"/>
        </w:rPr>
        <w:t>.  </w:t>
      </w:r>
      <w:r w:rsidR="000C42FD" w:rsidRPr="0070292F">
        <w:rPr>
          <w:rFonts w:ascii="Times New Roman" w:hAnsi="Times New Roman" w:cs="Times New Roman"/>
          <w:color w:val="000000"/>
          <w:lang w:val="fr-FR"/>
        </w:rPr>
        <w:t>Pour</w:t>
      </w:r>
      <w:r w:rsidR="007871D4" w:rsidRPr="0070292F">
        <w:rPr>
          <w:rFonts w:ascii="Times New Roman" w:hAnsi="Times New Roman" w:cs="Times New Roman"/>
          <w:color w:val="000000"/>
          <w:lang w:val="fr-FR"/>
        </w:rPr>
        <w:t xml:space="preserve"> la Cour, les obligations imposées au requérant n</w:t>
      </w:r>
      <w:r w:rsidR="0070292F" w:rsidRPr="0070292F">
        <w:rPr>
          <w:rFonts w:ascii="Times New Roman" w:hAnsi="Times New Roman" w:cs="Times New Roman"/>
          <w:color w:val="000000"/>
          <w:lang w:val="fr-FR"/>
        </w:rPr>
        <w:t>’</w:t>
      </w:r>
      <w:r w:rsidR="007871D4" w:rsidRPr="0070292F">
        <w:rPr>
          <w:rFonts w:ascii="Times New Roman" w:hAnsi="Times New Roman" w:cs="Times New Roman"/>
          <w:color w:val="000000"/>
          <w:lang w:val="fr-FR"/>
        </w:rPr>
        <w:t>ont pas entraîné une privation de liberté au sens de l</w:t>
      </w:r>
      <w:r w:rsidR="0070292F" w:rsidRPr="0070292F">
        <w:rPr>
          <w:rFonts w:ascii="Times New Roman" w:hAnsi="Times New Roman" w:cs="Times New Roman"/>
          <w:color w:val="000000"/>
          <w:lang w:val="fr-FR"/>
        </w:rPr>
        <w:t>’</w:t>
      </w:r>
      <w:r w:rsidR="007871D4" w:rsidRPr="0070292F">
        <w:rPr>
          <w:rFonts w:ascii="Times New Roman" w:hAnsi="Times New Roman" w:cs="Times New Roman"/>
          <w:color w:val="000000"/>
          <w:lang w:val="fr-FR"/>
        </w:rPr>
        <w:t>article 5 § 1 de la Convention, mais de simples restrictions à la liberté de circul</w:t>
      </w:r>
      <w:r w:rsidR="000C42FD" w:rsidRPr="0070292F">
        <w:rPr>
          <w:rFonts w:ascii="Times New Roman" w:hAnsi="Times New Roman" w:cs="Times New Roman"/>
          <w:color w:val="000000"/>
          <w:lang w:val="fr-FR"/>
        </w:rPr>
        <w:t>ation</w:t>
      </w:r>
      <w:r w:rsidR="00BA5160" w:rsidRPr="0070292F">
        <w:rPr>
          <w:lang w:val="fr-FR"/>
        </w:rPr>
        <w:t>.</w:t>
      </w:r>
    </w:p>
    <w:p w:rsidR="002E375E" w:rsidRPr="0070292F" w:rsidRDefault="00CE5F49"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90</w:t>
      </w:r>
      <w:r w:rsidRPr="0070292F">
        <w:rPr>
          <w:lang w:val="fr-FR"/>
        </w:rPr>
        <w:fldChar w:fldCharType="end"/>
      </w:r>
      <w:r w:rsidRPr="0070292F">
        <w:rPr>
          <w:lang w:val="fr-FR"/>
        </w:rPr>
        <w:t>.  </w:t>
      </w:r>
      <w:r w:rsidR="002E375E" w:rsidRPr="0070292F">
        <w:rPr>
          <w:lang w:val="fr-FR"/>
        </w:rPr>
        <w:t xml:space="preserve">Il </w:t>
      </w:r>
      <w:r w:rsidR="003D57C0" w:rsidRPr="0070292F">
        <w:rPr>
          <w:lang w:val="fr-FR"/>
        </w:rPr>
        <w:t>s</w:t>
      </w:r>
      <w:r w:rsidR="0070292F" w:rsidRPr="0070292F">
        <w:rPr>
          <w:lang w:val="fr-FR"/>
        </w:rPr>
        <w:t>’</w:t>
      </w:r>
      <w:r w:rsidR="003D57C0" w:rsidRPr="0070292F">
        <w:rPr>
          <w:lang w:val="fr-FR"/>
        </w:rPr>
        <w:t>ensuit</w:t>
      </w:r>
      <w:r w:rsidR="002E375E" w:rsidRPr="0070292F">
        <w:rPr>
          <w:lang w:val="fr-FR"/>
        </w:rPr>
        <w:t xml:space="preserve"> que </w:t>
      </w:r>
      <w:r w:rsidR="00334464" w:rsidRPr="0070292F">
        <w:rPr>
          <w:lang w:val="fr-FR"/>
        </w:rPr>
        <w:t>le grief tiré</w:t>
      </w:r>
      <w:r w:rsidR="002E375E" w:rsidRPr="0070292F">
        <w:rPr>
          <w:lang w:val="fr-FR"/>
        </w:rPr>
        <w:t xml:space="preserve"> de </w:t>
      </w:r>
      <w:r w:rsidR="002A36A8" w:rsidRPr="0070292F">
        <w:rPr>
          <w:lang w:val="fr-FR"/>
        </w:rPr>
        <w:t>l</w:t>
      </w:r>
      <w:r w:rsidR="0070292F" w:rsidRPr="0070292F">
        <w:rPr>
          <w:lang w:val="fr-FR"/>
        </w:rPr>
        <w:t>’</w:t>
      </w:r>
      <w:r w:rsidR="002A36A8" w:rsidRPr="0070292F">
        <w:rPr>
          <w:lang w:val="fr-FR"/>
        </w:rPr>
        <w:t>article</w:t>
      </w:r>
      <w:r w:rsidR="002E375E" w:rsidRPr="0070292F">
        <w:rPr>
          <w:lang w:val="fr-FR"/>
        </w:rPr>
        <w:t xml:space="preserve"> 5 de la Convention </w:t>
      </w:r>
      <w:r w:rsidR="00334464" w:rsidRPr="0070292F">
        <w:rPr>
          <w:lang w:val="fr-FR"/>
        </w:rPr>
        <w:t xml:space="preserve">est </w:t>
      </w:r>
      <w:r w:rsidR="00F341A2" w:rsidRPr="0070292F">
        <w:rPr>
          <w:lang w:val="fr-FR"/>
        </w:rPr>
        <w:t>incompatible</w:t>
      </w:r>
      <w:r w:rsidR="002E375E" w:rsidRPr="0070292F">
        <w:rPr>
          <w:lang w:val="fr-FR"/>
        </w:rPr>
        <w:t xml:space="preserve"> </w:t>
      </w:r>
      <w:r w:rsidR="002E375E" w:rsidRPr="0070292F">
        <w:rPr>
          <w:i/>
          <w:lang w:val="fr-FR"/>
        </w:rPr>
        <w:t>ratione mat</w:t>
      </w:r>
      <w:r w:rsidR="00334464" w:rsidRPr="0070292F">
        <w:rPr>
          <w:i/>
          <w:lang w:val="fr-FR"/>
        </w:rPr>
        <w:t>eriae</w:t>
      </w:r>
      <w:r w:rsidR="00334464" w:rsidRPr="0070292F">
        <w:rPr>
          <w:lang w:val="fr-FR"/>
        </w:rPr>
        <w:t xml:space="preserve"> avec la Convention, et </w:t>
      </w:r>
      <w:r w:rsidR="00EB2E91" w:rsidRPr="0070292F">
        <w:rPr>
          <w:lang w:val="fr-FR"/>
        </w:rPr>
        <w:t>qu</w:t>
      </w:r>
      <w:r w:rsidR="0070292F" w:rsidRPr="0070292F">
        <w:rPr>
          <w:lang w:val="fr-FR"/>
        </w:rPr>
        <w:t>’</w:t>
      </w:r>
      <w:r w:rsidR="00334464" w:rsidRPr="0070292F">
        <w:rPr>
          <w:lang w:val="fr-FR"/>
        </w:rPr>
        <w:t>il doit être rejeté</w:t>
      </w:r>
      <w:r w:rsidR="002E375E" w:rsidRPr="0070292F">
        <w:rPr>
          <w:lang w:val="fr-FR"/>
        </w:rPr>
        <w:t xml:space="preserve"> </w:t>
      </w:r>
      <w:r w:rsidR="000C42FD" w:rsidRPr="0070292F">
        <w:rPr>
          <w:lang w:val="fr-FR"/>
        </w:rPr>
        <w:t>en application de</w:t>
      </w:r>
      <w:r w:rsidR="002E375E" w:rsidRPr="0070292F">
        <w:rPr>
          <w:lang w:val="fr-FR"/>
        </w:rPr>
        <w:t xml:space="preserve"> </w:t>
      </w:r>
      <w:r w:rsidR="0025771F" w:rsidRPr="0070292F">
        <w:rPr>
          <w:lang w:val="fr-FR"/>
        </w:rPr>
        <w:t>l</w:t>
      </w:r>
      <w:r w:rsidR="0070292F" w:rsidRPr="0070292F">
        <w:rPr>
          <w:lang w:val="fr-FR"/>
        </w:rPr>
        <w:t>’</w:t>
      </w:r>
      <w:r w:rsidR="0025771F" w:rsidRPr="0070292F">
        <w:rPr>
          <w:lang w:val="fr-FR"/>
        </w:rPr>
        <w:t>article</w:t>
      </w:r>
      <w:r w:rsidR="002E375E" w:rsidRPr="0070292F">
        <w:rPr>
          <w:lang w:val="fr-FR"/>
        </w:rPr>
        <w:t xml:space="preserve"> 35 §§ 3 </w:t>
      </w:r>
      <w:r w:rsidR="00D74571" w:rsidRPr="0070292F">
        <w:rPr>
          <w:lang w:val="fr-FR"/>
        </w:rPr>
        <w:t xml:space="preserve">a) </w:t>
      </w:r>
      <w:r w:rsidR="002E375E" w:rsidRPr="0070292F">
        <w:rPr>
          <w:lang w:val="fr-FR"/>
        </w:rPr>
        <w:t>et 4.</w:t>
      </w:r>
    </w:p>
    <w:bookmarkStart w:id="33" w:name="para85"/>
    <w:p w:rsidR="002645B9" w:rsidRPr="0070292F" w:rsidRDefault="00BF43DF"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91</w:t>
      </w:r>
      <w:r w:rsidRPr="0070292F">
        <w:rPr>
          <w:lang w:val="fr-FR"/>
        </w:rPr>
        <w:fldChar w:fldCharType="end"/>
      </w:r>
      <w:bookmarkEnd w:id="33"/>
      <w:r w:rsidRPr="0070292F">
        <w:rPr>
          <w:lang w:val="fr-FR"/>
        </w:rPr>
        <w:t>.  </w:t>
      </w:r>
      <w:r w:rsidR="00D10B9F" w:rsidRPr="0070292F">
        <w:rPr>
          <w:lang w:val="fr-FR"/>
        </w:rPr>
        <w:t>L</w:t>
      </w:r>
      <w:r w:rsidR="0070292F" w:rsidRPr="0070292F">
        <w:rPr>
          <w:lang w:val="fr-FR"/>
        </w:rPr>
        <w:t>’</w:t>
      </w:r>
      <w:r w:rsidR="00D10B9F" w:rsidRPr="0070292F">
        <w:rPr>
          <w:lang w:val="fr-FR"/>
        </w:rPr>
        <w:t>article</w:t>
      </w:r>
      <w:r w:rsidR="002E375E" w:rsidRPr="0070292F">
        <w:rPr>
          <w:lang w:val="fr-FR"/>
        </w:rPr>
        <w:t xml:space="preserve"> 5 étant </w:t>
      </w:r>
      <w:r w:rsidR="000C42FD" w:rsidRPr="0070292F">
        <w:rPr>
          <w:lang w:val="fr-FR"/>
        </w:rPr>
        <w:t xml:space="preserve">donc </w:t>
      </w:r>
      <w:r w:rsidR="002E375E" w:rsidRPr="0070292F">
        <w:rPr>
          <w:lang w:val="fr-FR"/>
        </w:rPr>
        <w:t xml:space="preserve">inapplicable, il y a lieu </w:t>
      </w:r>
      <w:r w:rsidR="0025771F" w:rsidRPr="0070292F">
        <w:rPr>
          <w:lang w:val="fr-FR"/>
        </w:rPr>
        <w:t>d</w:t>
      </w:r>
      <w:r w:rsidR="0070292F" w:rsidRPr="0070292F">
        <w:rPr>
          <w:lang w:val="fr-FR"/>
        </w:rPr>
        <w:t>’</w:t>
      </w:r>
      <w:r w:rsidR="0025771F" w:rsidRPr="0070292F">
        <w:rPr>
          <w:lang w:val="fr-FR"/>
        </w:rPr>
        <w:t>examiner</w:t>
      </w:r>
      <w:r w:rsidR="002E375E" w:rsidRPr="0070292F">
        <w:rPr>
          <w:lang w:val="fr-FR"/>
        </w:rPr>
        <w:t xml:space="preserve"> </w:t>
      </w:r>
      <w:r w:rsidRPr="0070292F">
        <w:rPr>
          <w:lang w:val="fr-FR"/>
        </w:rPr>
        <w:t>l</w:t>
      </w:r>
      <w:r w:rsidR="002E375E" w:rsidRPr="0070292F">
        <w:rPr>
          <w:lang w:val="fr-FR"/>
        </w:rPr>
        <w:t xml:space="preserve">e grief </w:t>
      </w:r>
      <w:r w:rsidRPr="0070292F">
        <w:rPr>
          <w:lang w:val="fr-FR"/>
        </w:rPr>
        <w:t xml:space="preserve">du requérant </w:t>
      </w:r>
      <w:r w:rsidR="002E375E" w:rsidRPr="0070292F">
        <w:rPr>
          <w:lang w:val="fr-FR"/>
        </w:rPr>
        <w:t xml:space="preserve">sous </w:t>
      </w:r>
      <w:r w:rsidRPr="0070292F">
        <w:rPr>
          <w:lang w:val="fr-FR"/>
        </w:rPr>
        <w:t>l</w:t>
      </w:r>
      <w:r w:rsidR="0070292F" w:rsidRPr="0070292F">
        <w:rPr>
          <w:lang w:val="fr-FR"/>
        </w:rPr>
        <w:t>’</w:t>
      </w:r>
      <w:r w:rsidRPr="0070292F">
        <w:rPr>
          <w:lang w:val="fr-FR"/>
        </w:rPr>
        <w:t>angle</w:t>
      </w:r>
      <w:r w:rsidR="002E375E" w:rsidRPr="0070292F">
        <w:rPr>
          <w:lang w:val="fr-FR"/>
        </w:rPr>
        <w:t xml:space="preserve"> de </w:t>
      </w:r>
      <w:r w:rsidRPr="0070292F">
        <w:rPr>
          <w:lang w:val="fr-FR"/>
        </w:rPr>
        <w:t>l</w:t>
      </w:r>
      <w:r w:rsidR="0070292F" w:rsidRPr="0070292F">
        <w:rPr>
          <w:lang w:val="fr-FR"/>
        </w:rPr>
        <w:t>’</w:t>
      </w:r>
      <w:r w:rsidRPr="0070292F">
        <w:rPr>
          <w:lang w:val="fr-FR"/>
        </w:rPr>
        <w:t>article</w:t>
      </w:r>
      <w:r w:rsidR="00156556" w:rsidRPr="0070292F">
        <w:rPr>
          <w:lang w:val="fr-FR"/>
        </w:rPr>
        <w:t xml:space="preserve"> 2 du Protocole n</w:t>
      </w:r>
      <w:r w:rsidR="008C1E94" w:rsidRPr="0070292F">
        <w:rPr>
          <w:rFonts w:eastAsia="Calibri"/>
          <w:iCs/>
          <w:vertAlign w:val="superscript"/>
          <w:lang w:val="fr-FR"/>
        </w:rPr>
        <w:t>o</w:t>
      </w:r>
      <w:r w:rsidR="00EB2E91" w:rsidRPr="0070292F">
        <w:rPr>
          <w:lang w:val="fr-FR"/>
        </w:rPr>
        <w:t xml:space="preserve"> 4, dont l</w:t>
      </w:r>
      <w:r w:rsidR="0070292F" w:rsidRPr="0070292F">
        <w:rPr>
          <w:lang w:val="fr-FR"/>
        </w:rPr>
        <w:t>’</w:t>
      </w:r>
      <w:r w:rsidR="00EB2E91" w:rsidRPr="0070292F">
        <w:rPr>
          <w:lang w:val="fr-FR"/>
        </w:rPr>
        <w:t>applicabilité en l</w:t>
      </w:r>
      <w:r w:rsidR="0070292F" w:rsidRPr="0070292F">
        <w:rPr>
          <w:lang w:val="fr-FR"/>
        </w:rPr>
        <w:t>’</w:t>
      </w:r>
      <w:r w:rsidR="00EB2E91" w:rsidRPr="0070292F">
        <w:rPr>
          <w:lang w:val="fr-FR"/>
        </w:rPr>
        <w:t>espèce n</w:t>
      </w:r>
      <w:r w:rsidR="0070292F" w:rsidRPr="0070292F">
        <w:rPr>
          <w:lang w:val="fr-FR"/>
        </w:rPr>
        <w:t>’</w:t>
      </w:r>
      <w:r w:rsidR="00EB2E91" w:rsidRPr="0070292F">
        <w:rPr>
          <w:lang w:val="fr-FR"/>
        </w:rPr>
        <w:t>est pas contestée par les parties.</w:t>
      </w:r>
    </w:p>
    <w:p w:rsidR="00BF43DF" w:rsidRPr="0070292F" w:rsidRDefault="00C11F3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92</w:t>
      </w:r>
      <w:r w:rsidRPr="0070292F">
        <w:rPr>
          <w:lang w:val="fr-FR"/>
        </w:rPr>
        <w:fldChar w:fldCharType="end"/>
      </w:r>
      <w:r w:rsidRPr="0070292F">
        <w:rPr>
          <w:lang w:val="fr-FR"/>
        </w:rPr>
        <w:t>.  </w:t>
      </w:r>
      <w:r w:rsidR="000C42FD" w:rsidRPr="0070292F">
        <w:rPr>
          <w:lang w:val="fr-FR"/>
        </w:rPr>
        <w:t>C</w:t>
      </w:r>
      <w:r w:rsidRPr="0070292F">
        <w:rPr>
          <w:lang w:val="fr-FR"/>
        </w:rPr>
        <w:t>onstat</w:t>
      </w:r>
      <w:r w:rsidR="000C42FD" w:rsidRPr="0070292F">
        <w:rPr>
          <w:lang w:val="fr-FR"/>
        </w:rPr>
        <w:t>ant</w:t>
      </w:r>
      <w:r w:rsidRPr="0070292F">
        <w:rPr>
          <w:lang w:val="fr-FR"/>
        </w:rPr>
        <w:t xml:space="preserve"> que ce grief n</w:t>
      </w:r>
      <w:r w:rsidR="0070292F" w:rsidRPr="0070292F">
        <w:rPr>
          <w:lang w:val="fr-FR"/>
        </w:rPr>
        <w:t>’</w:t>
      </w:r>
      <w:r w:rsidR="00156556" w:rsidRPr="0070292F">
        <w:rPr>
          <w:lang w:val="fr-FR"/>
        </w:rPr>
        <w:t>est pas manifestement mal fondé</w:t>
      </w:r>
      <w:r w:rsidRPr="0070292F">
        <w:rPr>
          <w:lang w:val="fr-FR"/>
        </w:rPr>
        <w:t xml:space="preserve"> au sens de l</w:t>
      </w:r>
      <w:r w:rsidR="0070292F" w:rsidRPr="0070292F">
        <w:rPr>
          <w:lang w:val="fr-FR"/>
        </w:rPr>
        <w:t>’</w:t>
      </w:r>
      <w:r w:rsidRPr="0070292F">
        <w:rPr>
          <w:lang w:val="fr-FR"/>
        </w:rPr>
        <w:t>article 35 § 3 a) de la Convention et qu</w:t>
      </w:r>
      <w:r w:rsidR="0070292F" w:rsidRPr="0070292F">
        <w:rPr>
          <w:lang w:val="fr-FR"/>
        </w:rPr>
        <w:t>’</w:t>
      </w:r>
      <w:r w:rsidRPr="0070292F">
        <w:rPr>
          <w:lang w:val="fr-FR"/>
        </w:rPr>
        <w:t>il ne se heurte à aucun autre motif d</w:t>
      </w:r>
      <w:r w:rsidR="0070292F" w:rsidRPr="0070292F">
        <w:rPr>
          <w:lang w:val="fr-FR"/>
        </w:rPr>
        <w:t>’</w:t>
      </w:r>
      <w:r w:rsidRPr="0070292F">
        <w:rPr>
          <w:lang w:val="fr-FR"/>
        </w:rPr>
        <w:t>irrecevabilité</w:t>
      </w:r>
      <w:r w:rsidR="000C42FD" w:rsidRPr="0070292F">
        <w:rPr>
          <w:lang w:val="fr-FR"/>
        </w:rPr>
        <w:t xml:space="preserve">, </w:t>
      </w:r>
      <w:r w:rsidRPr="0070292F">
        <w:rPr>
          <w:lang w:val="fr-FR"/>
        </w:rPr>
        <w:t>la Cour le déclare recevable.</w:t>
      </w:r>
    </w:p>
    <w:p w:rsidR="00C11F35" w:rsidRPr="0070292F" w:rsidRDefault="00C11F35" w:rsidP="0070292F">
      <w:pPr>
        <w:pStyle w:val="ECHRHeading2"/>
        <w:outlineLvl w:val="0"/>
        <w:rPr>
          <w:lang w:val="fr-FR"/>
        </w:rPr>
      </w:pPr>
      <w:bookmarkStart w:id="34" w:name="_Toc475451849"/>
      <w:r w:rsidRPr="0070292F">
        <w:rPr>
          <w:lang w:val="fr-FR"/>
        </w:rPr>
        <w:t>B.  Sur le fond</w:t>
      </w:r>
      <w:bookmarkEnd w:id="34"/>
    </w:p>
    <w:p w:rsidR="0070292F" w:rsidRPr="0070292F" w:rsidRDefault="00BF43DF" w:rsidP="0070292F">
      <w:pPr>
        <w:pStyle w:val="ECHRHeading3"/>
        <w:rPr>
          <w:rFonts w:eastAsiaTheme="minorHAnsi"/>
          <w:lang w:val="fr-FR"/>
        </w:rPr>
      </w:pPr>
      <w:bookmarkStart w:id="35" w:name="_Toc475451850"/>
      <w:r w:rsidRPr="0070292F">
        <w:rPr>
          <w:rFonts w:eastAsiaTheme="minorHAnsi"/>
          <w:lang w:val="fr-FR"/>
        </w:rPr>
        <w:t>1.  Thèses des parties</w:t>
      </w:r>
      <w:bookmarkEnd w:id="35"/>
    </w:p>
    <w:p w:rsidR="000635DA" w:rsidRPr="0070292F" w:rsidRDefault="000635DA" w:rsidP="0070292F">
      <w:pPr>
        <w:pStyle w:val="ECHRHeading4"/>
        <w:rPr>
          <w:lang w:val="fr-FR"/>
        </w:rPr>
      </w:pPr>
      <w:r w:rsidRPr="0070292F">
        <w:rPr>
          <w:lang w:val="fr-FR"/>
        </w:rPr>
        <w:t>a)  Le requérant</w:t>
      </w:r>
    </w:p>
    <w:p w:rsidR="00322872" w:rsidRPr="0070292F" w:rsidRDefault="00C11F3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93</w:t>
      </w:r>
      <w:r w:rsidRPr="0070292F">
        <w:rPr>
          <w:lang w:val="fr-FR"/>
        </w:rPr>
        <w:fldChar w:fldCharType="end"/>
      </w:r>
      <w:r w:rsidRPr="0070292F">
        <w:rPr>
          <w:lang w:val="fr-FR"/>
        </w:rPr>
        <w:t xml:space="preserve">.  Le requérant soutient que la mesure de surveillance spéciale </w:t>
      </w:r>
      <w:r w:rsidR="008310DC" w:rsidRPr="0070292F">
        <w:rPr>
          <w:lang w:val="fr-FR"/>
        </w:rPr>
        <w:t>assortie de</w:t>
      </w:r>
      <w:r w:rsidRPr="0070292F">
        <w:rPr>
          <w:lang w:val="fr-FR"/>
        </w:rPr>
        <w:t xml:space="preserve"> l</w:t>
      </w:r>
      <w:r w:rsidR="0070292F" w:rsidRPr="0070292F">
        <w:rPr>
          <w:lang w:val="fr-FR"/>
        </w:rPr>
        <w:t>’</w:t>
      </w:r>
      <w:r w:rsidRPr="0070292F">
        <w:rPr>
          <w:lang w:val="fr-FR"/>
        </w:rPr>
        <w:t xml:space="preserve">assignation à résidence constitue une </w:t>
      </w:r>
      <w:r w:rsidR="000C42FD" w:rsidRPr="0070292F">
        <w:rPr>
          <w:lang w:val="fr-FR"/>
        </w:rPr>
        <w:t>restriction de</w:t>
      </w:r>
      <w:r w:rsidRPr="0070292F">
        <w:rPr>
          <w:lang w:val="fr-FR"/>
        </w:rPr>
        <w:t xml:space="preserve"> son droit </w:t>
      </w:r>
      <w:r w:rsidR="000C42FD" w:rsidRPr="0070292F">
        <w:rPr>
          <w:lang w:val="fr-FR"/>
        </w:rPr>
        <w:t>découlant de</w:t>
      </w:r>
      <w:r w:rsidRPr="0070292F">
        <w:rPr>
          <w:lang w:val="fr-FR"/>
        </w:rPr>
        <w:t xml:space="preserve"> l</w:t>
      </w:r>
      <w:r w:rsidR="0070292F" w:rsidRPr="0070292F">
        <w:rPr>
          <w:lang w:val="fr-FR"/>
        </w:rPr>
        <w:t>’</w:t>
      </w:r>
      <w:r w:rsidRPr="0070292F">
        <w:rPr>
          <w:lang w:val="fr-FR"/>
        </w:rPr>
        <w:t>article 2 du Protocole n</w:t>
      </w:r>
      <w:r w:rsidR="008C1E94" w:rsidRPr="0070292F">
        <w:rPr>
          <w:vertAlign w:val="superscript"/>
          <w:lang w:val="fr-FR"/>
        </w:rPr>
        <w:t>o</w:t>
      </w:r>
      <w:r w:rsidR="00BA5160" w:rsidRPr="0070292F">
        <w:rPr>
          <w:rFonts w:ascii="Times New Roman" w:eastAsiaTheme="minorHAnsi" w:hAnsi="Times New Roman" w:cs="Times New Roman"/>
          <w:color w:val="000000"/>
          <w:szCs w:val="24"/>
          <w:lang w:val="fr-FR"/>
        </w:rPr>
        <w:t> </w:t>
      </w:r>
      <w:r w:rsidRPr="0070292F">
        <w:rPr>
          <w:lang w:val="fr-FR"/>
        </w:rPr>
        <w:t>4</w:t>
      </w:r>
      <w:r w:rsidR="00322872" w:rsidRPr="0070292F">
        <w:rPr>
          <w:lang w:val="fr-FR"/>
        </w:rPr>
        <w:t xml:space="preserve">. </w:t>
      </w:r>
      <w:r w:rsidR="000C42FD" w:rsidRPr="0070292F">
        <w:rPr>
          <w:lang w:val="fr-FR"/>
        </w:rPr>
        <w:t>Il indique t</w:t>
      </w:r>
      <w:r w:rsidR="00322872" w:rsidRPr="0070292F">
        <w:rPr>
          <w:lang w:val="fr-FR"/>
        </w:rPr>
        <w:t>out d</w:t>
      </w:r>
      <w:r w:rsidR="0070292F" w:rsidRPr="0070292F">
        <w:rPr>
          <w:lang w:val="fr-FR"/>
        </w:rPr>
        <w:t>’</w:t>
      </w:r>
      <w:r w:rsidR="00322872" w:rsidRPr="0070292F">
        <w:rPr>
          <w:lang w:val="fr-FR"/>
        </w:rPr>
        <w:t>abord qu</w:t>
      </w:r>
      <w:r w:rsidR="0070292F" w:rsidRPr="0070292F">
        <w:rPr>
          <w:lang w:val="fr-FR"/>
        </w:rPr>
        <w:t>’</w:t>
      </w:r>
      <w:r w:rsidR="00322872" w:rsidRPr="0070292F">
        <w:rPr>
          <w:lang w:val="fr-FR"/>
        </w:rPr>
        <w:t xml:space="preserve">à partir de 1956, en </w:t>
      </w:r>
      <w:r w:rsidR="002F495F" w:rsidRPr="0070292F">
        <w:rPr>
          <w:lang w:val="fr-FR"/>
        </w:rPr>
        <w:t>promulguant</w:t>
      </w:r>
      <w:r w:rsidR="00322872" w:rsidRPr="0070292F">
        <w:rPr>
          <w:lang w:val="fr-FR"/>
        </w:rPr>
        <w:t xml:space="preserve"> la loi litigieuse, le législateur a reconnu à l</w:t>
      </w:r>
      <w:r w:rsidR="0070292F" w:rsidRPr="0070292F">
        <w:rPr>
          <w:lang w:val="fr-FR"/>
        </w:rPr>
        <w:t>’</w:t>
      </w:r>
      <w:r w:rsidR="00322872" w:rsidRPr="0070292F">
        <w:rPr>
          <w:lang w:val="fr-FR"/>
        </w:rPr>
        <w:t>autorité judiciaire le pouvoir de déterminer que</w:t>
      </w:r>
      <w:r w:rsidR="008310DC" w:rsidRPr="0070292F">
        <w:rPr>
          <w:lang w:val="fr-FR"/>
        </w:rPr>
        <w:t>ls étaient les éléments de fait</w:t>
      </w:r>
      <w:r w:rsidR="00322872" w:rsidRPr="0070292F">
        <w:rPr>
          <w:lang w:val="fr-FR"/>
        </w:rPr>
        <w:t xml:space="preserve"> symptomatique</w:t>
      </w:r>
      <w:r w:rsidR="00156556" w:rsidRPr="0070292F">
        <w:rPr>
          <w:lang w:val="fr-FR"/>
        </w:rPr>
        <w:t>s</w:t>
      </w:r>
      <w:r w:rsidR="00322872" w:rsidRPr="0070292F">
        <w:rPr>
          <w:lang w:val="fr-FR"/>
        </w:rPr>
        <w:t xml:space="preserve"> de la </w:t>
      </w:r>
      <w:r w:rsidR="002F495F" w:rsidRPr="0070292F">
        <w:rPr>
          <w:lang w:val="fr-FR"/>
        </w:rPr>
        <w:t>dangerosité</w:t>
      </w:r>
      <w:r w:rsidR="00322872" w:rsidRPr="0070292F">
        <w:rPr>
          <w:lang w:val="fr-FR"/>
        </w:rPr>
        <w:t xml:space="preserve"> </w:t>
      </w:r>
      <w:r w:rsidR="00CA449E" w:rsidRPr="0070292F">
        <w:rPr>
          <w:lang w:val="fr-FR"/>
        </w:rPr>
        <w:t>d</w:t>
      </w:r>
      <w:r w:rsidR="0070292F" w:rsidRPr="0070292F">
        <w:rPr>
          <w:lang w:val="fr-FR"/>
        </w:rPr>
        <w:t>’</w:t>
      </w:r>
      <w:r w:rsidR="00CA449E" w:rsidRPr="0070292F">
        <w:rPr>
          <w:lang w:val="fr-FR"/>
        </w:rPr>
        <w:t>un individu.</w:t>
      </w:r>
      <w:r w:rsidR="00D67CFD" w:rsidRPr="0070292F">
        <w:rPr>
          <w:lang w:val="fr-FR"/>
        </w:rPr>
        <w:t xml:space="preserve"> </w:t>
      </w:r>
      <w:r w:rsidR="003B229D" w:rsidRPr="0070292F">
        <w:rPr>
          <w:lang w:val="fr-FR"/>
        </w:rPr>
        <w:t>Il admet</w:t>
      </w:r>
      <w:r w:rsidR="00CA449E" w:rsidRPr="0070292F">
        <w:rPr>
          <w:lang w:val="fr-FR"/>
        </w:rPr>
        <w:t xml:space="preserve"> </w:t>
      </w:r>
      <w:r w:rsidR="00D67CFD" w:rsidRPr="0070292F">
        <w:rPr>
          <w:lang w:val="fr-FR"/>
        </w:rPr>
        <w:t xml:space="preserve">que les arrêts de la Cour </w:t>
      </w:r>
      <w:r w:rsidR="005661AF" w:rsidRPr="0070292F">
        <w:rPr>
          <w:lang w:val="fr-FR"/>
        </w:rPr>
        <w:t>c</w:t>
      </w:r>
      <w:r w:rsidR="00CE3F53" w:rsidRPr="0070292F">
        <w:rPr>
          <w:lang w:val="fr-FR"/>
        </w:rPr>
        <w:t>onstitutionnelle</w:t>
      </w:r>
      <w:r w:rsidR="00D67CFD" w:rsidRPr="0070292F">
        <w:rPr>
          <w:lang w:val="fr-FR"/>
        </w:rPr>
        <w:t xml:space="preserve"> ont </w:t>
      </w:r>
      <w:r w:rsidR="003B229D" w:rsidRPr="0070292F">
        <w:rPr>
          <w:lang w:val="fr-FR"/>
        </w:rPr>
        <w:t xml:space="preserve">posé </w:t>
      </w:r>
      <w:r w:rsidR="00D67CFD" w:rsidRPr="0070292F">
        <w:rPr>
          <w:lang w:val="fr-FR"/>
        </w:rPr>
        <w:t xml:space="preserve">des critères </w:t>
      </w:r>
      <w:r w:rsidR="00FB4D57" w:rsidRPr="0070292F">
        <w:rPr>
          <w:lang w:val="fr-FR"/>
        </w:rPr>
        <w:t>rigoureux pour</w:t>
      </w:r>
      <w:r w:rsidR="00D67CFD" w:rsidRPr="0070292F">
        <w:rPr>
          <w:lang w:val="fr-FR"/>
        </w:rPr>
        <w:t xml:space="preserve"> </w:t>
      </w:r>
      <w:r w:rsidR="000330B7" w:rsidRPr="0070292F">
        <w:rPr>
          <w:lang w:val="fr-FR"/>
        </w:rPr>
        <w:t>l</w:t>
      </w:r>
      <w:r w:rsidR="0070292F" w:rsidRPr="0070292F">
        <w:rPr>
          <w:lang w:val="fr-FR"/>
        </w:rPr>
        <w:t>’</w:t>
      </w:r>
      <w:r w:rsidR="00D67CFD" w:rsidRPr="0070292F">
        <w:rPr>
          <w:lang w:val="fr-FR"/>
        </w:rPr>
        <w:t>appli</w:t>
      </w:r>
      <w:r w:rsidR="000330B7" w:rsidRPr="0070292F">
        <w:rPr>
          <w:lang w:val="fr-FR"/>
        </w:rPr>
        <w:t>cation desdites</w:t>
      </w:r>
      <w:r w:rsidR="00D67CFD" w:rsidRPr="0070292F">
        <w:rPr>
          <w:lang w:val="fr-FR"/>
        </w:rPr>
        <w:t xml:space="preserve"> mesures et </w:t>
      </w:r>
      <w:r w:rsidR="000330B7" w:rsidRPr="0070292F">
        <w:rPr>
          <w:lang w:val="fr-FR"/>
        </w:rPr>
        <w:t xml:space="preserve">le </w:t>
      </w:r>
      <w:r w:rsidR="003B229D" w:rsidRPr="0070292F">
        <w:rPr>
          <w:lang w:val="fr-FR"/>
        </w:rPr>
        <w:t>constat</w:t>
      </w:r>
      <w:r w:rsidR="000330B7" w:rsidRPr="0070292F">
        <w:rPr>
          <w:lang w:val="fr-FR"/>
        </w:rPr>
        <w:t xml:space="preserve"> de</w:t>
      </w:r>
      <w:r w:rsidR="00D67CFD" w:rsidRPr="0070292F">
        <w:rPr>
          <w:lang w:val="fr-FR"/>
        </w:rPr>
        <w:t xml:space="preserve"> la dangerosité de</w:t>
      </w:r>
      <w:r w:rsidR="00FB4D57" w:rsidRPr="0070292F">
        <w:rPr>
          <w:lang w:val="fr-FR"/>
        </w:rPr>
        <w:t xml:space="preserve">s individus, </w:t>
      </w:r>
      <w:r w:rsidR="003B229D" w:rsidRPr="0070292F">
        <w:rPr>
          <w:lang w:val="fr-FR"/>
        </w:rPr>
        <w:t>mais estime</w:t>
      </w:r>
      <w:r w:rsidR="00FB4D57" w:rsidRPr="0070292F">
        <w:rPr>
          <w:lang w:val="fr-FR"/>
        </w:rPr>
        <w:t xml:space="preserve"> que </w:t>
      </w:r>
      <w:r w:rsidR="00D67CFD" w:rsidRPr="0070292F">
        <w:rPr>
          <w:lang w:val="fr-FR"/>
        </w:rPr>
        <w:t>l</w:t>
      </w:r>
      <w:r w:rsidR="0070292F" w:rsidRPr="0070292F">
        <w:rPr>
          <w:lang w:val="fr-FR"/>
        </w:rPr>
        <w:t>’</w:t>
      </w:r>
      <w:r w:rsidR="00D67CFD" w:rsidRPr="0070292F">
        <w:rPr>
          <w:lang w:val="fr-FR"/>
        </w:rPr>
        <w:t xml:space="preserve">autorité </w:t>
      </w:r>
      <w:r w:rsidR="002F495F" w:rsidRPr="0070292F">
        <w:rPr>
          <w:lang w:val="fr-FR"/>
        </w:rPr>
        <w:t>judiciaire</w:t>
      </w:r>
      <w:r w:rsidR="00D67CFD" w:rsidRPr="0070292F">
        <w:rPr>
          <w:lang w:val="fr-FR"/>
        </w:rPr>
        <w:t xml:space="preserve"> a un</w:t>
      </w:r>
      <w:r w:rsidR="00F341A2" w:rsidRPr="0070292F">
        <w:rPr>
          <w:lang w:val="fr-FR"/>
        </w:rPr>
        <w:t xml:space="preserve"> «</w:t>
      </w:r>
      <w:r w:rsidR="003B229D" w:rsidRPr="0070292F">
        <w:rPr>
          <w:lang w:val="fr-FR"/>
        </w:rPr>
        <w:t> </w:t>
      </w:r>
      <w:r w:rsidR="002F495F" w:rsidRPr="0070292F">
        <w:rPr>
          <w:lang w:val="fr-FR"/>
        </w:rPr>
        <w:t>incontestable</w:t>
      </w:r>
      <w:r w:rsidR="00D67CFD" w:rsidRPr="0070292F">
        <w:rPr>
          <w:lang w:val="fr-FR"/>
        </w:rPr>
        <w:t xml:space="preserve"> pouvoir </w:t>
      </w:r>
      <w:r w:rsidR="002F495F" w:rsidRPr="0070292F">
        <w:rPr>
          <w:lang w:val="fr-FR"/>
        </w:rPr>
        <w:t>discrétionnaire</w:t>
      </w:r>
      <w:r w:rsidR="00D67CFD" w:rsidRPr="0070292F">
        <w:rPr>
          <w:lang w:val="fr-FR"/>
        </w:rPr>
        <w:t xml:space="preserve"> » </w:t>
      </w:r>
      <w:r w:rsidR="00FB4D57" w:rsidRPr="0070292F">
        <w:rPr>
          <w:lang w:val="fr-FR"/>
        </w:rPr>
        <w:t>dans l</w:t>
      </w:r>
      <w:r w:rsidR="0070292F" w:rsidRPr="0070292F">
        <w:rPr>
          <w:lang w:val="fr-FR"/>
        </w:rPr>
        <w:t>’</w:t>
      </w:r>
      <w:r w:rsidR="00FB4D57" w:rsidRPr="0070292F">
        <w:rPr>
          <w:lang w:val="fr-FR"/>
        </w:rPr>
        <w:t xml:space="preserve">établissement de la dangerosité </w:t>
      </w:r>
      <w:r w:rsidR="00CA449E" w:rsidRPr="0070292F">
        <w:rPr>
          <w:lang w:val="fr-FR"/>
        </w:rPr>
        <w:t>d</w:t>
      </w:r>
      <w:r w:rsidR="0070292F" w:rsidRPr="0070292F">
        <w:rPr>
          <w:lang w:val="fr-FR"/>
        </w:rPr>
        <w:t>’</w:t>
      </w:r>
      <w:r w:rsidR="00CA449E" w:rsidRPr="0070292F">
        <w:rPr>
          <w:lang w:val="fr-FR"/>
        </w:rPr>
        <w:t>une personne</w:t>
      </w:r>
      <w:r w:rsidR="003B229D" w:rsidRPr="0070292F">
        <w:rPr>
          <w:lang w:val="fr-FR"/>
        </w:rPr>
        <w:t>,</w:t>
      </w:r>
      <w:r w:rsidR="00D67CFD" w:rsidRPr="0070292F">
        <w:rPr>
          <w:lang w:val="fr-FR"/>
        </w:rPr>
        <w:t xml:space="preserve"> sur la base </w:t>
      </w:r>
      <w:r w:rsidR="002F495F" w:rsidRPr="0070292F">
        <w:rPr>
          <w:lang w:val="fr-FR"/>
        </w:rPr>
        <w:t>d</w:t>
      </w:r>
      <w:r w:rsidR="0070292F" w:rsidRPr="0070292F">
        <w:rPr>
          <w:lang w:val="fr-FR"/>
        </w:rPr>
        <w:t>’</w:t>
      </w:r>
      <w:r w:rsidR="002F495F" w:rsidRPr="0070292F">
        <w:rPr>
          <w:lang w:val="fr-FR"/>
        </w:rPr>
        <w:t xml:space="preserve">éléments </w:t>
      </w:r>
      <w:r w:rsidR="003B229D" w:rsidRPr="0070292F">
        <w:rPr>
          <w:lang w:val="fr-FR"/>
        </w:rPr>
        <w:t>factuels</w:t>
      </w:r>
      <w:r w:rsidR="002F495F" w:rsidRPr="0070292F">
        <w:rPr>
          <w:lang w:val="fr-FR"/>
        </w:rPr>
        <w:t xml:space="preserve"> </w:t>
      </w:r>
      <w:r w:rsidR="00D67CFD" w:rsidRPr="0070292F">
        <w:rPr>
          <w:lang w:val="fr-FR"/>
        </w:rPr>
        <w:t xml:space="preserve">qui ne sont pas </w:t>
      </w:r>
      <w:r w:rsidR="00CA449E" w:rsidRPr="0070292F">
        <w:rPr>
          <w:lang w:val="fr-FR"/>
        </w:rPr>
        <w:t xml:space="preserve">prédéterminés </w:t>
      </w:r>
      <w:r w:rsidR="000330B7" w:rsidRPr="0070292F">
        <w:rPr>
          <w:lang w:val="fr-FR"/>
        </w:rPr>
        <w:t xml:space="preserve">par </w:t>
      </w:r>
      <w:r w:rsidR="00D67CFD" w:rsidRPr="0070292F">
        <w:rPr>
          <w:lang w:val="fr-FR"/>
        </w:rPr>
        <w:t xml:space="preserve">la loi </w:t>
      </w:r>
      <w:r w:rsidR="00CA449E" w:rsidRPr="0070292F">
        <w:rPr>
          <w:lang w:val="fr-FR"/>
        </w:rPr>
        <w:t xml:space="preserve">et </w:t>
      </w:r>
      <w:r w:rsidR="00D67CFD" w:rsidRPr="0070292F">
        <w:rPr>
          <w:lang w:val="fr-FR"/>
        </w:rPr>
        <w:t xml:space="preserve">donc pas </w:t>
      </w:r>
      <w:r w:rsidR="002F495F" w:rsidRPr="0070292F">
        <w:rPr>
          <w:lang w:val="fr-FR"/>
        </w:rPr>
        <w:t>prévisibles</w:t>
      </w:r>
      <w:r w:rsidR="00D67CFD" w:rsidRPr="0070292F">
        <w:rPr>
          <w:lang w:val="fr-FR"/>
        </w:rPr>
        <w:t xml:space="preserve"> </w:t>
      </w:r>
      <w:r w:rsidR="003B229D" w:rsidRPr="0070292F">
        <w:rPr>
          <w:lang w:val="fr-FR"/>
        </w:rPr>
        <w:t xml:space="preserve">pour </w:t>
      </w:r>
      <w:r w:rsidR="00D67CFD" w:rsidRPr="0070292F">
        <w:rPr>
          <w:lang w:val="fr-FR"/>
        </w:rPr>
        <w:t>le citoyen.</w:t>
      </w:r>
    </w:p>
    <w:p w:rsidR="00C11F35" w:rsidRPr="0070292F" w:rsidRDefault="00D67CFD" w:rsidP="0070292F">
      <w:pPr>
        <w:pStyle w:val="ECHRPara"/>
        <w:rPr>
          <w:lang w:val="fr-FR"/>
        </w:rPr>
      </w:pPr>
      <w:r w:rsidRPr="0070292F">
        <w:rPr>
          <w:lang w:val="fr-FR"/>
        </w:rPr>
        <w:lastRenderedPageBreak/>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94</w:t>
      </w:r>
      <w:r w:rsidRPr="0070292F">
        <w:rPr>
          <w:lang w:val="fr-FR"/>
        </w:rPr>
        <w:fldChar w:fldCharType="end"/>
      </w:r>
      <w:r w:rsidRPr="0070292F">
        <w:rPr>
          <w:lang w:val="fr-FR"/>
        </w:rPr>
        <w:t>.  L</w:t>
      </w:r>
      <w:r w:rsidR="00322872" w:rsidRPr="0070292F">
        <w:rPr>
          <w:lang w:val="fr-FR"/>
        </w:rPr>
        <w:t xml:space="preserve">e requérant </w:t>
      </w:r>
      <w:r w:rsidR="002F495F" w:rsidRPr="0070292F">
        <w:rPr>
          <w:lang w:val="fr-FR"/>
        </w:rPr>
        <w:t xml:space="preserve">rappelle </w:t>
      </w:r>
      <w:r w:rsidRPr="0070292F">
        <w:rPr>
          <w:lang w:val="fr-FR"/>
        </w:rPr>
        <w:t xml:space="preserve">en outre </w:t>
      </w:r>
      <w:r w:rsidR="00322872" w:rsidRPr="0070292F">
        <w:rPr>
          <w:lang w:val="fr-FR"/>
        </w:rPr>
        <w:t xml:space="preserve">le caractère vague des mesures </w:t>
      </w:r>
      <w:r w:rsidR="00CA449E" w:rsidRPr="0070292F">
        <w:rPr>
          <w:lang w:val="fr-FR"/>
        </w:rPr>
        <w:t>qui lui ont été appliquées</w:t>
      </w:r>
      <w:r w:rsidR="00322872" w:rsidRPr="0070292F">
        <w:rPr>
          <w:lang w:val="fr-FR"/>
        </w:rPr>
        <w:t xml:space="preserve">, </w:t>
      </w:r>
      <w:r w:rsidR="002F495F" w:rsidRPr="0070292F">
        <w:rPr>
          <w:lang w:val="fr-FR"/>
        </w:rPr>
        <w:t>par exemple</w:t>
      </w:r>
      <w:r w:rsidR="00322872" w:rsidRPr="0070292F">
        <w:rPr>
          <w:lang w:val="fr-FR"/>
        </w:rPr>
        <w:t xml:space="preserve"> </w:t>
      </w:r>
      <w:r w:rsidR="000330B7" w:rsidRPr="0070292F">
        <w:rPr>
          <w:lang w:val="fr-FR"/>
        </w:rPr>
        <w:t>l</w:t>
      </w:r>
      <w:r w:rsidR="0070292F" w:rsidRPr="0070292F">
        <w:rPr>
          <w:lang w:val="fr-FR"/>
        </w:rPr>
        <w:t>’</w:t>
      </w:r>
      <w:r w:rsidR="000330B7" w:rsidRPr="0070292F">
        <w:rPr>
          <w:lang w:val="fr-FR"/>
        </w:rPr>
        <w:t>obligation de</w:t>
      </w:r>
      <w:r w:rsidR="00322872" w:rsidRPr="0070292F">
        <w:rPr>
          <w:lang w:val="fr-FR"/>
        </w:rPr>
        <w:t xml:space="preserve"> vivre </w:t>
      </w:r>
      <w:r w:rsidR="002F495F" w:rsidRPr="0070292F">
        <w:rPr>
          <w:lang w:val="fr-FR"/>
        </w:rPr>
        <w:t>honnêtement</w:t>
      </w:r>
      <w:r w:rsidR="00322872" w:rsidRPr="0070292F">
        <w:rPr>
          <w:lang w:val="fr-FR"/>
        </w:rPr>
        <w:t xml:space="preserve"> et de ne pas </w:t>
      </w:r>
      <w:r w:rsidR="002F495F" w:rsidRPr="0070292F">
        <w:rPr>
          <w:lang w:val="fr-FR"/>
        </w:rPr>
        <w:t>susciter</w:t>
      </w:r>
      <w:r w:rsidR="00322872" w:rsidRPr="0070292F">
        <w:rPr>
          <w:lang w:val="fr-FR"/>
        </w:rPr>
        <w:t xml:space="preserve"> de </w:t>
      </w:r>
      <w:r w:rsidR="009C22D1" w:rsidRPr="0070292F">
        <w:rPr>
          <w:lang w:val="fr-FR"/>
        </w:rPr>
        <w:t>soupçons</w:t>
      </w:r>
      <w:r w:rsidR="00322872" w:rsidRPr="0070292F">
        <w:rPr>
          <w:lang w:val="fr-FR"/>
        </w:rPr>
        <w:t xml:space="preserve"> quant à sa conduite. </w:t>
      </w:r>
      <w:r w:rsidR="003B229D" w:rsidRPr="0070292F">
        <w:rPr>
          <w:rFonts w:cstheme="minorHAnsi"/>
          <w:lang w:val="fr-FR"/>
        </w:rPr>
        <w:t>À</w:t>
      </w:r>
      <w:r w:rsidR="00322872" w:rsidRPr="0070292F">
        <w:rPr>
          <w:lang w:val="fr-FR"/>
        </w:rPr>
        <w:t xml:space="preserve"> cet égard, il </w:t>
      </w:r>
      <w:r w:rsidR="00F341A2" w:rsidRPr="0070292F">
        <w:rPr>
          <w:lang w:val="fr-FR"/>
        </w:rPr>
        <w:t>fait valoir</w:t>
      </w:r>
      <w:r w:rsidR="00156556" w:rsidRPr="0070292F">
        <w:rPr>
          <w:lang w:val="fr-FR"/>
        </w:rPr>
        <w:t xml:space="preserve"> </w:t>
      </w:r>
      <w:r w:rsidR="00322872" w:rsidRPr="0070292F">
        <w:rPr>
          <w:lang w:val="fr-FR"/>
        </w:rPr>
        <w:t xml:space="preserve">que la violation </w:t>
      </w:r>
      <w:r w:rsidR="002F495F" w:rsidRPr="0070292F">
        <w:rPr>
          <w:lang w:val="fr-FR"/>
        </w:rPr>
        <w:t>ou l</w:t>
      </w:r>
      <w:r w:rsidR="0070292F" w:rsidRPr="0070292F">
        <w:rPr>
          <w:lang w:val="fr-FR"/>
        </w:rPr>
        <w:t>’</w:t>
      </w:r>
      <w:r w:rsidR="002F495F" w:rsidRPr="0070292F">
        <w:rPr>
          <w:lang w:val="fr-FR"/>
        </w:rPr>
        <w:t>inobserva</w:t>
      </w:r>
      <w:r w:rsidR="003B229D" w:rsidRPr="0070292F">
        <w:rPr>
          <w:lang w:val="fr-FR"/>
        </w:rPr>
        <w:t>tion</w:t>
      </w:r>
      <w:r w:rsidR="002F495F" w:rsidRPr="0070292F">
        <w:rPr>
          <w:lang w:val="fr-FR"/>
        </w:rPr>
        <w:t xml:space="preserve"> </w:t>
      </w:r>
      <w:r w:rsidR="00322872" w:rsidRPr="0070292F">
        <w:rPr>
          <w:lang w:val="fr-FR"/>
        </w:rPr>
        <w:t xml:space="preserve">de </w:t>
      </w:r>
      <w:r w:rsidR="002F495F" w:rsidRPr="0070292F">
        <w:rPr>
          <w:lang w:val="fr-FR"/>
        </w:rPr>
        <w:t xml:space="preserve">ces prescriptions </w:t>
      </w:r>
      <w:r w:rsidR="00322872" w:rsidRPr="0070292F">
        <w:rPr>
          <w:lang w:val="fr-FR"/>
        </w:rPr>
        <w:t xml:space="preserve">est </w:t>
      </w:r>
      <w:r w:rsidR="003B229D" w:rsidRPr="0070292F">
        <w:rPr>
          <w:lang w:val="fr-FR"/>
        </w:rPr>
        <w:t>passible d</w:t>
      </w:r>
      <w:r w:rsidR="0070292F" w:rsidRPr="0070292F">
        <w:rPr>
          <w:lang w:val="fr-FR"/>
        </w:rPr>
        <w:t>’</w:t>
      </w:r>
      <w:r w:rsidR="003B229D" w:rsidRPr="0070292F">
        <w:rPr>
          <w:lang w:val="fr-FR"/>
        </w:rPr>
        <w:t>une</w:t>
      </w:r>
      <w:r w:rsidR="00322872" w:rsidRPr="0070292F">
        <w:rPr>
          <w:lang w:val="fr-FR"/>
        </w:rPr>
        <w:t xml:space="preserve"> peine </w:t>
      </w:r>
      <w:r w:rsidR="002F495F" w:rsidRPr="0070292F">
        <w:rPr>
          <w:lang w:val="fr-FR"/>
        </w:rPr>
        <w:t xml:space="preserve">de </w:t>
      </w:r>
      <w:r w:rsidR="001E10F8" w:rsidRPr="0070292F">
        <w:rPr>
          <w:lang w:val="fr-FR"/>
        </w:rPr>
        <w:t>détention</w:t>
      </w:r>
      <w:r w:rsidR="00322872" w:rsidRPr="0070292F">
        <w:rPr>
          <w:lang w:val="fr-FR"/>
        </w:rPr>
        <w:t>.</w:t>
      </w:r>
    </w:p>
    <w:p w:rsidR="00C11F35" w:rsidRPr="0070292F" w:rsidRDefault="00D67CFD"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95</w:t>
      </w:r>
      <w:r w:rsidRPr="0070292F">
        <w:rPr>
          <w:lang w:val="fr-FR"/>
        </w:rPr>
        <w:fldChar w:fldCharType="end"/>
      </w:r>
      <w:r w:rsidRPr="0070292F">
        <w:rPr>
          <w:lang w:val="fr-FR"/>
        </w:rPr>
        <w:t>.  </w:t>
      </w:r>
      <w:r w:rsidR="000330B7" w:rsidRPr="0070292F">
        <w:rPr>
          <w:lang w:val="fr-FR"/>
        </w:rPr>
        <w:t>Il</w:t>
      </w:r>
      <w:r w:rsidRPr="0070292F">
        <w:rPr>
          <w:lang w:val="fr-FR"/>
        </w:rPr>
        <w:t xml:space="preserve"> </w:t>
      </w:r>
      <w:r w:rsidR="003B229D" w:rsidRPr="0070292F">
        <w:rPr>
          <w:lang w:val="fr-FR"/>
        </w:rPr>
        <w:t>plaide</w:t>
      </w:r>
      <w:r w:rsidRPr="0070292F">
        <w:rPr>
          <w:lang w:val="fr-FR"/>
        </w:rPr>
        <w:t xml:space="preserve"> que la mesure litigieuse </w:t>
      </w:r>
      <w:r w:rsidR="00C11F35" w:rsidRPr="0070292F">
        <w:rPr>
          <w:lang w:val="fr-FR"/>
        </w:rPr>
        <w:t xml:space="preserve">lui a été appliquée à </w:t>
      </w:r>
      <w:r w:rsidR="003B229D" w:rsidRPr="0070292F">
        <w:rPr>
          <w:lang w:val="fr-FR"/>
        </w:rPr>
        <w:t xml:space="preserve">la suite </w:t>
      </w:r>
      <w:r w:rsidR="00C11F35" w:rsidRPr="0070292F">
        <w:rPr>
          <w:lang w:val="fr-FR"/>
        </w:rPr>
        <w:t>d</w:t>
      </w:r>
      <w:r w:rsidR="0070292F" w:rsidRPr="0070292F">
        <w:rPr>
          <w:lang w:val="fr-FR"/>
        </w:rPr>
        <w:t>’</w:t>
      </w:r>
      <w:r w:rsidR="00C11F35" w:rsidRPr="0070292F">
        <w:rPr>
          <w:lang w:val="fr-FR"/>
        </w:rPr>
        <w:t xml:space="preserve">une erreur </w:t>
      </w:r>
      <w:r w:rsidR="003B229D" w:rsidRPr="0070292F">
        <w:rPr>
          <w:lang w:val="fr-FR"/>
        </w:rPr>
        <w:t xml:space="preserve">sur la </w:t>
      </w:r>
      <w:r w:rsidR="00C11F35" w:rsidRPr="0070292F">
        <w:rPr>
          <w:lang w:val="fr-FR"/>
        </w:rPr>
        <w:t>personne</w:t>
      </w:r>
      <w:r w:rsidR="003B229D" w:rsidRPr="0070292F">
        <w:rPr>
          <w:lang w:val="fr-FR"/>
        </w:rPr>
        <w:t>,</w:t>
      </w:r>
      <w:r w:rsidR="00C11F35" w:rsidRPr="0070292F">
        <w:rPr>
          <w:lang w:val="fr-FR"/>
        </w:rPr>
        <w:t xml:space="preserve"> que la cour d</w:t>
      </w:r>
      <w:r w:rsidR="0070292F" w:rsidRPr="0070292F">
        <w:rPr>
          <w:lang w:val="fr-FR"/>
        </w:rPr>
        <w:t>’</w:t>
      </w:r>
      <w:r w:rsidR="00C11F35" w:rsidRPr="0070292F">
        <w:rPr>
          <w:lang w:val="fr-FR"/>
        </w:rPr>
        <w:t>appel aurait reconnue dans son arrêt. Il ajoute que la cour d</w:t>
      </w:r>
      <w:r w:rsidR="0070292F" w:rsidRPr="0070292F">
        <w:rPr>
          <w:lang w:val="fr-FR"/>
        </w:rPr>
        <w:t>’</w:t>
      </w:r>
      <w:r w:rsidR="00C11F35" w:rsidRPr="0070292F">
        <w:rPr>
          <w:lang w:val="fr-FR"/>
        </w:rPr>
        <w:t xml:space="preserve">appel a déclaré </w:t>
      </w:r>
      <w:r w:rsidR="003B229D" w:rsidRPr="0070292F">
        <w:rPr>
          <w:lang w:val="fr-FR"/>
        </w:rPr>
        <w:t xml:space="preserve">la mesure de prévention irrégulière </w:t>
      </w:r>
      <w:r w:rsidR="00C11F35" w:rsidRPr="0070292F">
        <w:rPr>
          <w:i/>
          <w:lang w:val="fr-FR"/>
        </w:rPr>
        <w:t>ab origine</w:t>
      </w:r>
      <w:r w:rsidR="003B229D" w:rsidRPr="0070292F">
        <w:rPr>
          <w:lang w:val="fr-FR"/>
        </w:rPr>
        <w:t xml:space="preserve">, </w:t>
      </w:r>
      <w:r w:rsidR="00C11F35" w:rsidRPr="0070292F">
        <w:rPr>
          <w:lang w:val="fr-FR"/>
        </w:rPr>
        <w:t>affirmant qu</w:t>
      </w:r>
      <w:r w:rsidR="0070292F" w:rsidRPr="0070292F">
        <w:rPr>
          <w:lang w:val="fr-FR"/>
        </w:rPr>
        <w:t>’</w:t>
      </w:r>
      <w:r w:rsidR="00C11F35" w:rsidRPr="0070292F">
        <w:rPr>
          <w:lang w:val="fr-FR"/>
        </w:rPr>
        <w:t>elle n</w:t>
      </w:r>
      <w:r w:rsidR="0070292F" w:rsidRPr="0070292F">
        <w:rPr>
          <w:lang w:val="fr-FR"/>
        </w:rPr>
        <w:t>’</w:t>
      </w:r>
      <w:r w:rsidR="00C11F35" w:rsidRPr="0070292F">
        <w:rPr>
          <w:lang w:val="fr-FR"/>
        </w:rPr>
        <w:t xml:space="preserve">était pas nécessaire </w:t>
      </w:r>
      <w:r w:rsidR="003B229D" w:rsidRPr="0070292F">
        <w:rPr>
          <w:lang w:val="fr-FR"/>
        </w:rPr>
        <w:t>en l</w:t>
      </w:r>
      <w:r w:rsidR="0070292F" w:rsidRPr="0070292F">
        <w:rPr>
          <w:lang w:val="fr-FR"/>
        </w:rPr>
        <w:t>’</w:t>
      </w:r>
      <w:r w:rsidR="003B229D" w:rsidRPr="0070292F">
        <w:rPr>
          <w:lang w:val="fr-FR"/>
        </w:rPr>
        <w:t>absence</w:t>
      </w:r>
      <w:r w:rsidR="00C11F35" w:rsidRPr="0070292F">
        <w:rPr>
          <w:lang w:val="fr-FR"/>
        </w:rPr>
        <w:t xml:space="preserve"> de dangerosité sociale.</w:t>
      </w:r>
    </w:p>
    <w:p w:rsidR="00C11F35" w:rsidRPr="0070292F" w:rsidRDefault="00C11F3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96</w:t>
      </w:r>
      <w:r w:rsidRPr="0070292F">
        <w:rPr>
          <w:lang w:val="fr-FR"/>
        </w:rPr>
        <w:fldChar w:fldCharType="end"/>
      </w:r>
      <w:r w:rsidRPr="0070292F">
        <w:rPr>
          <w:lang w:val="fr-FR"/>
        </w:rPr>
        <w:t>.  </w:t>
      </w:r>
      <w:r w:rsidR="000330B7" w:rsidRPr="0070292F">
        <w:rPr>
          <w:lang w:val="fr-FR"/>
        </w:rPr>
        <w:t>Il ajoute</w:t>
      </w:r>
      <w:r w:rsidR="003B229D" w:rsidRPr="0070292F">
        <w:rPr>
          <w:lang w:val="fr-FR"/>
        </w:rPr>
        <w:t xml:space="preserve"> que, malgré </w:t>
      </w:r>
      <w:r w:rsidRPr="0070292F">
        <w:rPr>
          <w:lang w:val="fr-FR"/>
        </w:rPr>
        <w:t>l</w:t>
      </w:r>
      <w:r w:rsidR="0070292F" w:rsidRPr="0070292F">
        <w:rPr>
          <w:lang w:val="fr-FR"/>
        </w:rPr>
        <w:t>’</w:t>
      </w:r>
      <w:r w:rsidRPr="0070292F">
        <w:rPr>
          <w:lang w:val="fr-FR"/>
        </w:rPr>
        <w:t xml:space="preserve">issue favorable de la procédure, il a </w:t>
      </w:r>
      <w:r w:rsidR="003B229D" w:rsidRPr="0070292F">
        <w:rPr>
          <w:lang w:val="fr-FR"/>
        </w:rPr>
        <w:t>été soumis à une</w:t>
      </w:r>
      <w:r w:rsidRPr="0070292F">
        <w:rPr>
          <w:lang w:val="fr-FR"/>
        </w:rPr>
        <w:t xml:space="preserve"> mesure de surveill</w:t>
      </w:r>
      <w:r w:rsidR="00156556" w:rsidRPr="0070292F">
        <w:rPr>
          <w:lang w:val="fr-FR"/>
        </w:rPr>
        <w:t>ance spéciale pendant deux cent</w:t>
      </w:r>
      <w:r w:rsidRPr="0070292F">
        <w:rPr>
          <w:lang w:val="fr-FR"/>
        </w:rPr>
        <w:t xml:space="preserve"> vingt et un jours. </w:t>
      </w:r>
      <w:r w:rsidR="006E3BCC" w:rsidRPr="0070292F">
        <w:rPr>
          <w:lang w:val="fr-FR"/>
        </w:rPr>
        <w:t>À ses yeux, c</w:t>
      </w:r>
      <w:r w:rsidRPr="0070292F">
        <w:rPr>
          <w:lang w:val="fr-FR"/>
        </w:rPr>
        <w:t xml:space="preserve">ette période est longue et </w:t>
      </w:r>
      <w:r w:rsidR="006E3BCC" w:rsidRPr="0070292F">
        <w:rPr>
          <w:lang w:val="fr-FR"/>
        </w:rPr>
        <w:t>est due au</w:t>
      </w:r>
      <w:r w:rsidRPr="0070292F">
        <w:rPr>
          <w:lang w:val="fr-FR"/>
        </w:rPr>
        <w:t xml:space="preserve"> fait que </w:t>
      </w:r>
      <w:r w:rsidR="006E3BCC" w:rsidRPr="0070292F">
        <w:rPr>
          <w:lang w:val="fr-FR"/>
        </w:rPr>
        <w:t>la cour d</w:t>
      </w:r>
      <w:r w:rsidR="0070292F" w:rsidRPr="0070292F">
        <w:rPr>
          <w:lang w:val="fr-FR"/>
        </w:rPr>
        <w:t>’</w:t>
      </w:r>
      <w:r w:rsidR="006E3BCC" w:rsidRPr="0070292F">
        <w:rPr>
          <w:lang w:val="fr-FR"/>
        </w:rPr>
        <w:t>appel de Bari n</w:t>
      </w:r>
      <w:r w:rsidR="0070292F" w:rsidRPr="0070292F">
        <w:rPr>
          <w:lang w:val="fr-FR"/>
        </w:rPr>
        <w:t>’</w:t>
      </w:r>
      <w:r w:rsidR="006E3BCC" w:rsidRPr="0070292F">
        <w:rPr>
          <w:lang w:val="fr-FR"/>
        </w:rPr>
        <w:t>a pas resp</w:t>
      </w:r>
      <w:r w:rsidR="004B3976" w:rsidRPr="0070292F">
        <w:rPr>
          <w:lang w:val="fr-FR"/>
        </w:rPr>
        <w:t>e</w:t>
      </w:r>
      <w:r w:rsidR="006E3BCC" w:rsidRPr="0070292F">
        <w:rPr>
          <w:lang w:val="fr-FR"/>
        </w:rPr>
        <w:t xml:space="preserve">cté </w:t>
      </w:r>
      <w:r w:rsidRPr="0070292F">
        <w:rPr>
          <w:lang w:val="fr-FR"/>
        </w:rPr>
        <w:t xml:space="preserve">le délai de trente jours pour </w:t>
      </w:r>
      <w:r w:rsidR="006E3BCC" w:rsidRPr="0070292F">
        <w:rPr>
          <w:lang w:val="fr-FR"/>
        </w:rPr>
        <w:t>statuer</w:t>
      </w:r>
      <w:r w:rsidRPr="0070292F">
        <w:rPr>
          <w:lang w:val="fr-FR"/>
        </w:rPr>
        <w:t xml:space="preserve">. </w:t>
      </w:r>
      <w:r w:rsidR="006E3BCC" w:rsidRPr="0070292F">
        <w:rPr>
          <w:lang w:val="fr-FR"/>
        </w:rPr>
        <w:t xml:space="preserve">Le requérant </w:t>
      </w:r>
      <w:r w:rsidRPr="0070292F">
        <w:rPr>
          <w:lang w:val="fr-FR"/>
        </w:rPr>
        <w:t>conclut qu</w:t>
      </w:r>
      <w:r w:rsidR="0070292F" w:rsidRPr="0070292F">
        <w:rPr>
          <w:lang w:val="fr-FR"/>
        </w:rPr>
        <w:t>’</w:t>
      </w:r>
      <w:r w:rsidRPr="0070292F">
        <w:rPr>
          <w:lang w:val="fr-FR"/>
        </w:rPr>
        <w:t>il s</w:t>
      </w:r>
      <w:r w:rsidR="0070292F" w:rsidRPr="0070292F">
        <w:rPr>
          <w:lang w:val="fr-FR"/>
        </w:rPr>
        <w:t>’</w:t>
      </w:r>
      <w:r w:rsidRPr="0070292F">
        <w:rPr>
          <w:lang w:val="fr-FR"/>
        </w:rPr>
        <w:t>agit d</w:t>
      </w:r>
      <w:r w:rsidR="0070292F" w:rsidRPr="0070292F">
        <w:rPr>
          <w:lang w:val="fr-FR"/>
        </w:rPr>
        <w:t>’</w:t>
      </w:r>
      <w:r w:rsidRPr="0070292F">
        <w:rPr>
          <w:lang w:val="fr-FR"/>
        </w:rPr>
        <w:t xml:space="preserve">un problème </w:t>
      </w:r>
      <w:r w:rsidR="000330B7" w:rsidRPr="0070292F">
        <w:rPr>
          <w:lang w:val="fr-FR"/>
        </w:rPr>
        <w:t>non lié à</w:t>
      </w:r>
      <w:r w:rsidRPr="0070292F">
        <w:rPr>
          <w:lang w:val="fr-FR"/>
        </w:rPr>
        <w:t xml:space="preserve"> la durée de la procédure.</w:t>
      </w:r>
    </w:p>
    <w:p w:rsidR="000635DA" w:rsidRPr="0070292F" w:rsidRDefault="00D67CFD" w:rsidP="0070292F">
      <w:pPr>
        <w:pStyle w:val="ECHRHeading4"/>
        <w:rPr>
          <w:lang w:val="fr-FR"/>
        </w:rPr>
      </w:pPr>
      <w:r w:rsidRPr="0070292F">
        <w:rPr>
          <w:lang w:val="fr-FR"/>
        </w:rPr>
        <w:t>b</w:t>
      </w:r>
      <w:r w:rsidR="000635DA" w:rsidRPr="0070292F">
        <w:rPr>
          <w:lang w:val="fr-FR"/>
        </w:rPr>
        <w:t xml:space="preserve">)  Le </w:t>
      </w:r>
      <w:r w:rsidRPr="0070292F">
        <w:rPr>
          <w:lang w:val="fr-FR"/>
        </w:rPr>
        <w:t>Gouvernement</w:t>
      </w:r>
    </w:p>
    <w:p w:rsidR="00F84766" w:rsidRPr="0070292F" w:rsidRDefault="004405A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97</w:t>
      </w:r>
      <w:r w:rsidRPr="0070292F">
        <w:rPr>
          <w:lang w:val="fr-FR"/>
        </w:rPr>
        <w:fldChar w:fldCharType="end"/>
      </w:r>
      <w:r w:rsidR="00E77CB3" w:rsidRPr="0070292F">
        <w:rPr>
          <w:lang w:val="fr-FR"/>
        </w:rPr>
        <w:t>.  </w:t>
      </w:r>
      <w:r w:rsidR="00D67CFD" w:rsidRPr="0070292F">
        <w:rPr>
          <w:lang w:val="fr-FR"/>
        </w:rPr>
        <w:t xml:space="preserve">Le Gouvernement </w:t>
      </w:r>
      <w:r w:rsidR="006E3BCC" w:rsidRPr="0070292F">
        <w:rPr>
          <w:lang w:val="fr-FR"/>
        </w:rPr>
        <w:t xml:space="preserve">indique </w:t>
      </w:r>
      <w:r w:rsidR="00D67CFD" w:rsidRPr="0070292F">
        <w:rPr>
          <w:lang w:val="fr-FR"/>
        </w:rPr>
        <w:t xml:space="preserve">que les mesures de prévention </w:t>
      </w:r>
      <w:r w:rsidR="006E3BCC" w:rsidRPr="0070292F">
        <w:rPr>
          <w:lang w:val="fr-FR"/>
        </w:rPr>
        <w:t>sont assorties d</w:t>
      </w:r>
      <w:r w:rsidR="0070292F" w:rsidRPr="0070292F">
        <w:rPr>
          <w:lang w:val="fr-FR"/>
        </w:rPr>
        <w:t>’</w:t>
      </w:r>
      <w:r w:rsidR="006E3BCC" w:rsidRPr="0070292F">
        <w:rPr>
          <w:lang w:val="fr-FR"/>
        </w:rPr>
        <w:t xml:space="preserve">une double </w:t>
      </w:r>
      <w:r w:rsidR="00D67CFD" w:rsidRPr="0070292F">
        <w:rPr>
          <w:lang w:val="fr-FR"/>
        </w:rPr>
        <w:t>garantie</w:t>
      </w:r>
      <w:r w:rsidR="006E3BCC" w:rsidRPr="0070292F">
        <w:rPr>
          <w:lang w:val="fr-FR"/>
        </w:rPr>
        <w:t xml:space="preserve"> : </w:t>
      </w:r>
      <w:r w:rsidR="000330B7" w:rsidRPr="0070292F">
        <w:rPr>
          <w:lang w:val="fr-FR"/>
        </w:rPr>
        <w:t xml:space="preserve">celle de </w:t>
      </w:r>
      <w:r w:rsidR="00D67CFD" w:rsidRPr="0070292F">
        <w:rPr>
          <w:lang w:val="fr-FR"/>
        </w:rPr>
        <w:t xml:space="preserve">la </w:t>
      </w:r>
      <w:r w:rsidR="00D70079" w:rsidRPr="0070292F">
        <w:rPr>
          <w:lang w:val="fr-FR"/>
        </w:rPr>
        <w:t>prévisibilité</w:t>
      </w:r>
      <w:r w:rsidR="00D67CFD" w:rsidRPr="0070292F">
        <w:rPr>
          <w:lang w:val="fr-FR"/>
        </w:rPr>
        <w:t xml:space="preserve"> et </w:t>
      </w:r>
      <w:r w:rsidR="000330B7" w:rsidRPr="0070292F">
        <w:rPr>
          <w:lang w:val="fr-FR"/>
        </w:rPr>
        <w:t>celle d</w:t>
      </w:r>
      <w:r w:rsidR="0070292F" w:rsidRPr="0070292F">
        <w:rPr>
          <w:lang w:val="fr-FR"/>
        </w:rPr>
        <w:t>’</w:t>
      </w:r>
      <w:r w:rsidR="00D67CFD" w:rsidRPr="0070292F">
        <w:rPr>
          <w:lang w:val="fr-FR"/>
        </w:rPr>
        <w:t xml:space="preserve">une procédure </w:t>
      </w:r>
      <w:r w:rsidR="00D70079" w:rsidRPr="0070292F">
        <w:rPr>
          <w:lang w:val="fr-FR"/>
        </w:rPr>
        <w:t>judiciaire</w:t>
      </w:r>
      <w:r w:rsidR="00D67CFD" w:rsidRPr="0070292F">
        <w:rPr>
          <w:lang w:val="fr-FR"/>
        </w:rPr>
        <w:t xml:space="preserve"> </w:t>
      </w:r>
      <w:r w:rsidR="000330B7" w:rsidRPr="0070292F">
        <w:rPr>
          <w:lang w:val="fr-FR"/>
        </w:rPr>
        <w:t>concernant</w:t>
      </w:r>
      <w:r w:rsidR="006E3BCC" w:rsidRPr="0070292F">
        <w:rPr>
          <w:lang w:val="fr-FR"/>
        </w:rPr>
        <w:t xml:space="preserve"> </w:t>
      </w:r>
      <w:r w:rsidR="00D67CFD" w:rsidRPr="0070292F">
        <w:rPr>
          <w:lang w:val="fr-FR"/>
        </w:rPr>
        <w:t>leur application</w:t>
      </w:r>
      <w:r w:rsidR="00F341A2" w:rsidRPr="0070292F">
        <w:rPr>
          <w:lang w:val="fr-FR"/>
        </w:rPr>
        <w:t>. Cette procédure</w:t>
      </w:r>
      <w:r w:rsidR="00D67CFD" w:rsidRPr="0070292F">
        <w:rPr>
          <w:lang w:val="fr-FR"/>
        </w:rPr>
        <w:t xml:space="preserve"> </w:t>
      </w:r>
      <w:r w:rsidR="006E3BCC" w:rsidRPr="0070292F">
        <w:rPr>
          <w:lang w:val="fr-FR"/>
        </w:rPr>
        <w:t>repose</w:t>
      </w:r>
      <w:r w:rsidR="000330B7" w:rsidRPr="0070292F">
        <w:rPr>
          <w:lang w:val="fr-FR"/>
        </w:rPr>
        <w:t>rait</w:t>
      </w:r>
      <w:r w:rsidR="00F341A2" w:rsidRPr="0070292F">
        <w:rPr>
          <w:lang w:val="fr-FR"/>
        </w:rPr>
        <w:t xml:space="preserve"> sur</w:t>
      </w:r>
      <w:r w:rsidR="00D67CFD" w:rsidRPr="0070292F">
        <w:rPr>
          <w:lang w:val="fr-FR"/>
        </w:rPr>
        <w:t xml:space="preserve"> des </w:t>
      </w:r>
      <w:r w:rsidR="002F495F" w:rsidRPr="0070292F">
        <w:rPr>
          <w:lang w:val="fr-FR"/>
        </w:rPr>
        <w:t>éléments objectifs démontr</w:t>
      </w:r>
      <w:r w:rsidR="006E3BCC" w:rsidRPr="0070292F">
        <w:rPr>
          <w:lang w:val="fr-FR"/>
        </w:rPr>
        <w:t>a</w:t>
      </w:r>
      <w:r w:rsidR="002F495F" w:rsidRPr="0070292F">
        <w:rPr>
          <w:lang w:val="fr-FR"/>
        </w:rPr>
        <w:t>nt</w:t>
      </w:r>
      <w:r w:rsidR="00D67CFD" w:rsidRPr="0070292F">
        <w:rPr>
          <w:lang w:val="fr-FR"/>
        </w:rPr>
        <w:t xml:space="preserve"> la dangerosité sociale </w:t>
      </w:r>
      <w:r w:rsidR="006E3BCC" w:rsidRPr="0070292F">
        <w:rPr>
          <w:lang w:val="fr-FR"/>
        </w:rPr>
        <w:t>de l</w:t>
      </w:r>
      <w:r w:rsidR="0070292F" w:rsidRPr="0070292F">
        <w:rPr>
          <w:lang w:val="fr-FR"/>
        </w:rPr>
        <w:t>’</w:t>
      </w:r>
      <w:r w:rsidR="006E3BCC" w:rsidRPr="0070292F">
        <w:rPr>
          <w:lang w:val="fr-FR"/>
        </w:rPr>
        <w:t xml:space="preserve">intéressé </w:t>
      </w:r>
      <w:r w:rsidR="00D67CFD" w:rsidRPr="0070292F">
        <w:rPr>
          <w:lang w:val="fr-FR"/>
        </w:rPr>
        <w:t>et justifi</w:t>
      </w:r>
      <w:r w:rsidR="006E3BCC" w:rsidRPr="0070292F">
        <w:rPr>
          <w:lang w:val="fr-FR"/>
        </w:rPr>
        <w:t>a</w:t>
      </w:r>
      <w:r w:rsidR="00D67CFD" w:rsidRPr="0070292F">
        <w:rPr>
          <w:lang w:val="fr-FR"/>
        </w:rPr>
        <w:t>nt</w:t>
      </w:r>
      <w:r w:rsidR="007D1E61" w:rsidRPr="0070292F">
        <w:rPr>
          <w:lang w:val="fr-FR"/>
        </w:rPr>
        <w:t xml:space="preserve"> </w:t>
      </w:r>
      <w:r w:rsidR="006E3BCC" w:rsidRPr="0070292F">
        <w:rPr>
          <w:lang w:val="fr-FR"/>
        </w:rPr>
        <w:t xml:space="preserve">la nécessité </w:t>
      </w:r>
      <w:r w:rsidR="000330B7" w:rsidRPr="0070292F">
        <w:rPr>
          <w:lang w:val="fr-FR"/>
        </w:rPr>
        <w:t xml:space="preserve">de mettre en œuvre </w:t>
      </w:r>
      <w:r w:rsidR="004C33F7" w:rsidRPr="0070292F">
        <w:rPr>
          <w:lang w:val="fr-FR"/>
        </w:rPr>
        <w:t>de telles</w:t>
      </w:r>
      <w:r w:rsidR="007D1E61" w:rsidRPr="0070292F">
        <w:rPr>
          <w:lang w:val="fr-FR"/>
        </w:rPr>
        <w:t xml:space="preserve"> mesures pour prévenir et </w:t>
      </w:r>
      <w:r w:rsidR="002F495F" w:rsidRPr="0070292F">
        <w:rPr>
          <w:lang w:val="fr-FR"/>
        </w:rPr>
        <w:t>éviter</w:t>
      </w:r>
      <w:r w:rsidR="007D1E61" w:rsidRPr="0070292F">
        <w:rPr>
          <w:lang w:val="fr-FR"/>
        </w:rPr>
        <w:t xml:space="preserve"> la commission de crimes et </w:t>
      </w:r>
      <w:r w:rsidR="00F341A2" w:rsidRPr="0070292F">
        <w:rPr>
          <w:lang w:val="fr-FR"/>
        </w:rPr>
        <w:t>d</w:t>
      </w:r>
      <w:r w:rsidR="0070292F" w:rsidRPr="0070292F">
        <w:rPr>
          <w:lang w:val="fr-FR"/>
        </w:rPr>
        <w:t>’</w:t>
      </w:r>
      <w:r w:rsidR="007D1E61" w:rsidRPr="0070292F">
        <w:rPr>
          <w:lang w:val="fr-FR"/>
        </w:rPr>
        <w:t xml:space="preserve">infractions </w:t>
      </w:r>
      <w:r w:rsidR="002F495F" w:rsidRPr="0070292F">
        <w:rPr>
          <w:lang w:val="fr-FR"/>
        </w:rPr>
        <w:t>pénales.</w:t>
      </w:r>
    </w:p>
    <w:p w:rsidR="00F84766" w:rsidRPr="0070292F" w:rsidRDefault="00F84766"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98</w:t>
      </w:r>
      <w:r w:rsidRPr="0070292F">
        <w:rPr>
          <w:lang w:val="fr-FR"/>
        </w:rPr>
        <w:fldChar w:fldCharType="end"/>
      </w:r>
      <w:r w:rsidRPr="0070292F">
        <w:rPr>
          <w:lang w:val="fr-FR"/>
        </w:rPr>
        <w:t xml:space="preserve">.  Quant à la légalité de la mesure, le Gouvernement se réfère en </w:t>
      </w:r>
      <w:r w:rsidR="000D7BD2" w:rsidRPr="0070292F">
        <w:rPr>
          <w:lang w:val="fr-FR"/>
        </w:rPr>
        <w:t>particulier</w:t>
      </w:r>
      <w:r w:rsidRPr="0070292F">
        <w:rPr>
          <w:lang w:val="fr-FR"/>
        </w:rPr>
        <w:t xml:space="preserve"> </w:t>
      </w:r>
      <w:r w:rsidR="000D7BD2" w:rsidRPr="0070292F">
        <w:rPr>
          <w:lang w:val="fr-FR"/>
        </w:rPr>
        <w:t>aux moti</w:t>
      </w:r>
      <w:r w:rsidR="006E3BCC" w:rsidRPr="0070292F">
        <w:rPr>
          <w:lang w:val="fr-FR"/>
        </w:rPr>
        <w:t>fs</w:t>
      </w:r>
      <w:r w:rsidR="003D4305" w:rsidRPr="0070292F">
        <w:rPr>
          <w:lang w:val="fr-FR"/>
        </w:rPr>
        <w:t xml:space="preserve"> de l</w:t>
      </w:r>
      <w:r w:rsidR="0070292F" w:rsidRPr="0070292F">
        <w:rPr>
          <w:lang w:val="fr-FR"/>
        </w:rPr>
        <w:t>’</w:t>
      </w:r>
      <w:r w:rsidRPr="0070292F">
        <w:rPr>
          <w:lang w:val="fr-FR"/>
        </w:rPr>
        <w:t>arrêt de la Cour de cassation n</w:t>
      </w:r>
      <w:r w:rsidR="008C1E94" w:rsidRPr="0070292F">
        <w:rPr>
          <w:vertAlign w:val="superscript"/>
          <w:lang w:val="fr-FR"/>
        </w:rPr>
        <w:t>o</w:t>
      </w:r>
      <w:r w:rsidR="00BA5160" w:rsidRPr="0070292F">
        <w:rPr>
          <w:lang w:val="fr-FR"/>
        </w:rPr>
        <w:t> </w:t>
      </w:r>
      <w:r w:rsidRPr="0070292F">
        <w:rPr>
          <w:lang w:val="fr-FR"/>
        </w:rPr>
        <w:t xml:space="preserve">23641 de 2014 (paragraphe </w:t>
      </w:r>
      <w:r w:rsidR="005523BA" w:rsidRPr="0070292F">
        <w:rPr>
          <w:lang w:val="fr-FR"/>
        </w:rPr>
        <w:fldChar w:fldCharType="begin"/>
      </w:r>
      <w:r w:rsidR="005523BA" w:rsidRPr="0070292F">
        <w:rPr>
          <w:lang w:val="fr-FR"/>
        </w:rPr>
        <w:instrText xml:space="preserve"> REF para58 \h </w:instrText>
      </w:r>
      <w:r w:rsidR="005523BA" w:rsidRPr="0070292F">
        <w:rPr>
          <w:lang w:val="fr-FR"/>
        </w:rPr>
      </w:r>
      <w:r w:rsidR="005523BA" w:rsidRPr="0070292F">
        <w:rPr>
          <w:lang w:val="fr-FR"/>
        </w:rPr>
        <w:fldChar w:fldCharType="separate"/>
      </w:r>
      <w:r w:rsidR="0070292F" w:rsidRPr="0070292F">
        <w:rPr>
          <w:rFonts w:ascii="Times New Roman" w:eastAsia="Cambria" w:hAnsi="Times New Roman"/>
          <w:noProof/>
          <w:szCs w:val="24"/>
          <w:lang w:val="fr-FR"/>
        </w:rPr>
        <w:t>63</w:t>
      </w:r>
      <w:r w:rsidR="005523BA" w:rsidRPr="0070292F">
        <w:rPr>
          <w:lang w:val="fr-FR"/>
        </w:rPr>
        <w:fldChar w:fldCharType="end"/>
      </w:r>
      <w:r w:rsidRPr="0070292F">
        <w:rPr>
          <w:lang w:val="fr-FR"/>
        </w:rPr>
        <w:t xml:space="preserve"> ci-dessus).</w:t>
      </w:r>
    </w:p>
    <w:p w:rsidR="007D1E61" w:rsidRPr="0070292F" w:rsidRDefault="007D1E61"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99</w:t>
      </w:r>
      <w:r w:rsidRPr="0070292F">
        <w:rPr>
          <w:lang w:val="fr-FR"/>
        </w:rPr>
        <w:fldChar w:fldCharType="end"/>
      </w:r>
      <w:r w:rsidR="003D4305" w:rsidRPr="0070292F">
        <w:rPr>
          <w:lang w:val="fr-FR"/>
        </w:rPr>
        <w:t>.  </w:t>
      </w:r>
      <w:r w:rsidR="004C33F7" w:rsidRPr="0070292F">
        <w:rPr>
          <w:lang w:val="fr-FR"/>
        </w:rPr>
        <w:t>Il</w:t>
      </w:r>
      <w:r w:rsidR="00F84766" w:rsidRPr="0070292F">
        <w:rPr>
          <w:lang w:val="fr-FR"/>
        </w:rPr>
        <w:t xml:space="preserve"> rappelle que le</w:t>
      </w:r>
      <w:r w:rsidRPr="0070292F">
        <w:rPr>
          <w:lang w:val="fr-FR"/>
        </w:rPr>
        <w:t xml:space="preserve">s mesures </w:t>
      </w:r>
      <w:r w:rsidR="00F84766" w:rsidRPr="0070292F">
        <w:rPr>
          <w:lang w:val="fr-FR"/>
        </w:rPr>
        <w:t xml:space="preserve">de prévention </w:t>
      </w:r>
      <w:r w:rsidRPr="0070292F">
        <w:rPr>
          <w:lang w:val="fr-FR"/>
        </w:rPr>
        <w:t>ont fait l</w:t>
      </w:r>
      <w:r w:rsidR="0070292F" w:rsidRPr="0070292F">
        <w:rPr>
          <w:lang w:val="fr-FR"/>
        </w:rPr>
        <w:t>’</w:t>
      </w:r>
      <w:r w:rsidRPr="0070292F">
        <w:rPr>
          <w:lang w:val="fr-FR"/>
        </w:rPr>
        <w:t>objet d</w:t>
      </w:r>
      <w:r w:rsidR="0070292F" w:rsidRPr="0070292F">
        <w:rPr>
          <w:lang w:val="fr-FR"/>
        </w:rPr>
        <w:t>’</w:t>
      </w:r>
      <w:r w:rsidRPr="0070292F">
        <w:rPr>
          <w:lang w:val="fr-FR"/>
        </w:rPr>
        <w:t xml:space="preserve">un contrôle </w:t>
      </w:r>
      <w:r w:rsidR="006E3BCC" w:rsidRPr="0070292F">
        <w:rPr>
          <w:lang w:val="fr-FR"/>
        </w:rPr>
        <w:t xml:space="preserve">de </w:t>
      </w:r>
      <w:r w:rsidRPr="0070292F">
        <w:rPr>
          <w:lang w:val="fr-FR"/>
        </w:rPr>
        <w:t xml:space="preserve">la Cour </w:t>
      </w:r>
      <w:r w:rsidR="005661AF" w:rsidRPr="0070292F">
        <w:rPr>
          <w:lang w:val="fr-FR"/>
        </w:rPr>
        <w:t>c</w:t>
      </w:r>
      <w:r w:rsidR="002F495F" w:rsidRPr="0070292F">
        <w:rPr>
          <w:lang w:val="fr-FR"/>
        </w:rPr>
        <w:t>onstitutionnelle</w:t>
      </w:r>
      <w:r w:rsidRPr="0070292F">
        <w:rPr>
          <w:lang w:val="fr-FR"/>
        </w:rPr>
        <w:t xml:space="preserve">, laquelle a affirmé à </w:t>
      </w:r>
      <w:r w:rsidR="002F495F" w:rsidRPr="0070292F">
        <w:rPr>
          <w:lang w:val="fr-FR"/>
        </w:rPr>
        <w:t>plusieurs</w:t>
      </w:r>
      <w:r w:rsidRPr="0070292F">
        <w:rPr>
          <w:lang w:val="fr-FR"/>
        </w:rPr>
        <w:t xml:space="preserve"> reprises la </w:t>
      </w:r>
      <w:r w:rsidR="002F495F" w:rsidRPr="0070292F">
        <w:rPr>
          <w:lang w:val="fr-FR"/>
        </w:rPr>
        <w:t>nécessité</w:t>
      </w:r>
      <w:r w:rsidRPr="0070292F">
        <w:rPr>
          <w:lang w:val="fr-FR"/>
        </w:rPr>
        <w:t xml:space="preserve"> d</w:t>
      </w:r>
      <w:r w:rsidR="0070292F" w:rsidRPr="0070292F">
        <w:rPr>
          <w:lang w:val="fr-FR"/>
        </w:rPr>
        <w:t>’</w:t>
      </w:r>
      <w:r w:rsidRPr="0070292F">
        <w:rPr>
          <w:lang w:val="fr-FR"/>
        </w:rPr>
        <w:t xml:space="preserve">une </w:t>
      </w:r>
      <w:r w:rsidR="00BF7C74" w:rsidRPr="0070292F">
        <w:rPr>
          <w:lang w:val="fr-FR"/>
        </w:rPr>
        <w:t xml:space="preserve">disposition </w:t>
      </w:r>
      <w:r w:rsidR="00D056B2" w:rsidRPr="0070292F">
        <w:rPr>
          <w:lang w:val="fr-FR"/>
        </w:rPr>
        <w:t>légale</w:t>
      </w:r>
      <w:r w:rsidRPr="0070292F">
        <w:rPr>
          <w:lang w:val="fr-FR"/>
        </w:rPr>
        <w:t xml:space="preserve"> basée sur des circonstances objectives, l</w:t>
      </w:r>
      <w:r w:rsidR="0070292F" w:rsidRPr="0070292F">
        <w:rPr>
          <w:lang w:val="fr-FR"/>
        </w:rPr>
        <w:t>’</w:t>
      </w:r>
      <w:r w:rsidRPr="0070292F">
        <w:rPr>
          <w:lang w:val="fr-FR"/>
        </w:rPr>
        <w:t>exclusion de la possibilité de fonder ces mesures sur des soupçons</w:t>
      </w:r>
      <w:r w:rsidR="004C33F7" w:rsidRPr="0070292F">
        <w:rPr>
          <w:lang w:val="fr-FR"/>
        </w:rPr>
        <w:t>,</w:t>
      </w:r>
      <w:r w:rsidRPr="0070292F">
        <w:rPr>
          <w:lang w:val="fr-FR"/>
        </w:rPr>
        <w:t xml:space="preserve"> </w:t>
      </w:r>
      <w:r w:rsidR="00F84766" w:rsidRPr="0070292F">
        <w:rPr>
          <w:lang w:val="fr-FR"/>
        </w:rPr>
        <w:t>et</w:t>
      </w:r>
      <w:r w:rsidRPr="0070292F">
        <w:rPr>
          <w:lang w:val="fr-FR"/>
        </w:rPr>
        <w:t xml:space="preserve"> l</w:t>
      </w:r>
      <w:r w:rsidR="0070292F" w:rsidRPr="0070292F">
        <w:rPr>
          <w:lang w:val="fr-FR"/>
        </w:rPr>
        <w:t>’</w:t>
      </w:r>
      <w:r w:rsidRPr="0070292F">
        <w:rPr>
          <w:lang w:val="fr-FR"/>
        </w:rPr>
        <w:t xml:space="preserve">équilibre </w:t>
      </w:r>
      <w:r w:rsidR="006E3BCC" w:rsidRPr="0070292F">
        <w:rPr>
          <w:lang w:val="fr-FR"/>
        </w:rPr>
        <w:t>à ménager</w:t>
      </w:r>
      <w:r w:rsidR="00F84766" w:rsidRPr="0070292F">
        <w:rPr>
          <w:lang w:val="fr-FR"/>
        </w:rPr>
        <w:t xml:space="preserve"> </w:t>
      </w:r>
      <w:r w:rsidR="00A77D49" w:rsidRPr="0070292F">
        <w:rPr>
          <w:lang w:val="fr-FR"/>
        </w:rPr>
        <w:t xml:space="preserve">entre le </w:t>
      </w:r>
      <w:r w:rsidRPr="0070292F">
        <w:rPr>
          <w:lang w:val="fr-FR"/>
        </w:rPr>
        <w:t>respect</w:t>
      </w:r>
      <w:r w:rsidR="00A571D5" w:rsidRPr="0070292F">
        <w:rPr>
          <w:lang w:val="fr-FR"/>
        </w:rPr>
        <w:t xml:space="preserve"> des droits individuels et </w:t>
      </w:r>
      <w:r w:rsidR="00F84766" w:rsidRPr="0070292F">
        <w:rPr>
          <w:lang w:val="fr-FR"/>
        </w:rPr>
        <w:t>l</w:t>
      </w:r>
      <w:r w:rsidR="0070292F" w:rsidRPr="0070292F">
        <w:rPr>
          <w:lang w:val="fr-FR"/>
        </w:rPr>
        <w:t>’</w:t>
      </w:r>
      <w:r w:rsidR="00F84766" w:rsidRPr="0070292F">
        <w:rPr>
          <w:lang w:val="fr-FR"/>
        </w:rPr>
        <w:t xml:space="preserve">exigence </w:t>
      </w:r>
      <w:r w:rsidR="00BF7C74" w:rsidRPr="0070292F">
        <w:rPr>
          <w:lang w:val="fr-FR"/>
        </w:rPr>
        <w:t>liée à la défense</w:t>
      </w:r>
      <w:r w:rsidR="00F84766" w:rsidRPr="0070292F">
        <w:rPr>
          <w:lang w:val="fr-FR"/>
        </w:rPr>
        <w:t xml:space="preserve"> sociale.</w:t>
      </w:r>
    </w:p>
    <w:p w:rsidR="00C80C42" w:rsidRPr="0070292F" w:rsidRDefault="00C80C42"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100</w:t>
      </w:r>
      <w:r w:rsidRPr="0070292F">
        <w:rPr>
          <w:lang w:val="fr-FR"/>
        </w:rPr>
        <w:fldChar w:fldCharType="end"/>
      </w:r>
      <w:r w:rsidR="00D056B2" w:rsidRPr="0070292F">
        <w:rPr>
          <w:lang w:val="fr-FR"/>
        </w:rPr>
        <w:t>.  </w:t>
      </w:r>
      <w:r w:rsidR="004C33F7" w:rsidRPr="0070292F">
        <w:rPr>
          <w:lang w:val="fr-FR"/>
        </w:rPr>
        <w:t>Il</w:t>
      </w:r>
      <w:r w:rsidR="00156556" w:rsidRPr="0070292F">
        <w:rPr>
          <w:lang w:val="fr-FR"/>
        </w:rPr>
        <w:t xml:space="preserve"> informe la Cour </w:t>
      </w:r>
      <w:r w:rsidR="00622FB0" w:rsidRPr="0070292F">
        <w:rPr>
          <w:lang w:val="fr-FR"/>
        </w:rPr>
        <w:t>que</w:t>
      </w:r>
      <w:r w:rsidRPr="0070292F">
        <w:rPr>
          <w:lang w:val="fr-FR"/>
        </w:rPr>
        <w:t xml:space="preserve"> le nouveau « </w:t>
      </w:r>
      <w:r w:rsidR="00622FB0" w:rsidRPr="0070292F">
        <w:rPr>
          <w:lang w:val="fr-FR"/>
        </w:rPr>
        <w:t>c</w:t>
      </w:r>
      <w:r w:rsidRPr="0070292F">
        <w:rPr>
          <w:lang w:val="fr-FR"/>
        </w:rPr>
        <w:t xml:space="preserve">ode </w:t>
      </w:r>
      <w:r w:rsidR="00622FB0" w:rsidRPr="0070292F">
        <w:rPr>
          <w:lang w:val="fr-FR"/>
        </w:rPr>
        <w:t>a</w:t>
      </w:r>
      <w:r w:rsidRPr="0070292F">
        <w:rPr>
          <w:lang w:val="fr-FR"/>
        </w:rPr>
        <w:t xml:space="preserve">ntimafia », </w:t>
      </w:r>
      <w:r w:rsidR="00622FB0" w:rsidRPr="0070292F">
        <w:rPr>
          <w:lang w:val="fr-FR"/>
        </w:rPr>
        <w:t xml:space="preserve">rassemblant </w:t>
      </w:r>
      <w:r w:rsidRPr="0070292F">
        <w:rPr>
          <w:lang w:val="fr-FR"/>
        </w:rPr>
        <w:t xml:space="preserve">la législation </w:t>
      </w:r>
      <w:r w:rsidR="00622FB0" w:rsidRPr="0070292F">
        <w:rPr>
          <w:lang w:val="fr-FR"/>
        </w:rPr>
        <w:t xml:space="preserve">relative à </w:t>
      </w:r>
      <w:r w:rsidRPr="0070292F">
        <w:rPr>
          <w:lang w:val="fr-FR"/>
        </w:rPr>
        <w:t>la lutte contre la mafia et les mesures de prévention personnelles et patrimoniales, est entré en vigueur</w:t>
      </w:r>
      <w:r w:rsidR="00622FB0" w:rsidRPr="0070292F">
        <w:rPr>
          <w:lang w:val="fr-FR"/>
        </w:rPr>
        <w:t xml:space="preserve"> en 2011 et </w:t>
      </w:r>
      <w:r w:rsidRPr="0070292F">
        <w:rPr>
          <w:lang w:val="fr-FR"/>
        </w:rPr>
        <w:t>a abrogé la loi n</w:t>
      </w:r>
      <w:r w:rsidR="008C1E94" w:rsidRPr="0070292F">
        <w:rPr>
          <w:vertAlign w:val="superscript"/>
          <w:lang w:val="fr-FR"/>
        </w:rPr>
        <w:t>o</w:t>
      </w:r>
      <w:r w:rsidR="00BA5160" w:rsidRPr="0070292F">
        <w:rPr>
          <w:lang w:val="fr-FR"/>
        </w:rPr>
        <w:t> </w:t>
      </w:r>
      <w:r w:rsidRPr="0070292F">
        <w:rPr>
          <w:lang w:val="fr-FR"/>
        </w:rPr>
        <w:t xml:space="preserve">1423 de 1956. </w:t>
      </w:r>
      <w:r w:rsidR="00622FB0" w:rsidRPr="0070292F">
        <w:rPr>
          <w:lang w:val="fr-FR"/>
        </w:rPr>
        <w:t>Il précise que</w:t>
      </w:r>
      <w:r w:rsidRPr="0070292F">
        <w:rPr>
          <w:lang w:val="fr-FR"/>
        </w:rPr>
        <w:t xml:space="preserve"> le registre d</w:t>
      </w:r>
      <w:r w:rsidR="0070292F" w:rsidRPr="0070292F">
        <w:rPr>
          <w:lang w:val="fr-FR"/>
        </w:rPr>
        <w:t>’</w:t>
      </w:r>
      <w:r w:rsidRPr="0070292F">
        <w:rPr>
          <w:lang w:val="fr-FR"/>
        </w:rPr>
        <w:t xml:space="preserve">informations concernant les mesures de prévention a un caractère </w:t>
      </w:r>
      <w:r w:rsidR="0011114D" w:rsidRPr="0070292F">
        <w:rPr>
          <w:lang w:val="fr-FR"/>
        </w:rPr>
        <w:t>confidentiel</w:t>
      </w:r>
      <w:r w:rsidRPr="0070292F">
        <w:rPr>
          <w:lang w:val="fr-FR"/>
        </w:rPr>
        <w:t xml:space="preserve"> </w:t>
      </w:r>
      <w:r w:rsidR="004C33F7" w:rsidRPr="0070292F">
        <w:rPr>
          <w:lang w:val="fr-FR"/>
        </w:rPr>
        <w:t xml:space="preserve">et </w:t>
      </w:r>
      <w:r w:rsidR="00622FB0" w:rsidRPr="0070292F">
        <w:rPr>
          <w:lang w:val="fr-FR"/>
        </w:rPr>
        <w:t>est tenu par les</w:t>
      </w:r>
      <w:r w:rsidRPr="0070292F">
        <w:rPr>
          <w:lang w:val="fr-FR"/>
        </w:rPr>
        <w:t xml:space="preserve"> tribunaux.</w:t>
      </w:r>
    </w:p>
    <w:p w:rsidR="00C80C42" w:rsidRPr="0070292F" w:rsidRDefault="00C80C42"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101</w:t>
      </w:r>
      <w:r w:rsidRPr="0070292F">
        <w:rPr>
          <w:lang w:val="fr-FR"/>
        </w:rPr>
        <w:fldChar w:fldCharType="end"/>
      </w:r>
      <w:r w:rsidR="00D056B2" w:rsidRPr="0070292F">
        <w:rPr>
          <w:lang w:val="fr-FR"/>
        </w:rPr>
        <w:t>.  </w:t>
      </w:r>
      <w:r w:rsidR="00622FB0" w:rsidRPr="0070292F">
        <w:rPr>
          <w:lang w:val="fr-FR"/>
        </w:rPr>
        <w:t>En outre, l</w:t>
      </w:r>
      <w:r w:rsidRPr="0070292F">
        <w:rPr>
          <w:lang w:val="fr-FR"/>
        </w:rPr>
        <w:t xml:space="preserve">e </w:t>
      </w:r>
      <w:r w:rsidR="00566482" w:rsidRPr="0070292F">
        <w:rPr>
          <w:lang w:val="fr-FR"/>
        </w:rPr>
        <w:t>Gouvernement</w:t>
      </w:r>
      <w:r w:rsidRPr="0070292F">
        <w:rPr>
          <w:lang w:val="fr-FR"/>
        </w:rPr>
        <w:t xml:space="preserve"> </w:t>
      </w:r>
      <w:r w:rsidR="002F3539" w:rsidRPr="0070292F">
        <w:rPr>
          <w:lang w:val="fr-FR"/>
        </w:rPr>
        <w:t>rappelle</w:t>
      </w:r>
      <w:r w:rsidRPr="0070292F">
        <w:rPr>
          <w:lang w:val="fr-FR"/>
        </w:rPr>
        <w:t xml:space="preserve"> que</w:t>
      </w:r>
      <w:r w:rsidR="00F341A2" w:rsidRPr="0070292F">
        <w:rPr>
          <w:lang w:val="fr-FR"/>
        </w:rPr>
        <w:t>,</w:t>
      </w:r>
      <w:r w:rsidRPr="0070292F">
        <w:rPr>
          <w:lang w:val="fr-FR"/>
        </w:rPr>
        <w:t xml:space="preserve"> selon la </w:t>
      </w:r>
      <w:r w:rsidR="00495FDC" w:rsidRPr="0070292F">
        <w:rPr>
          <w:lang w:val="fr-FR"/>
        </w:rPr>
        <w:t>jurisprudence</w:t>
      </w:r>
      <w:r w:rsidR="00C22DD0" w:rsidRPr="0070292F">
        <w:rPr>
          <w:lang w:val="fr-FR"/>
        </w:rPr>
        <w:t xml:space="preserve"> </w:t>
      </w:r>
      <w:r w:rsidR="00BF7C74" w:rsidRPr="0070292F">
        <w:rPr>
          <w:lang w:val="fr-FR"/>
        </w:rPr>
        <w:t>interne</w:t>
      </w:r>
      <w:r w:rsidRPr="0070292F">
        <w:rPr>
          <w:lang w:val="fr-FR"/>
        </w:rPr>
        <w:t xml:space="preserve">, </w:t>
      </w:r>
      <w:r w:rsidR="002072A2" w:rsidRPr="0070292F">
        <w:rPr>
          <w:lang w:val="fr-FR"/>
        </w:rPr>
        <w:t>seule</w:t>
      </w:r>
      <w:r w:rsidR="0011114D" w:rsidRPr="0070292F">
        <w:rPr>
          <w:lang w:val="fr-FR"/>
        </w:rPr>
        <w:t xml:space="preserve"> </w:t>
      </w:r>
      <w:r w:rsidR="002F3539" w:rsidRPr="0070292F">
        <w:rPr>
          <w:lang w:val="fr-FR"/>
        </w:rPr>
        <w:t>une violation</w:t>
      </w:r>
      <w:r w:rsidR="0011114D" w:rsidRPr="0070292F">
        <w:rPr>
          <w:lang w:val="fr-FR"/>
        </w:rPr>
        <w:t xml:space="preserve"> </w:t>
      </w:r>
      <w:r w:rsidR="00C22DD0" w:rsidRPr="0070292F">
        <w:rPr>
          <w:lang w:val="fr-FR"/>
        </w:rPr>
        <w:t xml:space="preserve">matérielle </w:t>
      </w:r>
      <w:r w:rsidR="0011114D" w:rsidRPr="0070292F">
        <w:rPr>
          <w:lang w:val="fr-FR"/>
        </w:rPr>
        <w:t xml:space="preserve">de la mesure de </w:t>
      </w:r>
      <w:r w:rsidR="004C29D7" w:rsidRPr="0070292F">
        <w:rPr>
          <w:lang w:val="fr-FR"/>
        </w:rPr>
        <w:t>prévention</w:t>
      </w:r>
      <w:r w:rsidR="0011114D" w:rsidRPr="0070292F">
        <w:rPr>
          <w:lang w:val="fr-FR"/>
        </w:rPr>
        <w:t xml:space="preserve"> imposée</w:t>
      </w:r>
      <w:r w:rsidR="002F3539" w:rsidRPr="0070292F">
        <w:rPr>
          <w:lang w:val="fr-FR"/>
        </w:rPr>
        <w:t xml:space="preserve"> peut</w:t>
      </w:r>
      <w:r w:rsidR="0011114D" w:rsidRPr="0070292F">
        <w:rPr>
          <w:lang w:val="fr-FR"/>
        </w:rPr>
        <w:t xml:space="preserve"> entra</w:t>
      </w:r>
      <w:r w:rsidR="00C22DD0" w:rsidRPr="0070292F">
        <w:rPr>
          <w:lang w:val="fr-FR"/>
        </w:rPr>
        <w:t>î</w:t>
      </w:r>
      <w:r w:rsidR="0011114D" w:rsidRPr="0070292F">
        <w:rPr>
          <w:lang w:val="fr-FR"/>
        </w:rPr>
        <w:t>ne</w:t>
      </w:r>
      <w:r w:rsidR="002F3539" w:rsidRPr="0070292F">
        <w:rPr>
          <w:lang w:val="fr-FR"/>
        </w:rPr>
        <w:t>r</w:t>
      </w:r>
      <w:r w:rsidR="0011114D" w:rsidRPr="0070292F">
        <w:rPr>
          <w:lang w:val="fr-FR"/>
        </w:rPr>
        <w:t xml:space="preserve"> l</w:t>
      </w:r>
      <w:r w:rsidR="0070292F" w:rsidRPr="0070292F">
        <w:rPr>
          <w:lang w:val="fr-FR"/>
        </w:rPr>
        <w:t>’</w:t>
      </w:r>
      <w:r w:rsidR="004C29D7" w:rsidRPr="0070292F">
        <w:rPr>
          <w:lang w:val="fr-FR"/>
        </w:rPr>
        <w:t>application</w:t>
      </w:r>
      <w:r w:rsidR="0011114D" w:rsidRPr="0070292F">
        <w:rPr>
          <w:lang w:val="fr-FR"/>
        </w:rPr>
        <w:t xml:space="preserve"> </w:t>
      </w:r>
      <w:r w:rsidR="004C29D7" w:rsidRPr="0070292F">
        <w:rPr>
          <w:lang w:val="fr-FR"/>
        </w:rPr>
        <w:t>d</w:t>
      </w:r>
      <w:r w:rsidR="0011114D" w:rsidRPr="0070292F">
        <w:rPr>
          <w:lang w:val="fr-FR"/>
        </w:rPr>
        <w:t>e l</w:t>
      </w:r>
      <w:r w:rsidR="0070292F" w:rsidRPr="0070292F">
        <w:rPr>
          <w:lang w:val="fr-FR"/>
        </w:rPr>
        <w:t>’</w:t>
      </w:r>
      <w:r w:rsidR="00F341A2" w:rsidRPr="0070292F">
        <w:rPr>
          <w:lang w:val="fr-FR"/>
        </w:rPr>
        <w:t>article 9 de la loi litigieuse</w:t>
      </w:r>
      <w:r w:rsidR="00C22DD0" w:rsidRPr="0070292F">
        <w:rPr>
          <w:lang w:val="fr-FR"/>
        </w:rPr>
        <w:t xml:space="preserve">, </w:t>
      </w:r>
      <w:r w:rsidR="00F341A2" w:rsidRPr="0070292F">
        <w:rPr>
          <w:lang w:val="fr-FR"/>
        </w:rPr>
        <w:t>donc l</w:t>
      </w:r>
      <w:r w:rsidR="0070292F" w:rsidRPr="0070292F">
        <w:rPr>
          <w:lang w:val="fr-FR"/>
        </w:rPr>
        <w:t>’</w:t>
      </w:r>
      <w:r w:rsidR="00F341A2" w:rsidRPr="0070292F">
        <w:rPr>
          <w:lang w:val="fr-FR"/>
        </w:rPr>
        <w:t>application d</w:t>
      </w:r>
      <w:r w:rsidR="0070292F" w:rsidRPr="0070292F">
        <w:rPr>
          <w:lang w:val="fr-FR"/>
        </w:rPr>
        <w:t>’</w:t>
      </w:r>
      <w:r w:rsidR="00F341A2" w:rsidRPr="0070292F">
        <w:rPr>
          <w:lang w:val="fr-FR"/>
        </w:rPr>
        <w:t>une peine privative de liberté.</w:t>
      </w:r>
    </w:p>
    <w:p w:rsidR="000B02FA" w:rsidRPr="0070292F" w:rsidRDefault="0011114D" w:rsidP="0070292F">
      <w:pPr>
        <w:pStyle w:val="ECHRPara"/>
        <w:rPr>
          <w:lang w:val="fr-FR"/>
        </w:rPr>
      </w:pPr>
      <w:r w:rsidRPr="0070292F">
        <w:rPr>
          <w:lang w:val="fr-FR"/>
        </w:rPr>
        <w:lastRenderedPageBreak/>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102</w:t>
      </w:r>
      <w:r w:rsidRPr="0070292F">
        <w:rPr>
          <w:lang w:val="fr-FR"/>
        </w:rPr>
        <w:fldChar w:fldCharType="end"/>
      </w:r>
      <w:r w:rsidR="00D056B2" w:rsidRPr="0070292F">
        <w:rPr>
          <w:lang w:val="fr-FR"/>
        </w:rPr>
        <w:t>.  </w:t>
      </w:r>
      <w:r w:rsidRPr="0070292F">
        <w:rPr>
          <w:lang w:val="fr-FR"/>
        </w:rPr>
        <w:t>Le Gouvernement ajoute que</w:t>
      </w:r>
      <w:r w:rsidR="00D67CFD" w:rsidRPr="0070292F">
        <w:rPr>
          <w:lang w:val="fr-FR"/>
        </w:rPr>
        <w:t xml:space="preserve"> l</w:t>
      </w:r>
      <w:r w:rsidR="0070292F" w:rsidRPr="0070292F">
        <w:rPr>
          <w:lang w:val="fr-FR"/>
        </w:rPr>
        <w:t>’</w:t>
      </w:r>
      <w:r w:rsidR="00D67CFD" w:rsidRPr="0070292F">
        <w:rPr>
          <w:lang w:val="fr-FR"/>
        </w:rPr>
        <w:t>ingérence dans le droit à la libre circulation était prévue par la loi, répondait à un but légitime</w:t>
      </w:r>
      <w:r w:rsidR="00E72301" w:rsidRPr="0070292F">
        <w:rPr>
          <w:lang w:val="fr-FR"/>
        </w:rPr>
        <w:t xml:space="preserve">, </w:t>
      </w:r>
      <w:r w:rsidR="00394986" w:rsidRPr="0070292F">
        <w:rPr>
          <w:lang w:val="fr-FR"/>
        </w:rPr>
        <w:t xml:space="preserve">à </w:t>
      </w:r>
      <w:r w:rsidR="00BB75DE" w:rsidRPr="0070292F">
        <w:rPr>
          <w:lang w:val="fr-FR"/>
        </w:rPr>
        <w:t xml:space="preserve">savoir la </w:t>
      </w:r>
      <w:r w:rsidR="00394986" w:rsidRPr="0070292F">
        <w:rPr>
          <w:lang w:val="fr-FR"/>
        </w:rPr>
        <w:t xml:space="preserve">sauvegarde </w:t>
      </w:r>
      <w:r w:rsidR="00BB75DE" w:rsidRPr="0070292F">
        <w:rPr>
          <w:lang w:val="fr-FR"/>
        </w:rPr>
        <w:t>d</w:t>
      </w:r>
      <w:r w:rsidR="00394986" w:rsidRPr="0070292F">
        <w:rPr>
          <w:lang w:val="fr-FR"/>
        </w:rPr>
        <w:t xml:space="preserve">es intérêts publics indiqués au </w:t>
      </w:r>
      <w:r w:rsidR="008C6593" w:rsidRPr="0070292F">
        <w:rPr>
          <w:lang w:val="fr-FR"/>
        </w:rPr>
        <w:t>paragraphe</w:t>
      </w:r>
      <w:r w:rsidR="00394986" w:rsidRPr="0070292F">
        <w:rPr>
          <w:lang w:val="fr-FR"/>
        </w:rPr>
        <w:t xml:space="preserve"> 3 de l</w:t>
      </w:r>
      <w:r w:rsidR="0070292F" w:rsidRPr="0070292F">
        <w:rPr>
          <w:lang w:val="fr-FR"/>
        </w:rPr>
        <w:t>’</w:t>
      </w:r>
      <w:r w:rsidR="00394986" w:rsidRPr="0070292F">
        <w:rPr>
          <w:lang w:val="fr-FR"/>
        </w:rPr>
        <w:t>article 2 du Protocole n</w:t>
      </w:r>
      <w:r w:rsidR="008C1E94" w:rsidRPr="0070292F">
        <w:rPr>
          <w:vertAlign w:val="superscript"/>
          <w:lang w:val="fr-FR"/>
        </w:rPr>
        <w:t>o</w:t>
      </w:r>
      <w:r w:rsidR="00394986" w:rsidRPr="0070292F">
        <w:rPr>
          <w:lang w:val="fr-FR"/>
        </w:rPr>
        <w:t xml:space="preserve"> 4</w:t>
      </w:r>
      <w:r w:rsidR="00BB75DE" w:rsidRPr="0070292F">
        <w:rPr>
          <w:lang w:val="fr-FR"/>
        </w:rPr>
        <w:t>,</w:t>
      </w:r>
      <w:r w:rsidR="00394986" w:rsidRPr="0070292F">
        <w:rPr>
          <w:lang w:val="fr-FR"/>
        </w:rPr>
        <w:t xml:space="preserve"> </w:t>
      </w:r>
      <w:r w:rsidR="00D67CFD" w:rsidRPr="0070292F">
        <w:rPr>
          <w:lang w:val="fr-FR"/>
        </w:rPr>
        <w:t xml:space="preserve">et était proportionnée. Il </w:t>
      </w:r>
      <w:r w:rsidRPr="0070292F">
        <w:rPr>
          <w:lang w:val="fr-FR"/>
        </w:rPr>
        <w:t>note</w:t>
      </w:r>
      <w:r w:rsidR="00D67CFD" w:rsidRPr="0070292F">
        <w:rPr>
          <w:lang w:val="fr-FR"/>
        </w:rPr>
        <w:t xml:space="preserve"> que, </w:t>
      </w:r>
      <w:r w:rsidR="00A149FE" w:rsidRPr="0070292F">
        <w:rPr>
          <w:lang w:val="fr-FR"/>
        </w:rPr>
        <w:t xml:space="preserve">au regard de </w:t>
      </w:r>
      <w:r w:rsidR="00D67CFD" w:rsidRPr="0070292F">
        <w:rPr>
          <w:lang w:val="fr-FR"/>
        </w:rPr>
        <w:t>la jurisprudence</w:t>
      </w:r>
      <w:r w:rsidR="0088383C" w:rsidRPr="0070292F">
        <w:rPr>
          <w:lang w:val="fr-FR"/>
        </w:rPr>
        <w:t xml:space="preserve"> </w:t>
      </w:r>
      <w:r w:rsidR="00BF7C74" w:rsidRPr="0070292F">
        <w:rPr>
          <w:lang w:val="fr-FR"/>
        </w:rPr>
        <w:t>interne</w:t>
      </w:r>
      <w:r w:rsidR="00D67CFD" w:rsidRPr="0070292F">
        <w:rPr>
          <w:lang w:val="fr-FR"/>
        </w:rPr>
        <w:t xml:space="preserve">, le dépassement du délai légal (trente jours) par la </w:t>
      </w:r>
      <w:r w:rsidR="00C22DD0" w:rsidRPr="0070292F">
        <w:rPr>
          <w:lang w:val="fr-FR"/>
        </w:rPr>
        <w:t>c</w:t>
      </w:r>
      <w:r w:rsidR="00D67CFD" w:rsidRPr="0070292F">
        <w:rPr>
          <w:lang w:val="fr-FR"/>
        </w:rPr>
        <w:t>our d</w:t>
      </w:r>
      <w:r w:rsidR="0070292F" w:rsidRPr="0070292F">
        <w:rPr>
          <w:lang w:val="fr-FR"/>
        </w:rPr>
        <w:t>’</w:t>
      </w:r>
      <w:r w:rsidR="00D67CFD" w:rsidRPr="0070292F">
        <w:rPr>
          <w:lang w:val="fr-FR"/>
        </w:rPr>
        <w:t xml:space="preserve">appel ne constitue pas automatiquement </w:t>
      </w:r>
      <w:r w:rsidR="00C22DD0" w:rsidRPr="0070292F">
        <w:rPr>
          <w:lang w:val="fr-FR"/>
        </w:rPr>
        <w:t xml:space="preserve">une </w:t>
      </w:r>
      <w:r w:rsidR="00D67CFD" w:rsidRPr="0070292F">
        <w:rPr>
          <w:lang w:val="fr-FR"/>
        </w:rPr>
        <w:t>rupture du juste équilibre (</w:t>
      </w:r>
      <w:r w:rsidR="00D67CFD" w:rsidRPr="0070292F">
        <w:rPr>
          <w:i/>
          <w:iCs/>
          <w:lang w:val="fr-FR"/>
        </w:rPr>
        <w:t>Monno</w:t>
      </w:r>
      <w:r w:rsidR="00D67CFD" w:rsidRPr="0070292F">
        <w:rPr>
          <w:iCs/>
          <w:lang w:val="fr-FR"/>
        </w:rPr>
        <w:t>,</w:t>
      </w:r>
      <w:r w:rsidR="00D67CFD" w:rsidRPr="0070292F">
        <w:rPr>
          <w:i/>
          <w:iCs/>
          <w:lang w:val="fr-FR"/>
        </w:rPr>
        <w:t xml:space="preserve"> </w:t>
      </w:r>
      <w:r w:rsidR="00C22DD0" w:rsidRPr="0070292F">
        <w:rPr>
          <w:iCs/>
          <w:lang w:val="fr-FR"/>
        </w:rPr>
        <w:t xml:space="preserve">décision </w:t>
      </w:r>
      <w:r w:rsidR="00D67CFD" w:rsidRPr="0070292F">
        <w:rPr>
          <w:iCs/>
          <w:lang w:val="fr-FR"/>
        </w:rPr>
        <w:t>précité</w:t>
      </w:r>
      <w:r w:rsidR="00C22DD0" w:rsidRPr="0070292F">
        <w:rPr>
          <w:iCs/>
          <w:lang w:val="fr-FR"/>
        </w:rPr>
        <w:t>e</w:t>
      </w:r>
      <w:r w:rsidR="00AC2B0A" w:rsidRPr="0070292F">
        <w:rPr>
          <w:iCs/>
          <w:lang w:val="fr-FR"/>
        </w:rPr>
        <w:t>,</w:t>
      </w:r>
      <w:r w:rsidR="00D67CFD" w:rsidRPr="0070292F">
        <w:rPr>
          <w:i/>
          <w:iCs/>
          <w:lang w:val="fr-FR"/>
        </w:rPr>
        <w:t xml:space="preserve"> </w:t>
      </w:r>
      <w:r w:rsidR="00D67CFD" w:rsidRPr="0070292F">
        <w:rPr>
          <w:lang w:val="fr-FR"/>
        </w:rPr>
        <w:t>§</w:t>
      </w:r>
      <w:r w:rsidR="00A149FE" w:rsidRPr="0070292F">
        <w:rPr>
          <w:lang w:val="fr-FR"/>
        </w:rPr>
        <w:t> </w:t>
      </w:r>
      <w:r w:rsidR="00D67CFD" w:rsidRPr="0070292F">
        <w:rPr>
          <w:lang w:val="fr-FR"/>
        </w:rPr>
        <w:t>27).</w:t>
      </w:r>
      <w:r w:rsidRPr="0070292F">
        <w:rPr>
          <w:lang w:val="fr-FR"/>
        </w:rPr>
        <w:t xml:space="preserve"> </w:t>
      </w:r>
      <w:r w:rsidR="00C22DD0" w:rsidRPr="0070292F">
        <w:rPr>
          <w:lang w:val="fr-FR"/>
        </w:rPr>
        <w:t xml:space="preserve">Il indique de </w:t>
      </w:r>
      <w:r w:rsidRPr="0070292F">
        <w:rPr>
          <w:lang w:val="fr-FR"/>
        </w:rPr>
        <w:t>plus</w:t>
      </w:r>
      <w:r w:rsidR="00C22DD0" w:rsidRPr="0070292F">
        <w:rPr>
          <w:lang w:val="fr-FR"/>
        </w:rPr>
        <w:t xml:space="preserve"> que</w:t>
      </w:r>
      <w:r w:rsidRPr="0070292F">
        <w:rPr>
          <w:lang w:val="fr-FR"/>
        </w:rPr>
        <w:t xml:space="preserve"> le requérant </w:t>
      </w:r>
      <w:r w:rsidR="00C22DD0" w:rsidRPr="0070292F">
        <w:rPr>
          <w:lang w:val="fr-FR"/>
        </w:rPr>
        <w:t>aurait pu se prévaloir</w:t>
      </w:r>
      <w:r w:rsidR="000B02FA" w:rsidRPr="0070292F">
        <w:rPr>
          <w:lang w:val="fr-FR"/>
        </w:rPr>
        <w:t xml:space="preserve"> de l</w:t>
      </w:r>
      <w:r w:rsidR="0070292F" w:rsidRPr="0070292F">
        <w:rPr>
          <w:lang w:val="fr-FR"/>
        </w:rPr>
        <w:t>’</w:t>
      </w:r>
      <w:r w:rsidR="000B02FA" w:rsidRPr="0070292F">
        <w:rPr>
          <w:lang w:val="fr-FR"/>
        </w:rPr>
        <w:t xml:space="preserve">article 3 de la loi </w:t>
      </w:r>
      <w:r w:rsidR="001762EA" w:rsidRPr="0070292F">
        <w:rPr>
          <w:rFonts w:ascii="Times New Roman" w:eastAsia="Calibri" w:hAnsi="Times New Roman" w:cs="Times New Roman"/>
          <w:szCs w:val="24"/>
          <w:lang w:val="fr-FR"/>
        </w:rPr>
        <w:t>n</w:t>
      </w:r>
      <w:r w:rsidR="008C1E94" w:rsidRPr="0070292F">
        <w:rPr>
          <w:rFonts w:ascii="Times New Roman" w:eastAsia="Calibri" w:hAnsi="Times New Roman" w:cs="Times New Roman"/>
          <w:szCs w:val="24"/>
          <w:vertAlign w:val="superscript"/>
          <w:lang w:val="fr-FR"/>
        </w:rPr>
        <w:t>o</w:t>
      </w:r>
      <w:r w:rsidR="001762EA" w:rsidRPr="0070292F">
        <w:rPr>
          <w:rFonts w:ascii="Times New Roman" w:eastAsia="Calibri" w:hAnsi="Times New Roman" w:cs="Times New Roman"/>
          <w:szCs w:val="24"/>
          <w:lang w:val="fr-FR"/>
        </w:rPr>
        <w:t xml:space="preserve"> 117</w:t>
      </w:r>
      <w:r w:rsidR="000B02FA" w:rsidRPr="0070292F">
        <w:rPr>
          <w:rFonts w:ascii="Times New Roman" w:eastAsia="Calibri" w:hAnsi="Times New Roman" w:cs="Times New Roman"/>
          <w:szCs w:val="24"/>
          <w:lang w:val="fr-FR"/>
        </w:rPr>
        <w:t xml:space="preserve"> de 1988 (paragraphe </w:t>
      </w:r>
      <w:r w:rsidR="00E0653F" w:rsidRPr="0070292F">
        <w:rPr>
          <w:rFonts w:ascii="Times New Roman" w:eastAsia="Calibri" w:hAnsi="Times New Roman" w:cs="Times New Roman"/>
          <w:szCs w:val="24"/>
          <w:lang w:val="fr-FR"/>
        </w:rPr>
        <w:fldChar w:fldCharType="begin"/>
      </w:r>
      <w:r w:rsidR="00E0653F" w:rsidRPr="0070292F">
        <w:rPr>
          <w:rFonts w:ascii="Times New Roman" w:eastAsia="Calibri" w:hAnsi="Times New Roman" w:cs="Times New Roman"/>
          <w:szCs w:val="24"/>
          <w:lang w:val="fr-FR"/>
        </w:rPr>
        <w:instrText xml:space="preserve"> REF para62 \h </w:instrText>
      </w:r>
      <w:r w:rsidR="00E0653F" w:rsidRPr="0070292F">
        <w:rPr>
          <w:rFonts w:ascii="Times New Roman" w:eastAsia="Calibri" w:hAnsi="Times New Roman" w:cs="Times New Roman"/>
          <w:szCs w:val="24"/>
          <w:lang w:val="fr-FR"/>
        </w:rPr>
      </w:r>
      <w:r w:rsidR="00E0653F" w:rsidRPr="0070292F">
        <w:rPr>
          <w:rFonts w:ascii="Times New Roman" w:eastAsia="Calibri" w:hAnsi="Times New Roman" w:cs="Times New Roman"/>
          <w:szCs w:val="24"/>
          <w:lang w:val="fr-FR"/>
        </w:rPr>
        <w:fldChar w:fldCharType="separate"/>
      </w:r>
      <w:r w:rsidR="0070292F" w:rsidRPr="0070292F">
        <w:rPr>
          <w:rFonts w:eastAsia="Calibri"/>
          <w:noProof/>
          <w:lang w:val="fr-FR"/>
        </w:rPr>
        <w:t>67</w:t>
      </w:r>
      <w:r w:rsidR="00E0653F" w:rsidRPr="0070292F">
        <w:rPr>
          <w:rFonts w:ascii="Times New Roman" w:eastAsia="Calibri" w:hAnsi="Times New Roman" w:cs="Times New Roman"/>
          <w:szCs w:val="24"/>
          <w:lang w:val="fr-FR"/>
        </w:rPr>
        <w:fldChar w:fldCharType="end"/>
      </w:r>
      <w:r w:rsidR="0070292F" w:rsidRPr="0070292F">
        <w:rPr>
          <w:rFonts w:ascii="Times New Roman" w:eastAsia="Calibri" w:hAnsi="Times New Roman" w:cs="Times New Roman"/>
          <w:szCs w:val="24"/>
          <w:lang w:val="fr-FR"/>
        </w:rPr>
        <w:t xml:space="preserve"> ci</w:t>
      </w:r>
      <w:r w:rsidR="0070292F" w:rsidRPr="0070292F">
        <w:rPr>
          <w:rFonts w:ascii="Times New Roman" w:eastAsia="Calibri" w:hAnsi="Times New Roman" w:cs="Times New Roman"/>
          <w:szCs w:val="24"/>
          <w:lang w:val="fr-FR"/>
        </w:rPr>
        <w:noBreakHyphen/>
      </w:r>
      <w:r w:rsidR="000B02FA" w:rsidRPr="0070292F">
        <w:rPr>
          <w:rFonts w:ascii="Times New Roman" w:eastAsia="Calibri" w:hAnsi="Times New Roman" w:cs="Times New Roman"/>
          <w:szCs w:val="24"/>
          <w:lang w:val="fr-FR"/>
        </w:rPr>
        <w:t xml:space="preserve">dessus) </w:t>
      </w:r>
      <w:r w:rsidR="00C22DD0" w:rsidRPr="0070292F">
        <w:rPr>
          <w:lang w:val="fr-FR"/>
        </w:rPr>
        <w:t>pour</w:t>
      </w:r>
      <w:r w:rsidR="000B02FA" w:rsidRPr="0070292F">
        <w:rPr>
          <w:lang w:val="fr-FR"/>
        </w:rPr>
        <w:t xml:space="preserve"> </w:t>
      </w:r>
      <w:r w:rsidR="00C22DD0" w:rsidRPr="0070292F">
        <w:rPr>
          <w:lang w:val="fr-FR"/>
        </w:rPr>
        <w:t>prier</w:t>
      </w:r>
      <w:r w:rsidR="000B02FA" w:rsidRPr="0070292F">
        <w:rPr>
          <w:lang w:val="fr-FR"/>
        </w:rPr>
        <w:t xml:space="preserve"> la cour d</w:t>
      </w:r>
      <w:r w:rsidR="0070292F" w:rsidRPr="0070292F">
        <w:rPr>
          <w:lang w:val="fr-FR"/>
        </w:rPr>
        <w:t>’</w:t>
      </w:r>
      <w:r w:rsidR="000B02FA" w:rsidRPr="0070292F">
        <w:rPr>
          <w:lang w:val="fr-FR"/>
        </w:rPr>
        <w:t>appel, après l</w:t>
      </w:r>
      <w:r w:rsidR="0070292F" w:rsidRPr="0070292F">
        <w:rPr>
          <w:lang w:val="fr-FR"/>
        </w:rPr>
        <w:t>’</w:t>
      </w:r>
      <w:r w:rsidR="000B02FA" w:rsidRPr="0070292F">
        <w:rPr>
          <w:lang w:val="fr-FR"/>
        </w:rPr>
        <w:t xml:space="preserve">expiration du délai légal </w:t>
      </w:r>
      <w:r w:rsidR="00C22DD0" w:rsidRPr="0070292F">
        <w:rPr>
          <w:lang w:val="fr-FR"/>
        </w:rPr>
        <w:t xml:space="preserve">prévu </w:t>
      </w:r>
      <w:r w:rsidR="000B02FA" w:rsidRPr="0070292F">
        <w:rPr>
          <w:lang w:val="fr-FR"/>
        </w:rPr>
        <w:t>pour l</w:t>
      </w:r>
      <w:r w:rsidR="0070292F" w:rsidRPr="0070292F">
        <w:rPr>
          <w:lang w:val="fr-FR"/>
        </w:rPr>
        <w:t>’</w:t>
      </w:r>
      <w:r w:rsidR="000B02FA" w:rsidRPr="0070292F">
        <w:rPr>
          <w:lang w:val="fr-FR"/>
        </w:rPr>
        <w:t>accomplissement de l</w:t>
      </w:r>
      <w:r w:rsidR="0070292F" w:rsidRPr="0070292F">
        <w:rPr>
          <w:lang w:val="fr-FR"/>
        </w:rPr>
        <w:t>’</w:t>
      </w:r>
      <w:r w:rsidR="000B02FA" w:rsidRPr="0070292F">
        <w:rPr>
          <w:lang w:val="fr-FR"/>
        </w:rPr>
        <w:t>acte, de se prononcer sur sa demande et</w:t>
      </w:r>
      <w:r w:rsidR="004C33F7" w:rsidRPr="0070292F">
        <w:rPr>
          <w:lang w:val="fr-FR"/>
        </w:rPr>
        <w:t xml:space="preserve"> que</w:t>
      </w:r>
      <w:r w:rsidR="00C22DD0" w:rsidRPr="0070292F">
        <w:rPr>
          <w:lang w:val="fr-FR"/>
        </w:rPr>
        <w:t>,</w:t>
      </w:r>
      <w:r w:rsidR="000B02FA" w:rsidRPr="0070292F">
        <w:rPr>
          <w:lang w:val="fr-FR"/>
        </w:rPr>
        <w:t xml:space="preserve"> </w:t>
      </w:r>
      <w:r w:rsidR="00C22DD0" w:rsidRPr="0070292F">
        <w:rPr>
          <w:lang w:val="fr-FR"/>
        </w:rPr>
        <w:t>par la suite</w:t>
      </w:r>
      <w:r w:rsidR="00C74252" w:rsidRPr="0070292F">
        <w:rPr>
          <w:lang w:val="fr-FR"/>
        </w:rPr>
        <w:t>,</w:t>
      </w:r>
      <w:r w:rsidR="000B02FA" w:rsidRPr="0070292F">
        <w:rPr>
          <w:lang w:val="fr-FR"/>
        </w:rPr>
        <w:t xml:space="preserve"> </w:t>
      </w:r>
      <w:r w:rsidR="004C33F7" w:rsidRPr="0070292F">
        <w:rPr>
          <w:lang w:val="fr-FR"/>
        </w:rPr>
        <w:t xml:space="preserve">il </w:t>
      </w:r>
      <w:r w:rsidR="000B02FA" w:rsidRPr="0070292F">
        <w:rPr>
          <w:lang w:val="fr-FR"/>
        </w:rPr>
        <w:t>aurait pu introduire une action en réparation.</w:t>
      </w:r>
    </w:p>
    <w:p w:rsidR="004405A5" w:rsidRPr="0070292F" w:rsidRDefault="0011114D"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103</w:t>
      </w:r>
      <w:r w:rsidRPr="0070292F">
        <w:rPr>
          <w:lang w:val="fr-FR"/>
        </w:rPr>
        <w:fldChar w:fldCharType="end"/>
      </w:r>
      <w:r w:rsidRPr="0070292F">
        <w:rPr>
          <w:lang w:val="fr-FR"/>
        </w:rPr>
        <w:t>.  </w:t>
      </w:r>
      <w:r w:rsidR="00D70079" w:rsidRPr="0070292F">
        <w:rPr>
          <w:lang w:val="fr-FR"/>
        </w:rPr>
        <w:t xml:space="preserve">Le Gouvernement soutient que le requérant a pu présenter des preuves et également participer aux audiences et déposer des </w:t>
      </w:r>
      <w:r w:rsidR="00A1052A" w:rsidRPr="0070292F">
        <w:rPr>
          <w:lang w:val="fr-FR"/>
        </w:rPr>
        <w:t>observations</w:t>
      </w:r>
      <w:r w:rsidR="00C22DD0" w:rsidRPr="0070292F">
        <w:rPr>
          <w:lang w:val="fr-FR"/>
        </w:rPr>
        <w:t>,</w:t>
      </w:r>
      <w:r w:rsidR="00D70079" w:rsidRPr="0070292F">
        <w:rPr>
          <w:lang w:val="fr-FR"/>
        </w:rPr>
        <w:t xml:space="preserve"> qui </w:t>
      </w:r>
      <w:r w:rsidR="00C22DD0" w:rsidRPr="0070292F">
        <w:rPr>
          <w:lang w:val="fr-FR"/>
        </w:rPr>
        <w:t xml:space="preserve">ont </w:t>
      </w:r>
      <w:r w:rsidR="00D70079" w:rsidRPr="0070292F">
        <w:rPr>
          <w:lang w:val="fr-FR"/>
        </w:rPr>
        <w:t xml:space="preserve">ensuite été </w:t>
      </w:r>
      <w:r w:rsidR="00A1052A" w:rsidRPr="0070292F">
        <w:rPr>
          <w:lang w:val="fr-FR"/>
        </w:rPr>
        <w:t>versées au dossier</w:t>
      </w:r>
      <w:r w:rsidR="00D70079" w:rsidRPr="0070292F">
        <w:rPr>
          <w:lang w:val="fr-FR"/>
        </w:rPr>
        <w:t xml:space="preserve">. </w:t>
      </w:r>
      <w:r w:rsidR="00C22DD0" w:rsidRPr="0070292F">
        <w:rPr>
          <w:lang w:val="fr-FR"/>
        </w:rPr>
        <w:t>Il</w:t>
      </w:r>
      <w:r w:rsidR="00D70079" w:rsidRPr="0070292F">
        <w:rPr>
          <w:lang w:val="fr-FR"/>
        </w:rPr>
        <w:t xml:space="preserve"> est d</w:t>
      </w:r>
      <w:r w:rsidR="0070292F" w:rsidRPr="0070292F">
        <w:rPr>
          <w:lang w:val="fr-FR"/>
        </w:rPr>
        <w:t>’</w:t>
      </w:r>
      <w:r w:rsidR="00D70079" w:rsidRPr="0070292F">
        <w:rPr>
          <w:lang w:val="fr-FR"/>
        </w:rPr>
        <w:t>avis que la cour d</w:t>
      </w:r>
      <w:r w:rsidR="0070292F" w:rsidRPr="0070292F">
        <w:rPr>
          <w:lang w:val="fr-FR"/>
        </w:rPr>
        <w:t>’</w:t>
      </w:r>
      <w:r w:rsidR="00D70079" w:rsidRPr="0070292F">
        <w:rPr>
          <w:lang w:val="fr-FR"/>
        </w:rPr>
        <w:t>appel de Bari n</w:t>
      </w:r>
      <w:r w:rsidR="0070292F" w:rsidRPr="0070292F">
        <w:rPr>
          <w:lang w:val="fr-FR"/>
        </w:rPr>
        <w:t>’</w:t>
      </w:r>
      <w:r w:rsidR="00D70079" w:rsidRPr="0070292F">
        <w:rPr>
          <w:lang w:val="fr-FR"/>
        </w:rPr>
        <w:t xml:space="preserve">a pas reconnu </w:t>
      </w:r>
      <w:r w:rsidR="00C22DD0" w:rsidRPr="0070292F">
        <w:rPr>
          <w:lang w:val="fr-FR"/>
        </w:rPr>
        <w:t>d</w:t>
      </w:r>
      <w:r w:rsidR="0070292F" w:rsidRPr="0070292F">
        <w:rPr>
          <w:lang w:val="fr-FR"/>
        </w:rPr>
        <w:t>’</w:t>
      </w:r>
      <w:r w:rsidR="00D70079" w:rsidRPr="0070292F">
        <w:rPr>
          <w:lang w:val="fr-FR"/>
        </w:rPr>
        <w:t xml:space="preserve">erreur </w:t>
      </w:r>
      <w:r w:rsidR="00C22DD0" w:rsidRPr="0070292F">
        <w:rPr>
          <w:lang w:val="fr-FR"/>
        </w:rPr>
        <w:t xml:space="preserve">sur la </w:t>
      </w:r>
      <w:r w:rsidR="00D70079" w:rsidRPr="0070292F">
        <w:rPr>
          <w:lang w:val="fr-FR"/>
        </w:rPr>
        <w:t>personne mais a simplement réévalué tous les éléments sur lesquels le tribunal s</w:t>
      </w:r>
      <w:r w:rsidR="0070292F" w:rsidRPr="0070292F">
        <w:rPr>
          <w:lang w:val="fr-FR"/>
        </w:rPr>
        <w:t>’</w:t>
      </w:r>
      <w:r w:rsidR="00D70079" w:rsidRPr="0070292F">
        <w:rPr>
          <w:lang w:val="fr-FR"/>
        </w:rPr>
        <w:t>était basé</w:t>
      </w:r>
      <w:r w:rsidR="004C33F7" w:rsidRPr="0070292F">
        <w:rPr>
          <w:lang w:val="fr-FR"/>
        </w:rPr>
        <w:t>,</w:t>
      </w:r>
      <w:r w:rsidR="00D70079" w:rsidRPr="0070292F">
        <w:rPr>
          <w:lang w:val="fr-FR"/>
        </w:rPr>
        <w:t xml:space="preserve"> pour exclure la dangerosité sociale du requérant. </w:t>
      </w:r>
      <w:r w:rsidR="00C22DD0" w:rsidRPr="0070292F">
        <w:rPr>
          <w:lang w:val="fr-FR"/>
        </w:rPr>
        <w:t xml:space="preserve">Pour </w:t>
      </w:r>
      <w:r w:rsidR="00D70079" w:rsidRPr="0070292F">
        <w:rPr>
          <w:lang w:val="fr-FR"/>
        </w:rPr>
        <w:t xml:space="preserve">le Gouvernement, le requérant a </w:t>
      </w:r>
      <w:r w:rsidR="00C22DD0" w:rsidRPr="0070292F">
        <w:rPr>
          <w:lang w:val="fr-FR"/>
        </w:rPr>
        <w:t>disposé d</w:t>
      </w:r>
      <w:r w:rsidR="0070292F" w:rsidRPr="0070292F">
        <w:rPr>
          <w:lang w:val="fr-FR"/>
        </w:rPr>
        <w:t>’</w:t>
      </w:r>
      <w:r w:rsidR="00C22DD0" w:rsidRPr="0070292F">
        <w:rPr>
          <w:lang w:val="fr-FR"/>
        </w:rPr>
        <w:t xml:space="preserve">une voie </w:t>
      </w:r>
      <w:r w:rsidR="00D70079" w:rsidRPr="0070292F">
        <w:rPr>
          <w:lang w:val="fr-FR"/>
        </w:rPr>
        <w:t>de recours</w:t>
      </w:r>
      <w:r w:rsidR="00C22DD0" w:rsidRPr="0070292F">
        <w:rPr>
          <w:lang w:val="fr-FR"/>
        </w:rPr>
        <w:t>,</w:t>
      </w:r>
      <w:r w:rsidR="00D70079" w:rsidRPr="0070292F">
        <w:rPr>
          <w:lang w:val="fr-FR"/>
        </w:rPr>
        <w:t xml:space="preserve"> qu</w:t>
      </w:r>
      <w:r w:rsidR="0070292F" w:rsidRPr="0070292F">
        <w:rPr>
          <w:lang w:val="fr-FR"/>
        </w:rPr>
        <w:t>’</w:t>
      </w:r>
      <w:r w:rsidR="00D70079" w:rsidRPr="0070292F">
        <w:rPr>
          <w:lang w:val="fr-FR"/>
        </w:rPr>
        <w:t>il a utilisé</w:t>
      </w:r>
      <w:r w:rsidR="00C22DD0" w:rsidRPr="0070292F">
        <w:rPr>
          <w:lang w:val="fr-FR"/>
        </w:rPr>
        <w:t>e et qui lui a permis d</w:t>
      </w:r>
      <w:r w:rsidR="0070292F" w:rsidRPr="0070292F">
        <w:rPr>
          <w:lang w:val="fr-FR"/>
        </w:rPr>
        <w:t>’</w:t>
      </w:r>
      <w:r w:rsidR="00C22DD0" w:rsidRPr="0070292F">
        <w:rPr>
          <w:lang w:val="fr-FR"/>
        </w:rPr>
        <w:t>obtenir</w:t>
      </w:r>
      <w:r w:rsidR="00D70079" w:rsidRPr="0070292F">
        <w:rPr>
          <w:lang w:val="fr-FR"/>
        </w:rPr>
        <w:t xml:space="preserve"> gain de cause. </w:t>
      </w:r>
      <w:r w:rsidR="00C22DD0" w:rsidRPr="0070292F">
        <w:rPr>
          <w:lang w:val="fr-FR"/>
        </w:rPr>
        <w:t>Selon lui, il</w:t>
      </w:r>
      <w:r w:rsidR="00D70079" w:rsidRPr="0070292F">
        <w:rPr>
          <w:lang w:val="fr-FR"/>
        </w:rPr>
        <w:t xml:space="preserve"> </w:t>
      </w:r>
      <w:r w:rsidR="002072A2" w:rsidRPr="0070292F">
        <w:rPr>
          <w:lang w:val="fr-FR"/>
        </w:rPr>
        <w:t>n</w:t>
      </w:r>
      <w:r w:rsidR="0070292F" w:rsidRPr="0070292F">
        <w:rPr>
          <w:lang w:val="fr-FR"/>
        </w:rPr>
        <w:t>’</w:t>
      </w:r>
      <w:r w:rsidR="002072A2" w:rsidRPr="0070292F">
        <w:rPr>
          <w:lang w:val="fr-FR"/>
        </w:rPr>
        <w:t>y</w:t>
      </w:r>
      <w:r w:rsidR="002F3539" w:rsidRPr="0070292F">
        <w:rPr>
          <w:lang w:val="fr-FR"/>
        </w:rPr>
        <w:t xml:space="preserve"> </w:t>
      </w:r>
      <w:r w:rsidR="00D70079" w:rsidRPr="0070292F">
        <w:rPr>
          <w:lang w:val="fr-FR"/>
        </w:rPr>
        <w:t xml:space="preserve">a </w:t>
      </w:r>
      <w:r w:rsidR="00C22DD0" w:rsidRPr="0070292F">
        <w:rPr>
          <w:lang w:val="fr-FR"/>
        </w:rPr>
        <w:t xml:space="preserve">donc </w:t>
      </w:r>
      <w:r w:rsidR="00D70079" w:rsidRPr="0070292F">
        <w:rPr>
          <w:lang w:val="fr-FR"/>
        </w:rPr>
        <w:t xml:space="preserve">pas eu </w:t>
      </w:r>
      <w:r w:rsidR="002F3539" w:rsidRPr="0070292F">
        <w:rPr>
          <w:lang w:val="fr-FR"/>
        </w:rPr>
        <w:t>rupture</w:t>
      </w:r>
      <w:r w:rsidR="00D70079" w:rsidRPr="0070292F">
        <w:rPr>
          <w:lang w:val="fr-FR"/>
        </w:rPr>
        <w:t xml:space="preserve"> du juste équilibre.</w:t>
      </w:r>
    </w:p>
    <w:p w:rsidR="0025771F" w:rsidRPr="0070292F" w:rsidRDefault="00BA5160" w:rsidP="0070292F">
      <w:pPr>
        <w:pStyle w:val="ECHRHeading3"/>
        <w:rPr>
          <w:lang w:val="fr-FR"/>
        </w:rPr>
      </w:pPr>
      <w:bookmarkStart w:id="36" w:name="_Toc475451851"/>
      <w:r w:rsidRPr="0070292F">
        <w:rPr>
          <w:lang w:val="fr-FR"/>
        </w:rPr>
        <w:t>2.  </w:t>
      </w:r>
      <w:r w:rsidR="00A34D5E" w:rsidRPr="0070292F">
        <w:rPr>
          <w:lang w:val="fr-FR"/>
        </w:rPr>
        <w:t>Appréciation de la Cour</w:t>
      </w:r>
      <w:bookmarkEnd w:id="36"/>
    </w:p>
    <w:p w:rsidR="0025771F" w:rsidRPr="0070292F" w:rsidRDefault="00A34D5E" w:rsidP="0070292F">
      <w:pPr>
        <w:pStyle w:val="ECHRHeading4"/>
        <w:rPr>
          <w:lang w:val="fr-FR"/>
        </w:rPr>
      </w:pPr>
      <w:r w:rsidRPr="0070292F">
        <w:rPr>
          <w:lang w:val="fr-FR"/>
        </w:rPr>
        <w:t>a)</w:t>
      </w:r>
      <w:r w:rsidR="00BA5160" w:rsidRPr="0070292F">
        <w:rPr>
          <w:lang w:val="fr-FR"/>
        </w:rPr>
        <w:t>  </w:t>
      </w:r>
      <w:r w:rsidR="000773A5" w:rsidRPr="0070292F">
        <w:rPr>
          <w:lang w:val="fr-FR"/>
        </w:rPr>
        <w:t>Sur l</w:t>
      </w:r>
      <w:r w:rsidR="0070292F" w:rsidRPr="0070292F">
        <w:rPr>
          <w:lang w:val="fr-FR"/>
        </w:rPr>
        <w:t>’</w:t>
      </w:r>
      <w:r w:rsidR="000773A5" w:rsidRPr="0070292F">
        <w:rPr>
          <w:lang w:val="fr-FR"/>
        </w:rPr>
        <w:t>existence d</w:t>
      </w:r>
      <w:r w:rsidR="0070292F" w:rsidRPr="0070292F">
        <w:rPr>
          <w:lang w:val="fr-FR"/>
        </w:rPr>
        <w:t>’</w:t>
      </w:r>
      <w:r w:rsidR="000773A5" w:rsidRPr="0070292F">
        <w:rPr>
          <w:lang w:val="fr-FR"/>
        </w:rPr>
        <w:t>une ing</w:t>
      </w:r>
      <w:r w:rsidR="000773A5" w:rsidRPr="0070292F">
        <w:rPr>
          <w:rFonts w:cstheme="majorHAnsi"/>
          <w:lang w:val="fr-FR"/>
        </w:rPr>
        <w:t>é</w:t>
      </w:r>
      <w:r w:rsidR="000773A5" w:rsidRPr="0070292F">
        <w:rPr>
          <w:lang w:val="fr-FR"/>
        </w:rPr>
        <w:t>rence</w:t>
      </w:r>
    </w:p>
    <w:p w:rsidR="002645B9" w:rsidRPr="0070292F" w:rsidRDefault="00D70079" w:rsidP="0070292F">
      <w:pPr>
        <w:pStyle w:val="ECHRPara"/>
        <w:rPr>
          <w:i/>
          <w:lang w:val="fr-FR"/>
        </w:rPr>
      </w:pPr>
      <w:r w:rsidRPr="0070292F">
        <w:fldChar w:fldCharType="begin"/>
      </w:r>
      <w:r w:rsidRPr="0070292F">
        <w:rPr>
          <w:lang w:val="fr-FR"/>
        </w:rPr>
        <w:instrText xml:space="preserve"> SEQ level0 \*arabic </w:instrText>
      </w:r>
      <w:r w:rsidRPr="0070292F">
        <w:fldChar w:fldCharType="separate"/>
      </w:r>
      <w:r w:rsidR="0070292F" w:rsidRPr="0070292F">
        <w:rPr>
          <w:noProof/>
          <w:lang w:val="fr-FR"/>
        </w:rPr>
        <w:t>104</w:t>
      </w:r>
      <w:r w:rsidRPr="0070292F">
        <w:fldChar w:fldCharType="end"/>
      </w:r>
      <w:r w:rsidRPr="0070292F">
        <w:rPr>
          <w:lang w:val="fr-FR"/>
        </w:rPr>
        <w:t>.  </w:t>
      </w:r>
      <w:r w:rsidR="002645B9" w:rsidRPr="0070292F">
        <w:rPr>
          <w:lang w:val="fr-FR"/>
        </w:rPr>
        <w:t>La Cour rappelle que l</w:t>
      </w:r>
      <w:r w:rsidR="0070292F" w:rsidRPr="0070292F">
        <w:rPr>
          <w:lang w:val="fr-FR"/>
        </w:rPr>
        <w:t>’</w:t>
      </w:r>
      <w:r w:rsidR="002645B9" w:rsidRPr="0070292F">
        <w:rPr>
          <w:lang w:val="fr-FR"/>
        </w:rPr>
        <w:t>article 2 du Protocole n</w:t>
      </w:r>
      <w:r w:rsidR="008C1E94" w:rsidRPr="0070292F">
        <w:rPr>
          <w:vertAlign w:val="superscript"/>
          <w:lang w:val="fr-FR"/>
        </w:rPr>
        <w:t>o</w:t>
      </w:r>
      <w:r w:rsidR="00BA5160" w:rsidRPr="0070292F">
        <w:rPr>
          <w:lang w:val="fr-FR"/>
        </w:rPr>
        <w:t xml:space="preserve"> </w:t>
      </w:r>
      <w:r w:rsidR="002645B9" w:rsidRPr="0070292F">
        <w:rPr>
          <w:lang w:val="fr-FR"/>
        </w:rPr>
        <w:t>4 garanti</w:t>
      </w:r>
      <w:r w:rsidR="00156556" w:rsidRPr="0070292F">
        <w:rPr>
          <w:lang w:val="fr-FR"/>
        </w:rPr>
        <w:t>t</w:t>
      </w:r>
      <w:r w:rsidR="002645B9" w:rsidRPr="0070292F">
        <w:rPr>
          <w:lang w:val="fr-FR"/>
        </w:rPr>
        <w:t xml:space="preserve"> </w:t>
      </w:r>
      <w:r w:rsidR="000D7BD2" w:rsidRPr="0070292F">
        <w:rPr>
          <w:lang w:val="fr-FR"/>
        </w:rPr>
        <w:t>à</w:t>
      </w:r>
      <w:r w:rsidR="002645B9" w:rsidRPr="0070292F">
        <w:rPr>
          <w:lang w:val="fr-FR"/>
        </w:rPr>
        <w:t xml:space="preserve"> toute personne le droit de libre circulation à l</w:t>
      </w:r>
      <w:r w:rsidR="0070292F" w:rsidRPr="0070292F">
        <w:rPr>
          <w:lang w:val="fr-FR"/>
        </w:rPr>
        <w:t>’</w:t>
      </w:r>
      <w:r w:rsidR="002645B9" w:rsidRPr="0070292F">
        <w:rPr>
          <w:lang w:val="fr-FR"/>
        </w:rPr>
        <w:t xml:space="preserve">intérieur du territoire </w:t>
      </w:r>
      <w:r w:rsidR="00C22DD0" w:rsidRPr="0070292F">
        <w:rPr>
          <w:lang w:val="fr-FR"/>
        </w:rPr>
        <w:t>où</w:t>
      </w:r>
      <w:r w:rsidR="002645B9" w:rsidRPr="0070292F">
        <w:rPr>
          <w:lang w:val="fr-FR"/>
        </w:rPr>
        <w:t xml:space="preserve"> elle se trouve ainsi que </w:t>
      </w:r>
      <w:r w:rsidR="00C22DD0" w:rsidRPr="0070292F">
        <w:rPr>
          <w:lang w:val="fr-FR"/>
        </w:rPr>
        <w:t xml:space="preserve">le droit </w:t>
      </w:r>
      <w:r w:rsidR="002645B9" w:rsidRPr="0070292F">
        <w:rPr>
          <w:lang w:val="fr-FR"/>
        </w:rPr>
        <w:t>de le quitter</w:t>
      </w:r>
      <w:r w:rsidR="00C22DD0" w:rsidRPr="0070292F">
        <w:rPr>
          <w:lang w:val="fr-FR"/>
        </w:rPr>
        <w:t xml:space="preserve">, </w:t>
      </w:r>
      <w:r w:rsidR="002645B9" w:rsidRPr="0070292F">
        <w:rPr>
          <w:lang w:val="fr-FR"/>
        </w:rPr>
        <w:t xml:space="preserve">ce qui implique le droit de se rendre dans un pays de son choix dans lequel elle pourrait être autorisée à entrer </w:t>
      </w:r>
      <w:r w:rsidRPr="0070292F">
        <w:rPr>
          <w:lang w:val="fr-FR"/>
        </w:rPr>
        <w:t>(</w:t>
      </w:r>
      <w:r w:rsidRPr="0070292F">
        <w:rPr>
          <w:i/>
          <w:snapToGrid w:val="0"/>
          <w:lang w:val="fr-FR"/>
        </w:rPr>
        <w:t>Khlyustov c. Russie</w:t>
      </w:r>
      <w:r w:rsidRPr="0070292F">
        <w:rPr>
          <w:snapToGrid w:val="0"/>
          <w:lang w:val="fr-FR"/>
        </w:rPr>
        <w:t>, n</w:t>
      </w:r>
      <w:r w:rsidRPr="0070292F">
        <w:rPr>
          <w:snapToGrid w:val="0"/>
          <w:vertAlign w:val="superscript"/>
          <w:lang w:val="fr-FR"/>
        </w:rPr>
        <w:t>o</w:t>
      </w:r>
      <w:r w:rsidRPr="0070292F">
        <w:rPr>
          <w:snapToGrid w:val="0"/>
          <w:lang w:val="fr-FR"/>
        </w:rPr>
        <w:t xml:space="preserve"> 28975/05</w:t>
      </w:r>
      <w:r w:rsidRPr="0070292F">
        <w:rPr>
          <w:snapToGrid w:val="0"/>
          <w:lang w:val="pt-BR"/>
        </w:rPr>
        <w:t xml:space="preserve">, § </w:t>
      </w:r>
      <w:r w:rsidR="003D4305" w:rsidRPr="0070292F">
        <w:rPr>
          <w:snapToGrid w:val="0"/>
          <w:lang w:val="pt-BR"/>
        </w:rPr>
        <w:t>64</w:t>
      </w:r>
      <w:r w:rsidRPr="0070292F">
        <w:rPr>
          <w:snapToGrid w:val="0"/>
          <w:lang w:val="pt-BR"/>
        </w:rPr>
        <w:t xml:space="preserve">, 11 juillet 2013, </w:t>
      </w:r>
      <w:r w:rsidRPr="0070292F">
        <w:rPr>
          <w:i/>
          <w:lang w:val="fr-FR"/>
        </w:rPr>
        <w:t>Baumann c.</w:t>
      </w:r>
      <w:r w:rsidR="004C33F7" w:rsidRPr="0070292F">
        <w:rPr>
          <w:i/>
          <w:lang w:val="fr-FR"/>
        </w:rPr>
        <w:t> </w:t>
      </w:r>
      <w:r w:rsidRPr="0070292F">
        <w:rPr>
          <w:i/>
          <w:lang w:val="fr-FR"/>
        </w:rPr>
        <w:t>France</w:t>
      </w:r>
      <w:r w:rsidRPr="0070292F">
        <w:rPr>
          <w:lang w:val="fr-FR"/>
        </w:rPr>
        <w:t>, n</w:t>
      </w:r>
      <w:r w:rsidRPr="0070292F">
        <w:rPr>
          <w:vertAlign w:val="superscript"/>
          <w:lang w:val="fr-FR"/>
        </w:rPr>
        <w:t>o</w:t>
      </w:r>
      <w:r w:rsidRPr="0070292F">
        <w:rPr>
          <w:lang w:val="fr-FR"/>
        </w:rPr>
        <w:t xml:space="preserve"> 33592/96, § 61, CEDH 2001</w:t>
      </w:r>
      <w:r w:rsidRPr="0070292F">
        <w:rPr>
          <w:lang w:val="fr-FR"/>
        </w:rPr>
        <w:noBreakHyphen/>
        <w:t>V</w:t>
      </w:r>
      <w:r w:rsidR="00EB2E91" w:rsidRPr="0070292F">
        <w:rPr>
          <w:lang w:val="fr-FR"/>
        </w:rPr>
        <w:t>)</w:t>
      </w:r>
      <w:r w:rsidR="009C7B6D" w:rsidRPr="0070292F">
        <w:rPr>
          <w:lang w:val="fr-FR"/>
        </w:rPr>
        <w:t>.</w:t>
      </w:r>
      <w:r w:rsidR="00A34D5E" w:rsidRPr="0070292F">
        <w:rPr>
          <w:lang w:val="fr-FR"/>
        </w:rPr>
        <w:t xml:space="preserve"> </w:t>
      </w:r>
      <w:r w:rsidR="00743AEB" w:rsidRPr="0070292F">
        <w:rPr>
          <w:lang w:val="fr-FR"/>
        </w:rPr>
        <w:t>Selon</w:t>
      </w:r>
      <w:r w:rsidR="00A34D5E" w:rsidRPr="0070292F">
        <w:rPr>
          <w:lang w:val="fr-FR"/>
        </w:rPr>
        <w:t xml:space="preserve"> la jurisprudence de la Cour, toute mesure restreignant le droit à la liberté de circulation </w:t>
      </w:r>
      <w:r w:rsidR="00394986" w:rsidRPr="0070292F">
        <w:rPr>
          <w:lang w:val="fr-FR"/>
        </w:rPr>
        <w:t>doit être prévue par la loi, poursuivre l</w:t>
      </w:r>
      <w:r w:rsidR="0070292F" w:rsidRPr="0070292F">
        <w:rPr>
          <w:lang w:val="fr-FR"/>
        </w:rPr>
        <w:t>’</w:t>
      </w:r>
      <w:r w:rsidR="00394986" w:rsidRPr="0070292F">
        <w:rPr>
          <w:lang w:val="fr-FR"/>
        </w:rPr>
        <w:t>un des buts légitimes visés au troisième paragraphe de l</w:t>
      </w:r>
      <w:r w:rsidR="0070292F" w:rsidRPr="0070292F">
        <w:rPr>
          <w:lang w:val="fr-FR"/>
        </w:rPr>
        <w:t>’</w:t>
      </w:r>
      <w:r w:rsidR="00394986" w:rsidRPr="0070292F">
        <w:rPr>
          <w:lang w:val="fr-FR"/>
        </w:rPr>
        <w:t>article 2 du Protocole n</w:t>
      </w:r>
      <w:r w:rsidR="008C1E94" w:rsidRPr="0070292F">
        <w:rPr>
          <w:vertAlign w:val="superscript"/>
          <w:lang w:val="fr-FR"/>
        </w:rPr>
        <w:t>o</w:t>
      </w:r>
      <w:r w:rsidR="00394986" w:rsidRPr="0070292F">
        <w:rPr>
          <w:lang w:val="fr-FR"/>
        </w:rPr>
        <w:t xml:space="preserve"> 4 </w:t>
      </w:r>
      <w:r w:rsidR="00A34D5E" w:rsidRPr="0070292F">
        <w:rPr>
          <w:lang w:val="fr-FR"/>
        </w:rPr>
        <w:t>et ménager un juste équilibre entre l</w:t>
      </w:r>
      <w:r w:rsidR="0070292F" w:rsidRPr="0070292F">
        <w:rPr>
          <w:lang w:val="fr-FR"/>
        </w:rPr>
        <w:t>’</w:t>
      </w:r>
      <w:r w:rsidR="00A34D5E" w:rsidRPr="0070292F">
        <w:rPr>
          <w:lang w:val="fr-FR"/>
        </w:rPr>
        <w:t>intérêt général et les droits de l</w:t>
      </w:r>
      <w:r w:rsidR="0070292F" w:rsidRPr="0070292F">
        <w:rPr>
          <w:lang w:val="fr-FR"/>
        </w:rPr>
        <w:t>’</w:t>
      </w:r>
      <w:r w:rsidR="00A34D5E" w:rsidRPr="0070292F">
        <w:rPr>
          <w:lang w:val="fr-FR"/>
        </w:rPr>
        <w:t>individu (</w:t>
      </w:r>
      <w:r w:rsidR="009B1BB5" w:rsidRPr="0070292F">
        <w:rPr>
          <w:i/>
          <w:snapToGrid w:val="0"/>
          <w:lang w:val="fr-FR"/>
        </w:rPr>
        <w:t>Battista c. Italie</w:t>
      </w:r>
      <w:r w:rsidR="009B1BB5" w:rsidRPr="0070292F">
        <w:rPr>
          <w:snapToGrid w:val="0"/>
          <w:lang w:val="fr-FR"/>
        </w:rPr>
        <w:t>, n</w:t>
      </w:r>
      <w:r w:rsidR="009B1BB5" w:rsidRPr="0070292F">
        <w:rPr>
          <w:snapToGrid w:val="0"/>
          <w:vertAlign w:val="superscript"/>
          <w:lang w:val="fr-FR"/>
        </w:rPr>
        <w:t>o</w:t>
      </w:r>
      <w:r w:rsidR="0088383C" w:rsidRPr="0070292F">
        <w:rPr>
          <w:snapToGrid w:val="0"/>
          <w:lang w:val="fr-FR"/>
        </w:rPr>
        <w:t> </w:t>
      </w:r>
      <w:r w:rsidR="009B1BB5" w:rsidRPr="0070292F">
        <w:rPr>
          <w:snapToGrid w:val="0"/>
          <w:lang w:val="fr-FR"/>
        </w:rPr>
        <w:t>43978/09</w:t>
      </w:r>
      <w:r w:rsidR="009B1BB5" w:rsidRPr="0070292F">
        <w:rPr>
          <w:lang w:val="fr-FR"/>
        </w:rPr>
        <w:t>, § 37, CEDH 2014</w:t>
      </w:r>
      <w:r w:rsidRPr="0070292F">
        <w:rPr>
          <w:lang w:val="fr-FR"/>
        </w:rPr>
        <w:t>,</w:t>
      </w:r>
      <w:r w:rsidR="00A34D5E" w:rsidRPr="0070292F">
        <w:rPr>
          <w:lang w:val="fr-FR"/>
        </w:rPr>
        <w:t xml:space="preserve"> </w:t>
      </w:r>
      <w:r w:rsidRPr="0070292F">
        <w:rPr>
          <w:i/>
          <w:lang w:val="fr-FR"/>
        </w:rPr>
        <w:t>Khlyustov</w:t>
      </w:r>
      <w:r w:rsidRPr="0070292F">
        <w:rPr>
          <w:lang w:val="fr-FR"/>
        </w:rPr>
        <w:t>, précité</w:t>
      </w:r>
      <w:r w:rsidR="004C33F7" w:rsidRPr="0070292F">
        <w:rPr>
          <w:lang w:val="fr-FR"/>
        </w:rPr>
        <w:t>,</w:t>
      </w:r>
      <w:r w:rsidRPr="0070292F">
        <w:rPr>
          <w:lang w:val="fr-FR"/>
        </w:rPr>
        <w:t xml:space="preserve"> § </w:t>
      </w:r>
      <w:r w:rsidR="003D4305" w:rsidRPr="0070292F">
        <w:rPr>
          <w:lang w:val="fr-FR"/>
        </w:rPr>
        <w:t>64</w:t>
      </w:r>
      <w:r w:rsidR="00A34D5E" w:rsidRPr="0070292F">
        <w:rPr>
          <w:lang w:val="fr-FR"/>
        </w:rPr>
        <w:t xml:space="preserve">, </w:t>
      </w:r>
      <w:r w:rsidRPr="0070292F">
        <w:rPr>
          <w:i/>
          <w:lang w:val="fr-FR"/>
        </w:rPr>
        <w:t>Raimondo</w:t>
      </w:r>
      <w:r w:rsidRPr="0070292F">
        <w:rPr>
          <w:lang w:val="fr-FR"/>
        </w:rPr>
        <w:t xml:space="preserve">, </w:t>
      </w:r>
      <w:r w:rsidR="009C7B6D" w:rsidRPr="0070292F">
        <w:rPr>
          <w:lang w:val="fr-FR"/>
        </w:rPr>
        <w:t>pr</w:t>
      </w:r>
      <w:r w:rsidR="009C7B6D" w:rsidRPr="0070292F">
        <w:rPr>
          <w:rFonts w:cstheme="minorHAnsi"/>
          <w:lang w:val="fr-FR"/>
        </w:rPr>
        <w:t xml:space="preserve">écité, </w:t>
      </w:r>
      <w:r w:rsidRPr="0070292F">
        <w:rPr>
          <w:lang w:val="fr-FR"/>
        </w:rPr>
        <w:t>§</w:t>
      </w:r>
      <w:r w:rsidR="00743AEB" w:rsidRPr="0070292F">
        <w:rPr>
          <w:lang w:val="fr-FR"/>
        </w:rPr>
        <w:t> </w:t>
      </w:r>
      <w:r w:rsidRPr="0070292F">
        <w:rPr>
          <w:lang w:val="fr-FR"/>
        </w:rPr>
        <w:t xml:space="preserve">39, </w:t>
      </w:r>
      <w:r w:rsidR="004C33F7" w:rsidRPr="0070292F">
        <w:rPr>
          <w:lang w:val="fr-FR"/>
        </w:rPr>
        <w:t xml:space="preserve">et </w:t>
      </w:r>
      <w:r w:rsidRPr="0070292F">
        <w:rPr>
          <w:i/>
          <w:lang w:val="fr-FR"/>
        </w:rPr>
        <w:t>Labita</w:t>
      </w:r>
      <w:r w:rsidR="00743AEB" w:rsidRPr="0070292F">
        <w:rPr>
          <w:lang w:val="fr-FR"/>
        </w:rPr>
        <w:t>,</w:t>
      </w:r>
      <w:r w:rsidRPr="0070292F">
        <w:rPr>
          <w:i/>
          <w:lang w:val="fr-FR"/>
        </w:rPr>
        <w:t xml:space="preserve"> </w:t>
      </w:r>
      <w:r w:rsidR="00CA449E" w:rsidRPr="0070292F">
        <w:rPr>
          <w:lang w:val="fr-FR"/>
        </w:rPr>
        <w:t>précité</w:t>
      </w:r>
      <w:r w:rsidRPr="0070292F">
        <w:rPr>
          <w:lang w:val="fr-FR"/>
        </w:rPr>
        <w:t>,</w:t>
      </w:r>
      <w:r w:rsidR="00CF21E7" w:rsidRPr="0070292F">
        <w:rPr>
          <w:lang w:val="fr-FR"/>
        </w:rPr>
        <w:t xml:space="preserve"> §§ 194-195</w:t>
      </w:r>
      <w:r w:rsidR="00A34D5E" w:rsidRPr="0070292F">
        <w:rPr>
          <w:lang w:val="fr-FR"/>
        </w:rPr>
        <w:t>).</w:t>
      </w:r>
    </w:p>
    <w:bookmarkStart w:id="37" w:name="_1000030"/>
    <w:bookmarkEnd w:id="37"/>
    <w:p w:rsidR="0025771F" w:rsidRPr="0070292F" w:rsidRDefault="00A34D5E"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105</w:t>
      </w:r>
      <w:r w:rsidRPr="0070292F">
        <w:rPr>
          <w:lang w:val="fr-FR"/>
        </w:rPr>
        <w:fldChar w:fldCharType="end"/>
      </w:r>
      <w:r w:rsidR="003D4305" w:rsidRPr="0070292F">
        <w:rPr>
          <w:lang w:val="fr-FR"/>
        </w:rPr>
        <w:t>.  Dans le cas d</w:t>
      </w:r>
      <w:r w:rsidR="0070292F" w:rsidRPr="0070292F">
        <w:rPr>
          <w:lang w:val="fr-FR"/>
        </w:rPr>
        <w:t>’</w:t>
      </w:r>
      <w:r w:rsidR="003D4305" w:rsidRPr="0070292F">
        <w:rPr>
          <w:lang w:val="fr-FR"/>
        </w:rPr>
        <w:t>espèce, la C</w:t>
      </w:r>
      <w:r w:rsidRPr="0070292F">
        <w:rPr>
          <w:lang w:val="fr-FR"/>
        </w:rPr>
        <w:t xml:space="preserve">our </w:t>
      </w:r>
      <w:r w:rsidR="003D4305" w:rsidRPr="0070292F">
        <w:rPr>
          <w:lang w:val="fr-FR"/>
        </w:rPr>
        <w:t>a jugé que</w:t>
      </w:r>
      <w:r w:rsidRPr="0070292F">
        <w:rPr>
          <w:lang w:val="fr-FR"/>
        </w:rPr>
        <w:t xml:space="preserve"> les restrictions </w:t>
      </w:r>
      <w:r w:rsidR="00D70079" w:rsidRPr="0070292F">
        <w:rPr>
          <w:lang w:val="fr-FR"/>
        </w:rPr>
        <w:t>imposées au requérant relèvent de l</w:t>
      </w:r>
      <w:r w:rsidR="0070292F" w:rsidRPr="0070292F">
        <w:rPr>
          <w:lang w:val="fr-FR"/>
        </w:rPr>
        <w:t>’</w:t>
      </w:r>
      <w:r w:rsidR="00D70079" w:rsidRPr="0070292F">
        <w:rPr>
          <w:lang w:val="fr-FR"/>
        </w:rPr>
        <w:t>article 2 du Protocole n</w:t>
      </w:r>
      <w:r w:rsidR="008C1E94" w:rsidRPr="0070292F">
        <w:rPr>
          <w:vertAlign w:val="superscript"/>
          <w:lang w:val="fr-FR"/>
        </w:rPr>
        <w:t>o</w:t>
      </w:r>
      <w:r w:rsidR="00D70079" w:rsidRPr="0070292F">
        <w:rPr>
          <w:lang w:val="fr-FR"/>
        </w:rPr>
        <w:t xml:space="preserve"> 4 (</w:t>
      </w:r>
      <w:r w:rsidR="003D4305" w:rsidRPr="0070292F">
        <w:rPr>
          <w:lang w:val="fr-FR"/>
        </w:rPr>
        <w:t xml:space="preserve">paragraphe </w:t>
      </w:r>
      <w:r w:rsidR="00E0653F" w:rsidRPr="0070292F">
        <w:rPr>
          <w:lang w:val="fr-FR"/>
        </w:rPr>
        <w:fldChar w:fldCharType="begin"/>
      </w:r>
      <w:r w:rsidR="00E0653F" w:rsidRPr="0070292F">
        <w:rPr>
          <w:lang w:val="fr-FR"/>
        </w:rPr>
        <w:instrText xml:space="preserve"> REF para85 \h </w:instrText>
      </w:r>
      <w:r w:rsidR="00E0653F" w:rsidRPr="0070292F">
        <w:rPr>
          <w:lang w:val="fr-FR"/>
        </w:rPr>
      </w:r>
      <w:r w:rsidR="00E0653F" w:rsidRPr="0070292F">
        <w:rPr>
          <w:lang w:val="fr-FR"/>
        </w:rPr>
        <w:fldChar w:fldCharType="separate"/>
      </w:r>
      <w:r w:rsidR="0070292F" w:rsidRPr="0070292F">
        <w:rPr>
          <w:noProof/>
          <w:lang w:val="fr-FR"/>
        </w:rPr>
        <w:t>91</w:t>
      </w:r>
      <w:r w:rsidR="00E0653F" w:rsidRPr="0070292F">
        <w:rPr>
          <w:lang w:val="fr-FR"/>
        </w:rPr>
        <w:fldChar w:fldCharType="end"/>
      </w:r>
      <w:r w:rsidR="003D4305" w:rsidRPr="0070292F">
        <w:rPr>
          <w:lang w:val="fr-FR"/>
        </w:rPr>
        <w:t xml:space="preserve"> ci</w:t>
      </w:r>
      <w:r w:rsidR="004C33F7" w:rsidRPr="0070292F">
        <w:rPr>
          <w:lang w:val="fr-FR"/>
        </w:rPr>
        <w:noBreakHyphen/>
      </w:r>
      <w:r w:rsidR="003D4305" w:rsidRPr="0070292F">
        <w:rPr>
          <w:lang w:val="fr-FR"/>
        </w:rPr>
        <w:t>dessus</w:t>
      </w:r>
      <w:r w:rsidR="00D70079" w:rsidRPr="0070292F">
        <w:rPr>
          <w:lang w:val="fr-FR"/>
        </w:rPr>
        <w:t>).</w:t>
      </w:r>
      <w:r w:rsidR="00156556" w:rsidRPr="0070292F">
        <w:rPr>
          <w:lang w:val="fr-FR"/>
        </w:rPr>
        <w:t xml:space="preserve"> </w:t>
      </w:r>
      <w:r w:rsidR="00CA449E" w:rsidRPr="0070292F">
        <w:rPr>
          <w:lang w:val="fr-FR"/>
        </w:rPr>
        <w:t>Elle</w:t>
      </w:r>
      <w:r w:rsidR="002645B9" w:rsidRPr="0070292F">
        <w:rPr>
          <w:lang w:val="fr-FR"/>
        </w:rPr>
        <w:t xml:space="preserve"> </w:t>
      </w:r>
      <w:r w:rsidRPr="0070292F">
        <w:rPr>
          <w:lang w:val="fr-FR"/>
        </w:rPr>
        <w:t xml:space="preserve">doit </w:t>
      </w:r>
      <w:r w:rsidR="006964C8" w:rsidRPr="0070292F">
        <w:rPr>
          <w:lang w:val="fr-FR"/>
        </w:rPr>
        <w:t xml:space="preserve">dès lors </w:t>
      </w:r>
      <w:r w:rsidR="00743AEB" w:rsidRPr="0070292F">
        <w:rPr>
          <w:lang w:val="fr-FR"/>
        </w:rPr>
        <w:t xml:space="preserve">rechercher </w:t>
      </w:r>
      <w:r w:rsidRPr="0070292F">
        <w:rPr>
          <w:lang w:val="fr-FR"/>
        </w:rPr>
        <w:t xml:space="preserve">si cette </w:t>
      </w:r>
      <w:r w:rsidR="00743AEB" w:rsidRPr="0070292F">
        <w:rPr>
          <w:lang w:val="fr-FR"/>
        </w:rPr>
        <w:t xml:space="preserve">ingérence </w:t>
      </w:r>
      <w:r w:rsidRPr="0070292F">
        <w:rPr>
          <w:lang w:val="fr-FR"/>
        </w:rPr>
        <w:t xml:space="preserve">était </w:t>
      </w:r>
      <w:r w:rsidR="00D70079" w:rsidRPr="0070292F">
        <w:rPr>
          <w:lang w:val="fr-FR"/>
        </w:rPr>
        <w:t>prévue</w:t>
      </w:r>
      <w:r w:rsidRPr="0070292F">
        <w:rPr>
          <w:lang w:val="fr-FR"/>
        </w:rPr>
        <w:t xml:space="preserve"> par la </w:t>
      </w:r>
      <w:r w:rsidR="00D70079" w:rsidRPr="0070292F">
        <w:rPr>
          <w:lang w:val="fr-FR"/>
        </w:rPr>
        <w:t>loi</w:t>
      </w:r>
      <w:r w:rsidRPr="0070292F">
        <w:rPr>
          <w:lang w:val="fr-FR"/>
        </w:rPr>
        <w:t xml:space="preserve">, </w:t>
      </w:r>
      <w:r w:rsidR="00D70079" w:rsidRPr="0070292F">
        <w:rPr>
          <w:lang w:val="fr-FR"/>
        </w:rPr>
        <w:t>poursuivait</w:t>
      </w:r>
      <w:r w:rsidRPr="0070292F">
        <w:rPr>
          <w:lang w:val="fr-FR"/>
        </w:rPr>
        <w:t xml:space="preserve"> un ou </w:t>
      </w:r>
      <w:r w:rsidR="00D70079" w:rsidRPr="0070292F">
        <w:rPr>
          <w:lang w:val="fr-FR"/>
        </w:rPr>
        <w:t>plusieurs</w:t>
      </w:r>
      <w:r w:rsidRPr="0070292F">
        <w:rPr>
          <w:lang w:val="fr-FR"/>
        </w:rPr>
        <w:t xml:space="preserve"> </w:t>
      </w:r>
      <w:r w:rsidR="00EA5852" w:rsidRPr="0070292F">
        <w:rPr>
          <w:lang w:val="fr-FR"/>
        </w:rPr>
        <w:t xml:space="preserve">buts </w:t>
      </w:r>
      <w:r w:rsidR="009A3716" w:rsidRPr="0070292F">
        <w:rPr>
          <w:lang w:val="fr-FR"/>
        </w:rPr>
        <w:t>prévus au troisième paragraphe de cet article</w:t>
      </w:r>
      <w:r w:rsidRPr="0070292F">
        <w:rPr>
          <w:lang w:val="fr-FR"/>
        </w:rPr>
        <w:t xml:space="preserve"> et était </w:t>
      </w:r>
      <w:r w:rsidR="00D70079" w:rsidRPr="0070292F">
        <w:rPr>
          <w:lang w:val="fr-FR"/>
        </w:rPr>
        <w:t>nécessaire</w:t>
      </w:r>
      <w:r w:rsidRPr="0070292F">
        <w:rPr>
          <w:lang w:val="fr-FR"/>
        </w:rPr>
        <w:t xml:space="preserve"> dans une société </w:t>
      </w:r>
      <w:r w:rsidR="00D70079" w:rsidRPr="0070292F">
        <w:rPr>
          <w:lang w:val="fr-FR"/>
        </w:rPr>
        <w:t>démocratique</w:t>
      </w:r>
      <w:r w:rsidR="00F341A2" w:rsidRPr="0070292F">
        <w:rPr>
          <w:lang w:val="fr-FR"/>
        </w:rPr>
        <w:t>.</w:t>
      </w:r>
    </w:p>
    <w:p w:rsidR="00A34D5E" w:rsidRPr="0070292F" w:rsidRDefault="000773A5" w:rsidP="0070292F">
      <w:pPr>
        <w:pStyle w:val="ECHRHeading4"/>
        <w:rPr>
          <w:lang w:val="fr-FR"/>
        </w:rPr>
      </w:pPr>
      <w:r w:rsidRPr="0070292F">
        <w:rPr>
          <w:lang w:val="fr-FR"/>
        </w:rPr>
        <w:lastRenderedPageBreak/>
        <w:t>b</w:t>
      </w:r>
      <w:r w:rsidR="00A34D5E" w:rsidRPr="0070292F">
        <w:rPr>
          <w:lang w:val="fr-FR"/>
        </w:rPr>
        <w:t>)</w:t>
      </w:r>
      <w:r w:rsidR="00BA5160" w:rsidRPr="0070292F">
        <w:rPr>
          <w:lang w:val="fr-FR"/>
        </w:rPr>
        <w:t>  </w:t>
      </w:r>
      <w:r w:rsidR="00A34D5E" w:rsidRPr="0070292F">
        <w:rPr>
          <w:lang w:val="fr-FR"/>
        </w:rPr>
        <w:t>Sur la question de savoir si l</w:t>
      </w:r>
      <w:r w:rsidR="0070292F" w:rsidRPr="0070292F">
        <w:rPr>
          <w:lang w:val="fr-FR"/>
        </w:rPr>
        <w:t>’</w:t>
      </w:r>
      <w:r w:rsidR="00A34D5E" w:rsidRPr="0070292F">
        <w:rPr>
          <w:lang w:val="fr-FR"/>
        </w:rPr>
        <w:t>ingérence était « prévue par la loi »</w:t>
      </w:r>
    </w:p>
    <w:p w:rsidR="00A34D5E" w:rsidRPr="0070292F" w:rsidRDefault="0057263E" w:rsidP="0070292F">
      <w:pPr>
        <w:pStyle w:val="ECHRHeading5"/>
        <w:rPr>
          <w:lang w:val="fr-FR"/>
        </w:rPr>
      </w:pPr>
      <w:r w:rsidRPr="0070292F">
        <w:rPr>
          <w:lang w:val="fr-FR"/>
        </w:rPr>
        <w:t>i</w:t>
      </w:r>
      <w:r w:rsidR="00AF4043" w:rsidRPr="0070292F">
        <w:rPr>
          <w:lang w:val="fr-FR"/>
        </w:rPr>
        <w:t>.</w:t>
      </w:r>
      <w:r w:rsidR="00BA5160" w:rsidRPr="0070292F">
        <w:rPr>
          <w:lang w:val="fr-FR"/>
        </w:rPr>
        <w:t>  </w:t>
      </w:r>
      <w:r w:rsidR="00A34D5E" w:rsidRPr="0070292F">
        <w:rPr>
          <w:lang w:val="fr-FR"/>
        </w:rPr>
        <w:t>Principes généraux</w:t>
      </w:r>
    </w:p>
    <w:p w:rsidR="0070292F" w:rsidRPr="0070292F" w:rsidRDefault="00F806C2" w:rsidP="0070292F">
      <w:pPr>
        <w:pStyle w:val="ECHRPara"/>
        <w:rPr>
          <w:rFonts w:asciiTheme="majorHAnsi" w:eastAsiaTheme="majorEastAsia" w:hAnsiTheme="majorHAnsi" w:cstheme="majorBidi"/>
          <w:iCs/>
          <w:lang w:val="fr-FR"/>
        </w:rPr>
      </w:pPr>
      <w:r w:rsidRPr="0070292F">
        <w:rPr>
          <w:rFonts w:asciiTheme="majorHAnsi" w:eastAsiaTheme="majorEastAsia" w:hAnsiTheme="majorHAnsi" w:cstheme="majorBidi"/>
          <w:lang w:val="fr-FR"/>
        </w:rPr>
        <w:fldChar w:fldCharType="begin"/>
      </w:r>
      <w:r w:rsidRPr="0070292F">
        <w:rPr>
          <w:rFonts w:asciiTheme="majorHAnsi" w:eastAsiaTheme="majorEastAsia" w:hAnsiTheme="majorHAnsi" w:cstheme="majorBidi"/>
          <w:lang w:val="fr-FR"/>
        </w:rPr>
        <w:instrText xml:space="preserve"> SEQ level0 \*arabic </w:instrText>
      </w:r>
      <w:r w:rsidRPr="0070292F">
        <w:rPr>
          <w:rFonts w:asciiTheme="majorHAnsi" w:eastAsiaTheme="majorEastAsia" w:hAnsiTheme="majorHAnsi" w:cstheme="majorBidi"/>
          <w:lang w:val="fr-FR"/>
        </w:rPr>
        <w:fldChar w:fldCharType="separate"/>
      </w:r>
      <w:r w:rsidR="0070292F" w:rsidRPr="0070292F">
        <w:rPr>
          <w:rFonts w:asciiTheme="majorHAnsi" w:eastAsiaTheme="majorEastAsia" w:hAnsiTheme="majorHAnsi" w:cstheme="majorBidi"/>
          <w:noProof/>
          <w:lang w:val="fr-FR"/>
        </w:rPr>
        <w:t>106</w:t>
      </w:r>
      <w:r w:rsidRPr="0070292F">
        <w:rPr>
          <w:rFonts w:asciiTheme="majorHAnsi" w:eastAsiaTheme="majorEastAsia" w:hAnsiTheme="majorHAnsi" w:cstheme="majorBidi"/>
          <w:lang w:val="fr-FR"/>
        </w:rPr>
        <w:fldChar w:fldCharType="end"/>
      </w:r>
      <w:r w:rsidRPr="0070292F">
        <w:rPr>
          <w:rFonts w:asciiTheme="majorHAnsi" w:eastAsiaTheme="majorEastAsia" w:hAnsiTheme="majorHAnsi" w:cstheme="majorBidi"/>
          <w:lang w:val="fr-FR"/>
        </w:rPr>
        <w:t xml:space="preserve">.  La Cour rappelle </w:t>
      </w:r>
      <w:r w:rsidR="00743AEB" w:rsidRPr="0070292F">
        <w:rPr>
          <w:rFonts w:asciiTheme="majorHAnsi" w:eastAsiaTheme="majorEastAsia" w:hAnsiTheme="majorHAnsi" w:cstheme="majorBidi"/>
          <w:lang w:val="fr-FR"/>
        </w:rPr>
        <w:t xml:space="preserve">sa </w:t>
      </w:r>
      <w:r w:rsidRPr="0070292F">
        <w:rPr>
          <w:rFonts w:asciiTheme="majorHAnsi" w:eastAsiaTheme="majorEastAsia" w:hAnsiTheme="majorHAnsi" w:cstheme="majorBidi"/>
          <w:lang w:val="fr-FR"/>
        </w:rPr>
        <w:t xml:space="preserve">jurisprudence constante selon laquelle </w:t>
      </w:r>
      <w:r w:rsidR="00743AEB" w:rsidRPr="0070292F">
        <w:rPr>
          <w:rFonts w:asciiTheme="majorHAnsi" w:eastAsiaTheme="majorEastAsia" w:hAnsiTheme="majorHAnsi" w:cstheme="majorBidi"/>
          <w:lang w:val="fr-FR"/>
        </w:rPr>
        <w:t xml:space="preserve">les mots </w:t>
      </w:r>
      <w:r w:rsidRPr="0070292F">
        <w:rPr>
          <w:rFonts w:asciiTheme="majorHAnsi" w:eastAsiaTheme="majorEastAsia" w:hAnsiTheme="majorHAnsi" w:cstheme="majorBidi"/>
          <w:lang w:val="fr-FR"/>
        </w:rPr>
        <w:t>« prévue par la loi » non seulement impose</w:t>
      </w:r>
      <w:r w:rsidR="00743AEB" w:rsidRPr="0070292F">
        <w:rPr>
          <w:rFonts w:asciiTheme="majorHAnsi" w:eastAsiaTheme="majorEastAsia" w:hAnsiTheme="majorHAnsi" w:cstheme="majorBidi"/>
          <w:lang w:val="fr-FR"/>
        </w:rPr>
        <w:t>nt</w:t>
      </w:r>
      <w:r w:rsidRPr="0070292F">
        <w:rPr>
          <w:rFonts w:asciiTheme="majorHAnsi" w:eastAsiaTheme="majorEastAsia" w:hAnsiTheme="majorHAnsi" w:cstheme="majorBidi"/>
          <w:lang w:val="fr-FR"/>
        </w:rPr>
        <w:t xml:space="preserve"> que la mesure incriminée ait une base </w:t>
      </w:r>
      <w:r w:rsidR="00743AEB" w:rsidRPr="0070292F">
        <w:rPr>
          <w:rFonts w:asciiTheme="majorHAnsi" w:eastAsiaTheme="majorEastAsia" w:hAnsiTheme="majorHAnsi" w:cstheme="majorBidi"/>
          <w:lang w:val="fr-FR"/>
        </w:rPr>
        <w:t xml:space="preserve">légale </w:t>
      </w:r>
      <w:r w:rsidRPr="0070292F">
        <w:rPr>
          <w:rFonts w:asciiTheme="majorHAnsi" w:eastAsiaTheme="majorEastAsia" w:hAnsiTheme="majorHAnsi" w:cstheme="majorBidi"/>
          <w:lang w:val="fr-FR"/>
        </w:rPr>
        <w:t>en droit interne, mais vise</w:t>
      </w:r>
      <w:r w:rsidR="00743AEB" w:rsidRPr="0070292F">
        <w:rPr>
          <w:rFonts w:asciiTheme="majorHAnsi" w:eastAsiaTheme="majorEastAsia" w:hAnsiTheme="majorHAnsi" w:cstheme="majorBidi"/>
          <w:lang w:val="fr-FR"/>
        </w:rPr>
        <w:t>nt</w:t>
      </w:r>
      <w:r w:rsidRPr="0070292F">
        <w:rPr>
          <w:rFonts w:asciiTheme="majorHAnsi" w:eastAsiaTheme="majorEastAsia" w:hAnsiTheme="majorHAnsi" w:cstheme="majorBidi"/>
          <w:lang w:val="fr-FR"/>
        </w:rPr>
        <w:t xml:space="preserve"> aussi la qualité de la loi en cause : </w:t>
      </w:r>
      <w:r w:rsidR="00743AEB" w:rsidRPr="0070292F">
        <w:rPr>
          <w:rFonts w:asciiTheme="majorHAnsi" w:eastAsiaTheme="majorEastAsia" w:hAnsiTheme="majorHAnsi" w:cstheme="majorBidi"/>
          <w:lang w:val="fr-FR"/>
        </w:rPr>
        <w:t xml:space="preserve">ainsi, </w:t>
      </w:r>
      <w:r w:rsidRPr="0070292F">
        <w:rPr>
          <w:rFonts w:asciiTheme="majorHAnsi" w:eastAsiaTheme="majorEastAsia" w:hAnsiTheme="majorHAnsi" w:cstheme="majorBidi"/>
          <w:lang w:val="fr-FR"/>
        </w:rPr>
        <w:t>celle-ci doit être accessible au</w:t>
      </w:r>
      <w:r w:rsidR="00743AEB" w:rsidRPr="0070292F">
        <w:rPr>
          <w:rFonts w:asciiTheme="majorHAnsi" w:eastAsiaTheme="majorEastAsia" w:hAnsiTheme="majorHAnsi" w:cstheme="majorBidi"/>
          <w:lang w:val="fr-FR"/>
        </w:rPr>
        <w:t>x</w:t>
      </w:r>
      <w:r w:rsidRPr="0070292F">
        <w:rPr>
          <w:rFonts w:asciiTheme="majorHAnsi" w:eastAsiaTheme="majorEastAsia" w:hAnsiTheme="majorHAnsi" w:cstheme="majorBidi"/>
          <w:lang w:val="fr-FR"/>
        </w:rPr>
        <w:t xml:space="preserve"> justiciable</w:t>
      </w:r>
      <w:r w:rsidR="00743AEB" w:rsidRPr="0070292F">
        <w:rPr>
          <w:rFonts w:asciiTheme="majorHAnsi" w:eastAsiaTheme="majorEastAsia" w:hAnsiTheme="majorHAnsi" w:cstheme="majorBidi"/>
          <w:lang w:val="fr-FR"/>
        </w:rPr>
        <w:t>s</w:t>
      </w:r>
      <w:r w:rsidRPr="0070292F">
        <w:rPr>
          <w:rFonts w:asciiTheme="majorHAnsi" w:eastAsiaTheme="majorEastAsia" w:hAnsiTheme="majorHAnsi" w:cstheme="majorBidi"/>
          <w:lang w:val="fr-FR"/>
        </w:rPr>
        <w:t xml:space="preserve"> et prévisible </w:t>
      </w:r>
      <w:r w:rsidR="00743AEB" w:rsidRPr="0070292F">
        <w:rPr>
          <w:rFonts w:asciiTheme="majorHAnsi" w:eastAsiaTheme="majorEastAsia" w:hAnsiTheme="majorHAnsi" w:cstheme="majorBidi"/>
          <w:lang w:val="fr-FR"/>
        </w:rPr>
        <w:t>dans</w:t>
      </w:r>
      <w:r w:rsidRPr="0070292F">
        <w:rPr>
          <w:rFonts w:asciiTheme="majorHAnsi" w:eastAsiaTheme="majorEastAsia" w:hAnsiTheme="majorHAnsi" w:cstheme="majorBidi"/>
          <w:lang w:val="fr-FR"/>
        </w:rPr>
        <w:t xml:space="preserve"> ses effets (</w:t>
      </w:r>
      <w:r w:rsidR="00001AA4" w:rsidRPr="0070292F">
        <w:rPr>
          <w:rFonts w:asciiTheme="majorHAnsi" w:eastAsiaTheme="majorEastAsia" w:hAnsiTheme="majorHAnsi" w:cstheme="majorBidi"/>
          <w:i/>
          <w:lang w:val="fr-FR"/>
        </w:rPr>
        <w:t>Khlyustov</w:t>
      </w:r>
      <w:r w:rsidR="00001AA4" w:rsidRPr="0070292F">
        <w:rPr>
          <w:rFonts w:asciiTheme="majorHAnsi" w:eastAsiaTheme="majorEastAsia" w:hAnsiTheme="majorHAnsi" w:cstheme="majorBidi"/>
          <w:lang w:val="fr-FR"/>
        </w:rPr>
        <w:t>,</w:t>
      </w:r>
      <w:r w:rsidR="00001AA4" w:rsidRPr="0070292F">
        <w:rPr>
          <w:rFonts w:asciiTheme="majorHAnsi" w:eastAsiaTheme="majorEastAsia" w:hAnsiTheme="majorHAnsi" w:cstheme="majorBidi"/>
          <w:i/>
          <w:lang w:val="fr-FR"/>
        </w:rPr>
        <w:t xml:space="preserve"> </w:t>
      </w:r>
      <w:r w:rsidR="00001AA4" w:rsidRPr="0070292F">
        <w:rPr>
          <w:rFonts w:asciiTheme="majorHAnsi" w:eastAsiaTheme="majorEastAsia" w:hAnsiTheme="majorHAnsi" w:cstheme="majorBidi"/>
          <w:lang w:val="fr-FR"/>
        </w:rPr>
        <w:t>précité</w:t>
      </w:r>
      <w:r w:rsidR="00743AEB" w:rsidRPr="0070292F">
        <w:rPr>
          <w:rFonts w:asciiTheme="majorHAnsi" w:eastAsiaTheme="majorEastAsia" w:hAnsiTheme="majorHAnsi" w:cstheme="majorBidi"/>
          <w:lang w:val="fr-FR"/>
        </w:rPr>
        <w:t>,</w:t>
      </w:r>
      <w:r w:rsidR="00001AA4" w:rsidRPr="0070292F">
        <w:rPr>
          <w:rFonts w:asciiTheme="majorHAnsi" w:eastAsiaTheme="majorEastAsia" w:hAnsiTheme="majorHAnsi" w:cstheme="majorBidi"/>
          <w:i/>
          <w:lang w:val="fr-FR"/>
        </w:rPr>
        <w:t xml:space="preserve"> </w:t>
      </w:r>
      <w:r w:rsidR="00001AA4" w:rsidRPr="0070292F">
        <w:rPr>
          <w:rFonts w:asciiTheme="majorHAnsi" w:eastAsiaTheme="majorEastAsia" w:hAnsiTheme="majorHAnsi" w:cstheme="majorBidi"/>
          <w:lang w:val="fr-FR"/>
        </w:rPr>
        <w:t xml:space="preserve">§ </w:t>
      </w:r>
      <w:r w:rsidR="00AD780C" w:rsidRPr="0070292F">
        <w:rPr>
          <w:rFonts w:asciiTheme="majorHAnsi" w:eastAsiaTheme="majorEastAsia" w:hAnsiTheme="majorHAnsi" w:cstheme="majorBidi"/>
          <w:lang w:val="fr-FR"/>
        </w:rPr>
        <w:t>68,</w:t>
      </w:r>
      <w:r w:rsidR="002431AB" w:rsidRPr="0070292F">
        <w:rPr>
          <w:rFonts w:asciiTheme="majorHAnsi" w:eastAsiaTheme="majorEastAsia" w:hAnsiTheme="majorHAnsi" w:cstheme="majorBidi"/>
          <w:lang w:val="fr-FR"/>
        </w:rPr>
        <w:t xml:space="preserve"> </w:t>
      </w:r>
      <w:r w:rsidR="002431AB" w:rsidRPr="0070292F">
        <w:rPr>
          <w:rFonts w:asciiTheme="majorHAnsi" w:eastAsiaTheme="majorEastAsia" w:hAnsiTheme="majorHAnsi" w:cstheme="majorBidi"/>
          <w:i/>
          <w:lang w:val="fr-FR"/>
        </w:rPr>
        <w:t xml:space="preserve">X. </w:t>
      </w:r>
      <w:r w:rsidR="00001AA4" w:rsidRPr="0070292F">
        <w:rPr>
          <w:rFonts w:asciiTheme="majorHAnsi" w:eastAsiaTheme="majorEastAsia" w:hAnsiTheme="majorHAnsi" w:cstheme="majorBidi"/>
          <w:i/>
          <w:lang w:val="fr-FR"/>
        </w:rPr>
        <w:t>c. Lettonie</w:t>
      </w:r>
      <w:r w:rsidR="00001AA4" w:rsidRPr="0070292F">
        <w:rPr>
          <w:rFonts w:asciiTheme="majorHAnsi" w:eastAsiaTheme="majorEastAsia" w:hAnsiTheme="majorHAnsi" w:cstheme="majorBidi"/>
          <w:lang w:val="fr-FR"/>
        </w:rPr>
        <w:t xml:space="preserve"> [GC], n</w:t>
      </w:r>
      <w:r w:rsidR="008C1E94" w:rsidRPr="0070292F">
        <w:rPr>
          <w:rFonts w:asciiTheme="majorHAnsi" w:eastAsiaTheme="majorEastAsia" w:hAnsiTheme="majorHAnsi" w:cstheme="majorBidi"/>
          <w:vertAlign w:val="superscript"/>
          <w:lang w:val="fr-FR"/>
        </w:rPr>
        <w:t>o</w:t>
      </w:r>
      <w:r w:rsidR="00001AA4" w:rsidRPr="0070292F">
        <w:rPr>
          <w:rFonts w:asciiTheme="majorHAnsi" w:eastAsiaTheme="majorEastAsia" w:hAnsiTheme="majorHAnsi" w:cstheme="majorBidi"/>
          <w:lang w:val="fr-FR"/>
        </w:rPr>
        <w:t xml:space="preserve"> 27853/09, § 58, CEDH 2013, </w:t>
      </w:r>
      <w:r w:rsidR="00001AA4" w:rsidRPr="0070292F">
        <w:rPr>
          <w:i/>
          <w:lang w:val="fr-FR"/>
        </w:rPr>
        <w:t xml:space="preserve">Centro Europa 7 </w:t>
      </w:r>
      <w:r w:rsidR="00001AA4" w:rsidRPr="0070292F">
        <w:rPr>
          <w:i/>
          <w:snapToGrid w:val="0"/>
          <w:lang w:val="fr-FR"/>
        </w:rPr>
        <w:t>S.r.l.</w:t>
      </w:r>
      <w:r w:rsidR="00001AA4" w:rsidRPr="0070292F">
        <w:rPr>
          <w:i/>
          <w:lang w:val="fr-FR"/>
        </w:rPr>
        <w:t xml:space="preserve"> et Di Stefano c. Italie </w:t>
      </w:r>
      <w:r w:rsidR="00001AA4" w:rsidRPr="0070292F">
        <w:rPr>
          <w:lang w:val="fr-FR"/>
        </w:rPr>
        <w:t>[GC], n</w:t>
      </w:r>
      <w:r w:rsidR="008C1E94" w:rsidRPr="0070292F">
        <w:rPr>
          <w:vertAlign w:val="superscript"/>
          <w:lang w:val="fr-FR"/>
        </w:rPr>
        <w:t>o</w:t>
      </w:r>
      <w:r w:rsidR="00156556" w:rsidRPr="0070292F">
        <w:rPr>
          <w:lang w:val="fr-FR"/>
        </w:rPr>
        <w:t> </w:t>
      </w:r>
      <w:r w:rsidR="00001AA4" w:rsidRPr="0070292F">
        <w:rPr>
          <w:lang w:val="fr-FR"/>
        </w:rPr>
        <w:t>38433/09</w:t>
      </w:r>
      <w:r w:rsidR="00001AA4" w:rsidRPr="0070292F">
        <w:rPr>
          <w:snapToGrid w:val="0"/>
          <w:szCs w:val="24"/>
          <w:lang w:val="fr-FR"/>
        </w:rPr>
        <w:t xml:space="preserve">, </w:t>
      </w:r>
      <w:r w:rsidR="002431AB" w:rsidRPr="0070292F">
        <w:rPr>
          <w:snapToGrid w:val="0"/>
          <w:szCs w:val="24"/>
          <w:lang w:val="fr-FR"/>
        </w:rPr>
        <w:t>§ 140</w:t>
      </w:r>
      <w:r w:rsidR="00363CA6" w:rsidRPr="0070292F">
        <w:rPr>
          <w:snapToGrid w:val="0"/>
          <w:szCs w:val="24"/>
          <w:lang w:val="fr-FR"/>
        </w:rPr>
        <w:t>,</w:t>
      </w:r>
      <w:r w:rsidR="00001AA4" w:rsidRPr="0070292F">
        <w:rPr>
          <w:snapToGrid w:val="0"/>
          <w:szCs w:val="24"/>
          <w:lang w:val="fr-FR"/>
        </w:rPr>
        <w:t xml:space="preserve"> </w:t>
      </w:r>
      <w:r w:rsidR="00001AA4" w:rsidRPr="0070292F">
        <w:rPr>
          <w:snapToGrid w:val="0"/>
          <w:lang w:val="fr-FR"/>
        </w:rPr>
        <w:t xml:space="preserve">CEDH 2012, </w:t>
      </w:r>
      <w:r w:rsidRPr="0070292F">
        <w:rPr>
          <w:rFonts w:asciiTheme="majorHAnsi" w:eastAsiaTheme="majorEastAsia" w:hAnsiTheme="majorHAnsi" w:cstheme="majorBidi"/>
          <w:i/>
          <w:iCs/>
          <w:lang w:val="fr-FR"/>
        </w:rPr>
        <w:t>Rotaru c. Roumanie</w:t>
      </w:r>
      <w:r w:rsidRPr="0070292F">
        <w:rPr>
          <w:rFonts w:asciiTheme="majorHAnsi" w:eastAsiaTheme="majorEastAsia" w:hAnsiTheme="majorHAnsi" w:cstheme="majorBidi"/>
          <w:iCs/>
          <w:lang w:val="fr-FR"/>
        </w:rPr>
        <w:t xml:space="preserve"> [GC], n</w:t>
      </w:r>
      <w:r w:rsidR="008C1E94" w:rsidRPr="0070292F">
        <w:rPr>
          <w:rFonts w:asciiTheme="majorHAnsi" w:eastAsiaTheme="majorEastAsia" w:hAnsiTheme="majorHAnsi" w:cstheme="majorBidi"/>
          <w:iCs/>
          <w:vertAlign w:val="superscript"/>
          <w:lang w:val="fr-FR"/>
        </w:rPr>
        <w:t>o</w:t>
      </w:r>
      <w:r w:rsidRPr="0070292F">
        <w:rPr>
          <w:rFonts w:asciiTheme="majorHAnsi" w:eastAsiaTheme="majorEastAsia" w:hAnsiTheme="majorHAnsi" w:cstheme="majorBidi"/>
          <w:iCs/>
          <w:lang w:val="fr-FR"/>
        </w:rPr>
        <w:t xml:space="preserve"> </w:t>
      </w:r>
      <w:hyperlink r:id="rId22" w:anchor="%7B%22appno%22:%5B%2228341/95%22%5D%7D" w:history="1">
        <w:r w:rsidRPr="0070292F">
          <w:rPr>
            <w:rStyle w:val="Collegamentoipertestuale"/>
            <w:iCs/>
            <w:color w:val="auto"/>
            <w:szCs w:val="24"/>
            <w:u w:val="none"/>
            <w:lang w:val="fr-FR"/>
          </w:rPr>
          <w:t>28341/95</w:t>
        </w:r>
      </w:hyperlink>
      <w:r w:rsidR="00156556" w:rsidRPr="0070292F">
        <w:rPr>
          <w:rFonts w:asciiTheme="majorHAnsi" w:eastAsiaTheme="majorEastAsia" w:hAnsiTheme="majorHAnsi" w:cstheme="majorBidi"/>
          <w:iCs/>
          <w:lang w:val="fr-FR"/>
        </w:rPr>
        <w:t>, § </w:t>
      </w:r>
      <w:r w:rsidRPr="0070292F">
        <w:rPr>
          <w:rFonts w:asciiTheme="majorHAnsi" w:eastAsiaTheme="majorEastAsia" w:hAnsiTheme="majorHAnsi" w:cstheme="majorBidi"/>
          <w:iCs/>
          <w:lang w:val="fr-FR"/>
        </w:rPr>
        <w:t>52, CEDH 2000-V</w:t>
      </w:r>
      <w:r w:rsidR="00743AEB" w:rsidRPr="0070292F">
        <w:rPr>
          <w:rFonts w:asciiTheme="majorHAnsi" w:eastAsiaTheme="majorEastAsia" w:hAnsiTheme="majorHAnsi" w:cstheme="majorBidi"/>
          <w:iCs/>
          <w:lang w:val="fr-FR"/>
        </w:rPr>
        <w:t xml:space="preserve">, et </w:t>
      </w:r>
      <w:r w:rsidRPr="0070292F">
        <w:rPr>
          <w:rFonts w:asciiTheme="majorHAnsi" w:eastAsiaTheme="majorEastAsia" w:hAnsiTheme="majorHAnsi" w:cstheme="majorBidi"/>
          <w:i/>
          <w:iCs/>
          <w:lang w:val="fr-FR"/>
        </w:rPr>
        <w:t>Maestri c. Italie</w:t>
      </w:r>
      <w:r w:rsidRPr="0070292F">
        <w:rPr>
          <w:rFonts w:asciiTheme="majorHAnsi" w:eastAsiaTheme="majorEastAsia" w:hAnsiTheme="majorHAnsi" w:cstheme="majorBidi"/>
          <w:iCs/>
          <w:lang w:val="fr-FR"/>
        </w:rPr>
        <w:t xml:space="preserve"> [GC], n</w:t>
      </w:r>
      <w:r w:rsidRPr="0070292F">
        <w:rPr>
          <w:rFonts w:asciiTheme="majorHAnsi" w:eastAsiaTheme="majorEastAsia" w:hAnsiTheme="majorHAnsi" w:cstheme="majorBidi"/>
          <w:iCs/>
          <w:vertAlign w:val="superscript"/>
          <w:lang w:val="fr-FR"/>
        </w:rPr>
        <w:t>o</w:t>
      </w:r>
      <w:r w:rsidRPr="0070292F">
        <w:rPr>
          <w:rFonts w:asciiTheme="majorHAnsi" w:eastAsiaTheme="majorEastAsia" w:hAnsiTheme="majorHAnsi" w:cstheme="majorBidi"/>
          <w:iCs/>
          <w:lang w:val="fr-FR"/>
        </w:rPr>
        <w:t> </w:t>
      </w:r>
      <w:hyperlink r:id="rId23" w:anchor="%7B%22appno%22:%5B%2239748/98%22%5D%7D" w:history="1">
        <w:r w:rsidRPr="0070292F">
          <w:rPr>
            <w:rStyle w:val="Collegamentoipertestuale"/>
            <w:iCs/>
            <w:color w:val="auto"/>
            <w:szCs w:val="24"/>
            <w:u w:val="none"/>
            <w:lang w:val="fr-FR"/>
          </w:rPr>
          <w:t>39748/98</w:t>
        </w:r>
      </w:hyperlink>
      <w:r w:rsidR="0070292F" w:rsidRPr="0070292F">
        <w:rPr>
          <w:rFonts w:asciiTheme="majorHAnsi" w:eastAsiaTheme="majorEastAsia" w:hAnsiTheme="majorHAnsi" w:cstheme="majorBidi"/>
          <w:iCs/>
          <w:lang w:val="fr-FR"/>
        </w:rPr>
        <w:t>, § 30, CEDH </w:t>
      </w:r>
      <w:r w:rsidR="00001AA4" w:rsidRPr="0070292F">
        <w:rPr>
          <w:rFonts w:asciiTheme="majorHAnsi" w:eastAsiaTheme="majorEastAsia" w:hAnsiTheme="majorHAnsi" w:cstheme="majorBidi"/>
          <w:iCs/>
          <w:lang w:val="fr-FR"/>
        </w:rPr>
        <w:t>2004-I</w:t>
      </w:r>
      <w:r w:rsidRPr="0070292F">
        <w:rPr>
          <w:rFonts w:asciiTheme="majorHAnsi" w:eastAsiaTheme="majorEastAsia" w:hAnsiTheme="majorHAnsi" w:cstheme="majorBidi"/>
          <w:iCs/>
          <w:lang w:val="fr-FR"/>
        </w:rPr>
        <w:t>).</w:t>
      </w:r>
    </w:p>
    <w:p w:rsidR="000828F7" w:rsidRPr="0070292F" w:rsidRDefault="000828F7" w:rsidP="0070292F">
      <w:pPr>
        <w:pStyle w:val="ECHRPara"/>
        <w:rPr>
          <w:rFonts w:asciiTheme="majorHAnsi" w:eastAsiaTheme="majorEastAsia" w:hAnsiTheme="majorHAnsi" w:cstheme="majorBidi"/>
          <w:lang w:val="fr-FR"/>
        </w:rPr>
      </w:pPr>
      <w:r w:rsidRPr="0070292F">
        <w:rPr>
          <w:rFonts w:asciiTheme="majorHAnsi" w:eastAsiaTheme="majorEastAsia" w:hAnsiTheme="majorHAnsi" w:cstheme="majorBidi"/>
          <w:lang w:val="fr-FR"/>
        </w:rPr>
        <w:fldChar w:fldCharType="begin"/>
      </w:r>
      <w:r w:rsidRPr="0070292F">
        <w:rPr>
          <w:rFonts w:asciiTheme="majorHAnsi" w:eastAsiaTheme="majorEastAsia" w:hAnsiTheme="majorHAnsi" w:cstheme="majorBidi"/>
          <w:lang w:val="fr-FR"/>
        </w:rPr>
        <w:instrText xml:space="preserve"> SEQ level0 \*arabic </w:instrText>
      </w:r>
      <w:r w:rsidRPr="0070292F">
        <w:rPr>
          <w:rFonts w:asciiTheme="majorHAnsi" w:eastAsiaTheme="majorEastAsia" w:hAnsiTheme="majorHAnsi" w:cstheme="majorBidi"/>
          <w:lang w:val="fr-FR"/>
        </w:rPr>
        <w:fldChar w:fldCharType="separate"/>
      </w:r>
      <w:r w:rsidR="0070292F" w:rsidRPr="0070292F">
        <w:rPr>
          <w:rFonts w:asciiTheme="majorHAnsi" w:eastAsiaTheme="majorEastAsia" w:hAnsiTheme="majorHAnsi" w:cstheme="majorBidi"/>
          <w:noProof/>
          <w:lang w:val="fr-FR"/>
        </w:rPr>
        <w:t>107</w:t>
      </w:r>
      <w:r w:rsidRPr="0070292F">
        <w:rPr>
          <w:rFonts w:asciiTheme="majorHAnsi" w:eastAsiaTheme="majorEastAsia" w:hAnsiTheme="majorHAnsi" w:cstheme="majorBidi"/>
          <w:lang w:val="fr-FR"/>
        </w:rPr>
        <w:fldChar w:fldCharType="end"/>
      </w:r>
      <w:r w:rsidRPr="0070292F">
        <w:rPr>
          <w:rFonts w:asciiTheme="majorHAnsi" w:eastAsiaTheme="majorEastAsia" w:hAnsiTheme="majorHAnsi" w:cstheme="majorBidi"/>
          <w:lang w:val="fr-FR"/>
        </w:rPr>
        <w:t>.  L</w:t>
      </w:r>
      <w:r w:rsidR="0070292F" w:rsidRPr="0070292F">
        <w:rPr>
          <w:rFonts w:asciiTheme="majorHAnsi" w:eastAsiaTheme="majorEastAsia" w:hAnsiTheme="majorHAnsi" w:cstheme="majorBidi"/>
          <w:lang w:val="fr-FR"/>
        </w:rPr>
        <w:t>’</w:t>
      </w:r>
      <w:r w:rsidRPr="0070292F">
        <w:rPr>
          <w:rFonts w:asciiTheme="majorHAnsi" w:eastAsiaTheme="majorEastAsia" w:hAnsiTheme="majorHAnsi" w:cstheme="majorBidi"/>
          <w:lang w:val="fr-FR"/>
        </w:rPr>
        <w:t>une des exigences découlant de l</w:t>
      </w:r>
      <w:r w:rsidR="0070292F" w:rsidRPr="0070292F">
        <w:rPr>
          <w:rFonts w:asciiTheme="majorHAnsi" w:eastAsiaTheme="majorEastAsia" w:hAnsiTheme="majorHAnsi" w:cstheme="majorBidi"/>
          <w:lang w:val="fr-FR"/>
        </w:rPr>
        <w:t>’</w:t>
      </w:r>
      <w:r w:rsidRPr="0070292F">
        <w:rPr>
          <w:rFonts w:asciiTheme="majorHAnsi" w:eastAsiaTheme="majorEastAsia" w:hAnsiTheme="majorHAnsi" w:cstheme="majorBidi"/>
          <w:lang w:val="fr-FR"/>
        </w:rPr>
        <w:t>expression « prévue par la loi » est la prévisibilité. On ne peut donc considérer comme « une loi » qu</w:t>
      </w:r>
      <w:r w:rsidR="0070292F" w:rsidRPr="0070292F">
        <w:rPr>
          <w:rFonts w:asciiTheme="majorHAnsi" w:eastAsiaTheme="majorEastAsia" w:hAnsiTheme="majorHAnsi" w:cstheme="majorBidi"/>
          <w:lang w:val="fr-FR"/>
        </w:rPr>
        <w:t>’</w:t>
      </w:r>
      <w:r w:rsidRPr="0070292F">
        <w:rPr>
          <w:rFonts w:asciiTheme="majorHAnsi" w:eastAsiaTheme="majorEastAsia" w:hAnsiTheme="majorHAnsi" w:cstheme="majorBidi"/>
          <w:lang w:val="fr-FR"/>
        </w:rPr>
        <w:t>une norme énoncée avec assez de précision pour permettre au citoyen de régler sa conduite ; en s</w:t>
      </w:r>
      <w:r w:rsidR="0070292F" w:rsidRPr="0070292F">
        <w:rPr>
          <w:rFonts w:asciiTheme="majorHAnsi" w:eastAsiaTheme="majorEastAsia" w:hAnsiTheme="majorHAnsi" w:cstheme="majorBidi"/>
          <w:lang w:val="fr-FR"/>
        </w:rPr>
        <w:t>’</w:t>
      </w:r>
      <w:r w:rsidRPr="0070292F">
        <w:rPr>
          <w:rFonts w:asciiTheme="majorHAnsi" w:eastAsiaTheme="majorEastAsia" w:hAnsiTheme="majorHAnsi" w:cstheme="majorBidi"/>
          <w:lang w:val="fr-FR"/>
        </w:rPr>
        <w:t>entourant au besoin de conseils éclairés, il doit être à même de prévoir, à un degré raisonnable dans les circonstances de la cause, les conséquences qui peuvent découler d</w:t>
      </w:r>
      <w:r w:rsidR="0070292F" w:rsidRPr="0070292F">
        <w:rPr>
          <w:rFonts w:asciiTheme="majorHAnsi" w:eastAsiaTheme="majorEastAsia" w:hAnsiTheme="majorHAnsi" w:cstheme="majorBidi"/>
          <w:lang w:val="fr-FR"/>
        </w:rPr>
        <w:t>’</w:t>
      </w:r>
      <w:r w:rsidRPr="0070292F">
        <w:rPr>
          <w:rFonts w:asciiTheme="majorHAnsi" w:eastAsiaTheme="majorEastAsia" w:hAnsiTheme="majorHAnsi" w:cstheme="majorBidi"/>
          <w:lang w:val="fr-FR"/>
        </w:rPr>
        <w:t>un acte déterminé. Ces conséquences n</w:t>
      </w:r>
      <w:r w:rsidR="0070292F" w:rsidRPr="0070292F">
        <w:rPr>
          <w:rFonts w:asciiTheme="majorHAnsi" w:eastAsiaTheme="majorEastAsia" w:hAnsiTheme="majorHAnsi" w:cstheme="majorBidi"/>
          <w:lang w:val="fr-FR"/>
        </w:rPr>
        <w:t>’</w:t>
      </w:r>
      <w:r w:rsidRPr="0070292F">
        <w:rPr>
          <w:rFonts w:asciiTheme="majorHAnsi" w:eastAsiaTheme="majorEastAsia" w:hAnsiTheme="majorHAnsi" w:cstheme="majorBidi"/>
          <w:lang w:val="fr-FR"/>
        </w:rPr>
        <w:t>ont pas besoin d</w:t>
      </w:r>
      <w:r w:rsidR="0070292F" w:rsidRPr="0070292F">
        <w:rPr>
          <w:rFonts w:asciiTheme="majorHAnsi" w:eastAsiaTheme="majorEastAsia" w:hAnsiTheme="majorHAnsi" w:cstheme="majorBidi"/>
          <w:lang w:val="fr-FR"/>
        </w:rPr>
        <w:t>’</w:t>
      </w:r>
      <w:r w:rsidRPr="0070292F">
        <w:rPr>
          <w:rFonts w:asciiTheme="majorHAnsi" w:eastAsiaTheme="majorEastAsia" w:hAnsiTheme="majorHAnsi" w:cstheme="majorBidi"/>
          <w:lang w:val="fr-FR"/>
        </w:rPr>
        <w:t>être prévisi</w:t>
      </w:r>
      <w:r w:rsidR="002431AB" w:rsidRPr="0070292F">
        <w:rPr>
          <w:rFonts w:asciiTheme="majorHAnsi" w:eastAsiaTheme="majorEastAsia" w:hAnsiTheme="majorHAnsi" w:cstheme="majorBidi"/>
          <w:lang w:val="fr-FR"/>
        </w:rPr>
        <w:t>bles avec une certitude absolue</w:t>
      </w:r>
      <w:r w:rsidR="00743AEB" w:rsidRPr="0070292F">
        <w:rPr>
          <w:rFonts w:asciiTheme="majorHAnsi" w:eastAsiaTheme="majorEastAsia" w:hAnsiTheme="majorHAnsi" w:cstheme="majorBidi"/>
          <w:lang w:val="fr-FR"/>
        </w:rPr>
        <w:t> </w:t>
      </w:r>
      <w:r w:rsidRPr="0070292F">
        <w:rPr>
          <w:rFonts w:asciiTheme="majorHAnsi" w:eastAsiaTheme="majorEastAsia" w:hAnsiTheme="majorHAnsi" w:cstheme="majorBidi"/>
          <w:lang w:val="fr-FR"/>
        </w:rPr>
        <w:t>: l</w:t>
      </w:r>
      <w:r w:rsidR="0070292F" w:rsidRPr="0070292F">
        <w:rPr>
          <w:rFonts w:asciiTheme="majorHAnsi" w:eastAsiaTheme="majorEastAsia" w:hAnsiTheme="majorHAnsi" w:cstheme="majorBidi"/>
          <w:lang w:val="fr-FR"/>
        </w:rPr>
        <w:t>’</w:t>
      </w:r>
      <w:r w:rsidRPr="0070292F">
        <w:rPr>
          <w:rFonts w:asciiTheme="majorHAnsi" w:eastAsiaTheme="majorEastAsia" w:hAnsiTheme="majorHAnsi" w:cstheme="majorBidi"/>
          <w:lang w:val="fr-FR"/>
        </w:rPr>
        <w:t>expérience révèle qu</w:t>
      </w:r>
      <w:r w:rsidR="0070292F" w:rsidRPr="0070292F">
        <w:rPr>
          <w:rFonts w:asciiTheme="majorHAnsi" w:eastAsiaTheme="majorEastAsia" w:hAnsiTheme="majorHAnsi" w:cstheme="majorBidi"/>
          <w:lang w:val="fr-FR"/>
        </w:rPr>
        <w:t>’</w:t>
      </w:r>
      <w:r w:rsidRPr="0070292F">
        <w:rPr>
          <w:rFonts w:asciiTheme="majorHAnsi" w:eastAsiaTheme="majorEastAsia" w:hAnsiTheme="majorHAnsi" w:cstheme="majorBidi"/>
          <w:lang w:val="fr-FR"/>
        </w:rPr>
        <w:t>une telle certitude est hors d</w:t>
      </w:r>
      <w:r w:rsidR="0070292F" w:rsidRPr="0070292F">
        <w:rPr>
          <w:rFonts w:asciiTheme="majorHAnsi" w:eastAsiaTheme="majorEastAsia" w:hAnsiTheme="majorHAnsi" w:cstheme="majorBidi"/>
          <w:lang w:val="fr-FR"/>
        </w:rPr>
        <w:t>’</w:t>
      </w:r>
      <w:r w:rsidRPr="0070292F">
        <w:rPr>
          <w:rFonts w:asciiTheme="majorHAnsi" w:eastAsiaTheme="majorEastAsia" w:hAnsiTheme="majorHAnsi" w:cstheme="majorBidi"/>
          <w:lang w:val="fr-FR"/>
        </w:rPr>
        <w:t>atteinte. En outre</w:t>
      </w:r>
      <w:r w:rsidR="00156556" w:rsidRPr="0070292F">
        <w:rPr>
          <w:rFonts w:asciiTheme="majorHAnsi" w:eastAsiaTheme="majorEastAsia" w:hAnsiTheme="majorHAnsi" w:cstheme="majorBidi"/>
          <w:lang w:val="fr-FR"/>
        </w:rPr>
        <w:t>,</w:t>
      </w:r>
      <w:r w:rsidRPr="0070292F">
        <w:rPr>
          <w:rFonts w:asciiTheme="majorHAnsi" w:eastAsiaTheme="majorEastAsia" w:hAnsiTheme="majorHAnsi" w:cstheme="majorBidi"/>
          <w:lang w:val="fr-FR"/>
        </w:rPr>
        <w:t xml:space="preserve"> la certitude, bien que hautement souhaitable, s</w:t>
      </w:r>
      <w:r w:rsidR="0070292F" w:rsidRPr="0070292F">
        <w:rPr>
          <w:rFonts w:asciiTheme="majorHAnsi" w:eastAsiaTheme="majorEastAsia" w:hAnsiTheme="majorHAnsi" w:cstheme="majorBidi"/>
          <w:lang w:val="fr-FR"/>
        </w:rPr>
        <w:t>’</w:t>
      </w:r>
      <w:r w:rsidRPr="0070292F">
        <w:rPr>
          <w:rFonts w:asciiTheme="majorHAnsi" w:eastAsiaTheme="majorEastAsia" w:hAnsiTheme="majorHAnsi" w:cstheme="majorBidi"/>
          <w:lang w:val="fr-FR"/>
        </w:rPr>
        <w:t>accompagne par</w:t>
      </w:r>
      <w:r w:rsidR="005E2EEA" w:rsidRPr="0070292F">
        <w:rPr>
          <w:rFonts w:asciiTheme="majorHAnsi" w:eastAsiaTheme="majorEastAsia" w:hAnsiTheme="majorHAnsi" w:cstheme="majorBidi"/>
          <w:lang w:val="fr-FR"/>
        </w:rPr>
        <w:t>fois d</w:t>
      </w:r>
      <w:r w:rsidR="0070292F" w:rsidRPr="0070292F">
        <w:rPr>
          <w:rFonts w:asciiTheme="majorHAnsi" w:eastAsiaTheme="majorEastAsia" w:hAnsiTheme="majorHAnsi" w:cstheme="majorBidi"/>
          <w:lang w:val="fr-FR"/>
        </w:rPr>
        <w:t>’</w:t>
      </w:r>
      <w:r w:rsidR="005E2EEA" w:rsidRPr="0070292F">
        <w:rPr>
          <w:rFonts w:asciiTheme="majorHAnsi" w:eastAsiaTheme="majorEastAsia" w:hAnsiTheme="majorHAnsi" w:cstheme="majorBidi"/>
          <w:lang w:val="fr-FR"/>
        </w:rPr>
        <w:t xml:space="preserve">une rigidité excessive ; </w:t>
      </w:r>
      <w:r w:rsidRPr="0070292F">
        <w:rPr>
          <w:rFonts w:asciiTheme="majorHAnsi" w:eastAsiaTheme="majorEastAsia" w:hAnsiTheme="majorHAnsi" w:cstheme="majorBidi"/>
          <w:lang w:val="fr-FR"/>
        </w:rPr>
        <w:t xml:space="preserve">or le droit doit </w:t>
      </w:r>
      <w:r w:rsidR="00743AEB" w:rsidRPr="0070292F">
        <w:rPr>
          <w:rFonts w:asciiTheme="majorHAnsi" w:eastAsiaTheme="majorEastAsia" w:hAnsiTheme="majorHAnsi" w:cstheme="majorBidi"/>
          <w:lang w:val="fr-FR"/>
        </w:rPr>
        <w:t xml:space="preserve">savoir </w:t>
      </w:r>
      <w:r w:rsidRPr="0070292F">
        <w:rPr>
          <w:rFonts w:asciiTheme="majorHAnsi" w:eastAsiaTheme="majorEastAsia" w:hAnsiTheme="majorHAnsi" w:cstheme="majorBidi"/>
          <w:lang w:val="fr-FR"/>
        </w:rPr>
        <w:t>s</w:t>
      </w:r>
      <w:r w:rsidR="0070292F" w:rsidRPr="0070292F">
        <w:rPr>
          <w:rFonts w:asciiTheme="majorHAnsi" w:eastAsiaTheme="majorEastAsia" w:hAnsiTheme="majorHAnsi" w:cstheme="majorBidi"/>
          <w:lang w:val="fr-FR"/>
        </w:rPr>
        <w:t>’</w:t>
      </w:r>
      <w:r w:rsidRPr="0070292F">
        <w:rPr>
          <w:rFonts w:asciiTheme="majorHAnsi" w:eastAsiaTheme="majorEastAsia" w:hAnsiTheme="majorHAnsi" w:cstheme="majorBidi"/>
          <w:lang w:val="fr-FR"/>
        </w:rPr>
        <w:t>adapter aux changements de situation.</w:t>
      </w:r>
      <w:r w:rsidRPr="0070292F">
        <w:rPr>
          <w:rFonts w:asciiTheme="majorHAnsi" w:eastAsiaTheme="majorEastAsia" w:hAnsiTheme="majorHAnsi" w:cstheme="majorBidi"/>
          <w:szCs w:val="24"/>
          <w:lang w:val="fr-FR"/>
        </w:rPr>
        <w:t xml:space="preserve"> </w:t>
      </w:r>
      <w:r w:rsidR="00064D09" w:rsidRPr="0070292F">
        <w:rPr>
          <w:rFonts w:asciiTheme="majorHAnsi" w:eastAsiaTheme="majorEastAsia" w:hAnsiTheme="majorHAnsi" w:cstheme="majorBidi"/>
          <w:lang w:val="fr-FR"/>
        </w:rPr>
        <w:t>Aussi, beaucoup de lois se servent-elles, par la force des choses, de formules plus ou moins vagues, dont l</w:t>
      </w:r>
      <w:r w:rsidR="0070292F" w:rsidRPr="0070292F">
        <w:rPr>
          <w:rFonts w:asciiTheme="majorHAnsi" w:eastAsiaTheme="majorEastAsia" w:hAnsiTheme="majorHAnsi" w:cstheme="majorBidi"/>
          <w:lang w:val="fr-FR"/>
        </w:rPr>
        <w:t>’</w:t>
      </w:r>
      <w:r w:rsidR="00064D09" w:rsidRPr="0070292F">
        <w:rPr>
          <w:rFonts w:asciiTheme="majorHAnsi" w:eastAsiaTheme="majorEastAsia" w:hAnsiTheme="majorHAnsi" w:cstheme="majorBidi"/>
          <w:lang w:val="fr-FR"/>
        </w:rPr>
        <w:t>interprétation et l</w:t>
      </w:r>
      <w:r w:rsidR="0070292F" w:rsidRPr="0070292F">
        <w:rPr>
          <w:rFonts w:asciiTheme="majorHAnsi" w:eastAsiaTheme="majorEastAsia" w:hAnsiTheme="majorHAnsi" w:cstheme="majorBidi"/>
          <w:lang w:val="fr-FR"/>
        </w:rPr>
        <w:t>’</w:t>
      </w:r>
      <w:r w:rsidR="00064D09" w:rsidRPr="0070292F">
        <w:rPr>
          <w:rFonts w:asciiTheme="majorHAnsi" w:eastAsiaTheme="majorEastAsia" w:hAnsiTheme="majorHAnsi" w:cstheme="majorBidi"/>
          <w:lang w:val="fr-FR"/>
        </w:rPr>
        <w:t xml:space="preserve">application dépendent de la pratique </w:t>
      </w:r>
      <w:r w:rsidR="00064D09" w:rsidRPr="0070292F">
        <w:rPr>
          <w:rFonts w:asciiTheme="majorHAnsi" w:eastAsiaTheme="majorEastAsia" w:hAnsiTheme="majorHAnsi" w:cstheme="majorBidi"/>
          <w:iCs/>
          <w:lang w:val="fr-FR"/>
        </w:rPr>
        <w:t>(Sunday Times</w:t>
      </w:r>
      <w:r w:rsidR="00064D09" w:rsidRPr="0070292F">
        <w:rPr>
          <w:rFonts w:asciiTheme="majorHAnsi" w:eastAsiaTheme="majorEastAsia" w:hAnsiTheme="majorHAnsi" w:cstheme="majorBidi"/>
          <w:i/>
          <w:iCs/>
          <w:lang w:val="fr-FR"/>
        </w:rPr>
        <w:t xml:space="preserve"> c. Royaume-Uni</w:t>
      </w:r>
      <w:r w:rsidR="00064D09" w:rsidRPr="0070292F">
        <w:rPr>
          <w:rFonts w:asciiTheme="majorHAnsi" w:eastAsiaTheme="majorEastAsia" w:hAnsiTheme="majorHAnsi" w:cstheme="majorBidi"/>
          <w:lang w:val="fr-FR"/>
        </w:rPr>
        <w:t xml:space="preserve"> </w:t>
      </w:r>
      <w:r w:rsidR="00064D09" w:rsidRPr="0070292F">
        <w:rPr>
          <w:rFonts w:asciiTheme="majorHAnsi" w:eastAsiaTheme="majorEastAsia" w:hAnsiTheme="majorHAnsi" w:cstheme="majorBidi"/>
          <w:i/>
          <w:iCs/>
          <w:lang w:val="fr-FR"/>
        </w:rPr>
        <w:t>(n</w:t>
      </w:r>
      <w:r w:rsidR="00064D09" w:rsidRPr="0070292F">
        <w:rPr>
          <w:rFonts w:asciiTheme="majorHAnsi" w:eastAsiaTheme="majorEastAsia" w:hAnsiTheme="majorHAnsi" w:cstheme="majorBidi"/>
          <w:i/>
          <w:iCs/>
          <w:vertAlign w:val="superscript"/>
          <w:lang w:val="fr-FR"/>
        </w:rPr>
        <w:t>o</w:t>
      </w:r>
      <w:r w:rsidR="00743AEB" w:rsidRPr="0070292F">
        <w:rPr>
          <w:rFonts w:asciiTheme="majorHAnsi" w:eastAsiaTheme="majorEastAsia" w:hAnsiTheme="majorHAnsi" w:cstheme="majorBidi"/>
          <w:i/>
          <w:iCs/>
          <w:lang w:val="fr-FR"/>
        </w:rPr>
        <w:t> </w:t>
      </w:r>
      <w:r w:rsidR="00064D09" w:rsidRPr="0070292F">
        <w:rPr>
          <w:rFonts w:asciiTheme="majorHAnsi" w:eastAsiaTheme="majorEastAsia" w:hAnsiTheme="majorHAnsi" w:cstheme="majorBidi"/>
          <w:i/>
          <w:iCs/>
          <w:lang w:val="fr-FR"/>
        </w:rPr>
        <w:t>1)</w:t>
      </w:r>
      <w:r w:rsidR="00064D09" w:rsidRPr="0070292F">
        <w:rPr>
          <w:rFonts w:asciiTheme="majorHAnsi" w:eastAsiaTheme="majorEastAsia" w:hAnsiTheme="majorHAnsi" w:cstheme="majorBidi"/>
          <w:lang w:val="fr-FR"/>
        </w:rPr>
        <w:t>, 26 avril 1979, § 49, série A n</w:t>
      </w:r>
      <w:r w:rsidR="008C1E94" w:rsidRPr="0070292F">
        <w:rPr>
          <w:rFonts w:asciiTheme="majorHAnsi" w:eastAsiaTheme="majorEastAsia" w:hAnsiTheme="majorHAnsi" w:cstheme="majorBidi"/>
          <w:vertAlign w:val="superscript"/>
          <w:lang w:val="fr-FR"/>
        </w:rPr>
        <w:t>o</w:t>
      </w:r>
      <w:r w:rsidR="00064D09" w:rsidRPr="0070292F">
        <w:rPr>
          <w:rFonts w:asciiTheme="majorHAnsi" w:eastAsiaTheme="majorEastAsia" w:hAnsiTheme="majorHAnsi" w:cstheme="majorBidi"/>
          <w:lang w:val="fr-FR"/>
        </w:rPr>
        <w:t xml:space="preserve"> 30, </w:t>
      </w:r>
      <w:r w:rsidR="00064D09" w:rsidRPr="0070292F">
        <w:rPr>
          <w:rFonts w:asciiTheme="majorHAnsi" w:eastAsiaTheme="majorEastAsia" w:hAnsiTheme="majorHAnsi" w:cstheme="majorBidi"/>
          <w:i/>
          <w:iCs/>
          <w:lang w:val="fr-FR"/>
        </w:rPr>
        <w:t>Kokkinakis c. Grèce</w:t>
      </w:r>
      <w:r w:rsidR="00064D09" w:rsidRPr="0070292F">
        <w:rPr>
          <w:rFonts w:asciiTheme="majorHAnsi" w:eastAsiaTheme="majorEastAsia" w:hAnsiTheme="majorHAnsi" w:cstheme="majorBidi"/>
          <w:lang w:val="fr-FR"/>
        </w:rPr>
        <w:t>, 25 mai 1993, §</w:t>
      </w:r>
      <w:r w:rsidR="006E67C3" w:rsidRPr="0070292F">
        <w:rPr>
          <w:rFonts w:asciiTheme="majorHAnsi" w:eastAsiaTheme="majorEastAsia" w:hAnsiTheme="majorHAnsi" w:cstheme="majorBidi"/>
          <w:lang w:val="fr-FR"/>
        </w:rPr>
        <w:t> </w:t>
      </w:r>
      <w:r w:rsidR="00064D09" w:rsidRPr="0070292F">
        <w:rPr>
          <w:rFonts w:asciiTheme="majorHAnsi" w:eastAsiaTheme="majorEastAsia" w:hAnsiTheme="majorHAnsi" w:cstheme="majorBidi"/>
          <w:lang w:val="fr-FR"/>
        </w:rPr>
        <w:t>40, série A n</w:t>
      </w:r>
      <w:r w:rsidR="008C1E94" w:rsidRPr="0070292F">
        <w:rPr>
          <w:rFonts w:asciiTheme="majorHAnsi" w:eastAsiaTheme="majorEastAsia" w:hAnsiTheme="majorHAnsi" w:cstheme="majorBidi"/>
          <w:vertAlign w:val="superscript"/>
          <w:lang w:val="fr-FR"/>
        </w:rPr>
        <w:t>o</w:t>
      </w:r>
      <w:r w:rsidR="00064D09" w:rsidRPr="0070292F">
        <w:rPr>
          <w:lang w:val="fr-FR"/>
        </w:rPr>
        <w:t> </w:t>
      </w:r>
      <w:r w:rsidR="00064D09" w:rsidRPr="0070292F">
        <w:rPr>
          <w:rFonts w:asciiTheme="majorHAnsi" w:eastAsiaTheme="majorEastAsia" w:hAnsiTheme="majorHAnsi" w:cstheme="majorBidi"/>
          <w:lang w:val="fr-FR"/>
        </w:rPr>
        <w:t xml:space="preserve">260-A, </w:t>
      </w:r>
      <w:r w:rsidR="00064D09" w:rsidRPr="0070292F">
        <w:rPr>
          <w:rFonts w:asciiTheme="majorHAnsi" w:eastAsiaTheme="majorEastAsia" w:hAnsiTheme="majorHAnsi" w:cstheme="majorBidi"/>
          <w:i/>
          <w:iCs/>
          <w:lang w:val="fr-FR"/>
        </w:rPr>
        <w:t>Rekvényi c. Hongrie</w:t>
      </w:r>
      <w:r w:rsidR="00064D09" w:rsidRPr="0070292F">
        <w:rPr>
          <w:rFonts w:asciiTheme="majorHAnsi" w:eastAsiaTheme="majorEastAsia" w:hAnsiTheme="majorHAnsi" w:cstheme="majorBidi"/>
          <w:i/>
          <w:lang w:val="fr-FR"/>
        </w:rPr>
        <w:t xml:space="preserve"> </w:t>
      </w:r>
      <w:r w:rsidR="00064D09" w:rsidRPr="0070292F">
        <w:rPr>
          <w:rFonts w:asciiTheme="majorHAnsi" w:eastAsiaTheme="majorEastAsia" w:hAnsiTheme="majorHAnsi" w:cstheme="majorBidi"/>
          <w:lang w:val="fr-FR"/>
        </w:rPr>
        <w:t>[GC], n</w:t>
      </w:r>
      <w:r w:rsidR="008C1E94" w:rsidRPr="0070292F">
        <w:rPr>
          <w:rFonts w:asciiTheme="majorHAnsi" w:eastAsiaTheme="majorEastAsia" w:hAnsiTheme="majorHAnsi" w:cstheme="majorBidi"/>
          <w:vertAlign w:val="superscript"/>
          <w:lang w:val="fr-FR"/>
        </w:rPr>
        <w:t>o</w:t>
      </w:r>
      <w:r w:rsidR="00064D09" w:rsidRPr="0070292F">
        <w:rPr>
          <w:rFonts w:asciiTheme="majorHAnsi" w:eastAsiaTheme="majorEastAsia" w:hAnsiTheme="majorHAnsi" w:cstheme="majorBidi"/>
          <w:lang w:val="fr-FR"/>
        </w:rPr>
        <w:t xml:space="preserve"> </w:t>
      </w:r>
      <w:hyperlink r:id="rId24" w:anchor="%7B%22appno%22:%5B%2225390/94%22%5D%7D" w:history="1">
        <w:r w:rsidR="00064D09" w:rsidRPr="0070292F">
          <w:rPr>
            <w:rStyle w:val="Collegamentoipertestuale"/>
            <w:color w:val="auto"/>
            <w:szCs w:val="24"/>
            <w:u w:val="none"/>
            <w:lang w:val="fr-FR"/>
          </w:rPr>
          <w:t>25390/94</w:t>
        </w:r>
      </w:hyperlink>
      <w:r w:rsidR="00064D09" w:rsidRPr="0070292F">
        <w:rPr>
          <w:rFonts w:asciiTheme="majorHAnsi" w:eastAsiaTheme="majorEastAsia" w:hAnsiTheme="majorHAnsi" w:cstheme="majorBidi"/>
          <w:lang w:val="fr-FR"/>
        </w:rPr>
        <w:t>, § 34, CEDH 1999</w:t>
      </w:r>
      <w:r w:rsidR="00064D09" w:rsidRPr="0070292F">
        <w:rPr>
          <w:rFonts w:asciiTheme="majorHAnsi" w:eastAsiaTheme="majorEastAsia" w:hAnsiTheme="majorHAnsi" w:cstheme="majorBidi"/>
          <w:lang w:val="fr-FR"/>
        </w:rPr>
        <w:noBreakHyphen/>
        <w:t>III</w:t>
      </w:r>
      <w:r w:rsidR="00743AEB" w:rsidRPr="0070292F">
        <w:rPr>
          <w:rFonts w:asciiTheme="majorHAnsi" w:eastAsiaTheme="majorEastAsia" w:hAnsiTheme="majorHAnsi" w:cstheme="majorBidi"/>
          <w:lang w:val="fr-FR"/>
        </w:rPr>
        <w:t xml:space="preserve">, et </w:t>
      </w:r>
      <w:r w:rsidR="00064D09" w:rsidRPr="0070292F">
        <w:rPr>
          <w:i/>
          <w:lang w:val="fr-FR"/>
        </w:rPr>
        <w:t xml:space="preserve">Centro Europa 7 </w:t>
      </w:r>
      <w:r w:rsidR="00064D09" w:rsidRPr="0070292F">
        <w:rPr>
          <w:i/>
          <w:snapToGrid w:val="0"/>
          <w:lang w:val="fr-FR"/>
        </w:rPr>
        <w:t>S.r.l.</w:t>
      </w:r>
      <w:r w:rsidR="00064D09" w:rsidRPr="0070292F">
        <w:rPr>
          <w:i/>
          <w:lang w:val="fr-FR"/>
        </w:rPr>
        <w:t xml:space="preserve"> et Di Stefano, </w:t>
      </w:r>
      <w:r w:rsidR="00064D09" w:rsidRPr="0070292F">
        <w:rPr>
          <w:lang w:val="fr-FR"/>
        </w:rPr>
        <w:t>pr</w:t>
      </w:r>
      <w:r w:rsidR="00064D09" w:rsidRPr="0070292F">
        <w:rPr>
          <w:rFonts w:cstheme="minorHAnsi"/>
          <w:lang w:val="fr-FR"/>
        </w:rPr>
        <w:t>é</w:t>
      </w:r>
      <w:r w:rsidR="00064D09" w:rsidRPr="0070292F">
        <w:rPr>
          <w:lang w:val="fr-FR"/>
        </w:rPr>
        <w:t>cit</w:t>
      </w:r>
      <w:r w:rsidR="00064D09" w:rsidRPr="0070292F">
        <w:rPr>
          <w:rFonts w:cstheme="minorHAnsi"/>
          <w:lang w:val="fr-FR"/>
        </w:rPr>
        <w:t>é</w:t>
      </w:r>
      <w:r w:rsidR="00064D09" w:rsidRPr="0070292F">
        <w:rPr>
          <w:rFonts w:asciiTheme="majorHAnsi" w:eastAsiaTheme="majorEastAsia" w:hAnsiTheme="majorHAnsi" w:cstheme="majorBidi"/>
          <w:lang w:val="fr-FR"/>
        </w:rPr>
        <w:t xml:space="preserve">, </w:t>
      </w:r>
      <w:r w:rsidR="00064D09" w:rsidRPr="0070292F">
        <w:rPr>
          <w:rFonts w:asciiTheme="majorHAnsi" w:eastAsiaTheme="majorEastAsia" w:hAnsiTheme="majorHAnsi" w:cstheme="majorHAnsi"/>
          <w:lang w:val="fr-FR"/>
        </w:rPr>
        <w:t>§</w:t>
      </w:r>
      <w:r w:rsidR="006B5139" w:rsidRPr="0070292F">
        <w:rPr>
          <w:rFonts w:asciiTheme="majorHAnsi" w:eastAsiaTheme="majorEastAsia" w:hAnsiTheme="majorHAnsi" w:cstheme="majorHAnsi"/>
          <w:lang w:val="fr-FR"/>
        </w:rPr>
        <w:t xml:space="preserve"> </w:t>
      </w:r>
      <w:r w:rsidR="00064D09" w:rsidRPr="0070292F">
        <w:rPr>
          <w:rFonts w:asciiTheme="majorHAnsi" w:eastAsiaTheme="majorEastAsia" w:hAnsiTheme="majorHAnsi" w:cstheme="majorBidi"/>
          <w:lang w:val="fr-FR"/>
        </w:rPr>
        <w:t>141).</w:t>
      </w:r>
    </w:p>
    <w:p w:rsidR="00F806C2" w:rsidRPr="0070292F" w:rsidRDefault="00F806C2" w:rsidP="0070292F">
      <w:pPr>
        <w:pStyle w:val="ECHRPara"/>
        <w:rPr>
          <w:rFonts w:asciiTheme="majorHAnsi" w:eastAsiaTheme="majorEastAsia" w:hAnsiTheme="majorHAnsi" w:cstheme="majorBidi"/>
          <w:sz w:val="20"/>
          <w:lang w:val="fr-FR"/>
        </w:rPr>
      </w:pPr>
      <w:r w:rsidRPr="0070292F">
        <w:rPr>
          <w:rFonts w:asciiTheme="majorHAnsi" w:eastAsiaTheme="majorEastAsia" w:hAnsiTheme="majorHAnsi" w:cstheme="majorBidi"/>
          <w:lang w:val="fr-FR"/>
        </w:rPr>
        <w:fldChar w:fldCharType="begin"/>
      </w:r>
      <w:r w:rsidRPr="0070292F">
        <w:rPr>
          <w:rFonts w:asciiTheme="majorHAnsi" w:eastAsiaTheme="majorEastAsia" w:hAnsiTheme="majorHAnsi" w:cstheme="majorBidi"/>
          <w:lang w:val="fr-FR"/>
        </w:rPr>
        <w:instrText xml:space="preserve"> SEQ level0 \*arabic </w:instrText>
      </w:r>
      <w:r w:rsidRPr="0070292F">
        <w:rPr>
          <w:rFonts w:asciiTheme="majorHAnsi" w:eastAsiaTheme="majorEastAsia" w:hAnsiTheme="majorHAnsi" w:cstheme="majorBidi"/>
          <w:lang w:val="fr-FR"/>
        </w:rPr>
        <w:fldChar w:fldCharType="separate"/>
      </w:r>
      <w:r w:rsidR="0070292F" w:rsidRPr="0070292F">
        <w:rPr>
          <w:rFonts w:asciiTheme="majorHAnsi" w:eastAsiaTheme="majorEastAsia" w:hAnsiTheme="majorHAnsi" w:cstheme="majorBidi"/>
          <w:noProof/>
          <w:lang w:val="fr-FR"/>
        </w:rPr>
        <w:t>108</w:t>
      </w:r>
      <w:r w:rsidRPr="0070292F">
        <w:rPr>
          <w:rFonts w:asciiTheme="majorHAnsi" w:eastAsiaTheme="majorEastAsia" w:hAnsiTheme="majorHAnsi" w:cstheme="majorBidi"/>
          <w:lang w:val="fr-FR"/>
        </w:rPr>
        <w:fldChar w:fldCharType="end"/>
      </w:r>
      <w:r w:rsidRPr="0070292F">
        <w:rPr>
          <w:rFonts w:asciiTheme="majorHAnsi" w:eastAsiaTheme="majorEastAsia" w:hAnsiTheme="majorHAnsi" w:cstheme="majorBidi"/>
          <w:lang w:val="fr-FR"/>
        </w:rPr>
        <w:t>.  Le niveau de précision de la législation interne –</w:t>
      </w:r>
      <w:r w:rsidR="00743AEB" w:rsidRPr="0070292F">
        <w:rPr>
          <w:rFonts w:asciiTheme="majorHAnsi" w:eastAsiaTheme="majorEastAsia" w:hAnsiTheme="majorHAnsi" w:cstheme="majorBidi"/>
          <w:lang w:val="fr-FR"/>
        </w:rPr>
        <w:t> </w:t>
      </w:r>
      <w:r w:rsidRPr="0070292F">
        <w:rPr>
          <w:rFonts w:asciiTheme="majorHAnsi" w:eastAsiaTheme="majorEastAsia" w:hAnsiTheme="majorHAnsi" w:cstheme="majorBidi"/>
          <w:lang w:val="fr-FR"/>
        </w:rPr>
        <w:t>qui ne peut en aucun cas prévoir toutes les hypothèses</w:t>
      </w:r>
      <w:r w:rsidR="00743AEB" w:rsidRPr="0070292F">
        <w:rPr>
          <w:rFonts w:asciiTheme="majorHAnsi" w:eastAsiaTheme="majorEastAsia" w:hAnsiTheme="majorHAnsi" w:cstheme="majorBidi"/>
          <w:lang w:val="fr-FR"/>
        </w:rPr>
        <w:t> </w:t>
      </w:r>
      <w:r w:rsidRPr="0070292F">
        <w:rPr>
          <w:rFonts w:asciiTheme="majorHAnsi" w:eastAsiaTheme="majorEastAsia" w:hAnsiTheme="majorHAnsi" w:cstheme="majorBidi"/>
          <w:lang w:val="fr-FR"/>
        </w:rPr>
        <w:t>– dépend dans une large mesure du contenu de la loi en question, du domaine qu</w:t>
      </w:r>
      <w:r w:rsidR="0070292F" w:rsidRPr="0070292F">
        <w:rPr>
          <w:rFonts w:asciiTheme="majorHAnsi" w:eastAsiaTheme="majorEastAsia" w:hAnsiTheme="majorHAnsi" w:cstheme="majorBidi"/>
          <w:lang w:val="fr-FR"/>
        </w:rPr>
        <w:t>’</w:t>
      </w:r>
      <w:r w:rsidRPr="0070292F">
        <w:rPr>
          <w:rFonts w:asciiTheme="majorHAnsi" w:eastAsiaTheme="majorEastAsia" w:hAnsiTheme="majorHAnsi" w:cstheme="majorBidi"/>
          <w:lang w:val="fr-FR"/>
        </w:rPr>
        <w:t>elle est censée couvrir et du nombre et du statut de ceux à qui elle est adressée (</w:t>
      </w:r>
      <w:r w:rsidRPr="0070292F">
        <w:rPr>
          <w:rFonts w:asciiTheme="majorHAnsi" w:eastAsiaTheme="majorEastAsia" w:hAnsiTheme="majorHAnsi" w:cstheme="majorBidi"/>
          <w:i/>
          <w:lang w:val="fr-FR"/>
        </w:rPr>
        <w:t>RTBF c. Belgique</w:t>
      </w:r>
      <w:r w:rsidRPr="0070292F">
        <w:rPr>
          <w:rFonts w:asciiTheme="majorHAnsi" w:eastAsiaTheme="majorEastAsia" w:hAnsiTheme="majorHAnsi" w:cstheme="majorBidi"/>
          <w:lang w:val="fr-FR"/>
        </w:rPr>
        <w:t>, n</w:t>
      </w:r>
      <w:r w:rsidRPr="0070292F">
        <w:rPr>
          <w:rFonts w:asciiTheme="majorHAnsi" w:eastAsiaTheme="majorEastAsia" w:hAnsiTheme="majorHAnsi" w:cstheme="majorBidi"/>
          <w:vertAlign w:val="superscript"/>
          <w:lang w:val="fr-FR"/>
        </w:rPr>
        <w:t>o</w:t>
      </w:r>
      <w:r w:rsidRPr="0070292F">
        <w:rPr>
          <w:rFonts w:asciiTheme="majorHAnsi" w:eastAsiaTheme="majorEastAsia" w:hAnsiTheme="majorHAnsi" w:cstheme="majorBidi"/>
          <w:lang w:val="fr-FR"/>
        </w:rPr>
        <w:t xml:space="preserve"> 50084/06, § 104, CEDH 2011, </w:t>
      </w:r>
      <w:r w:rsidRPr="0070292F">
        <w:rPr>
          <w:rFonts w:asciiTheme="majorHAnsi" w:eastAsiaTheme="majorEastAsia" w:hAnsiTheme="majorHAnsi" w:cstheme="majorBidi"/>
          <w:i/>
          <w:iCs/>
          <w:lang w:val="fr-FR"/>
        </w:rPr>
        <w:t>Rekvényi</w:t>
      </w:r>
      <w:r w:rsidRPr="0070292F">
        <w:rPr>
          <w:rFonts w:asciiTheme="majorHAnsi" w:eastAsiaTheme="majorEastAsia" w:hAnsiTheme="majorHAnsi" w:cstheme="majorBidi"/>
          <w:lang w:val="fr-FR"/>
        </w:rPr>
        <w:t>,</w:t>
      </w:r>
      <w:r w:rsidRPr="0070292F">
        <w:rPr>
          <w:rFonts w:asciiTheme="majorHAnsi" w:eastAsiaTheme="majorEastAsia" w:hAnsiTheme="majorHAnsi" w:cstheme="majorBidi"/>
          <w:iCs/>
          <w:lang w:val="fr-FR"/>
        </w:rPr>
        <w:t xml:space="preserve"> </w:t>
      </w:r>
      <w:r w:rsidRPr="0070292F">
        <w:rPr>
          <w:rFonts w:asciiTheme="majorHAnsi" w:eastAsiaTheme="majorEastAsia" w:hAnsiTheme="majorHAnsi" w:cstheme="majorBidi"/>
          <w:lang w:val="fr-FR"/>
        </w:rPr>
        <w:t xml:space="preserve">précité, § 34, </w:t>
      </w:r>
      <w:r w:rsidRPr="0070292F">
        <w:rPr>
          <w:rFonts w:asciiTheme="majorHAnsi" w:eastAsiaTheme="majorEastAsia" w:hAnsiTheme="majorHAnsi" w:cstheme="majorBidi"/>
          <w:i/>
          <w:iCs/>
          <w:lang w:val="fr-FR"/>
        </w:rPr>
        <w:t>Vogt c.</w:t>
      </w:r>
      <w:r w:rsidR="00743AEB" w:rsidRPr="0070292F">
        <w:rPr>
          <w:rFonts w:asciiTheme="majorHAnsi" w:eastAsiaTheme="majorEastAsia" w:hAnsiTheme="majorHAnsi" w:cstheme="majorBidi"/>
          <w:i/>
          <w:iCs/>
          <w:lang w:val="fr-FR"/>
        </w:rPr>
        <w:t> </w:t>
      </w:r>
      <w:r w:rsidRPr="0070292F">
        <w:rPr>
          <w:rFonts w:asciiTheme="majorHAnsi" w:eastAsiaTheme="majorEastAsia" w:hAnsiTheme="majorHAnsi" w:cstheme="majorBidi"/>
          <w:i/>
          <w:iCs/>
          <w:lang w:val="fr-FR"/>
        </w:rPr>
        <w:t>Allemagne</w:t>
      </w:r>
      <w:r w:rsidRPr="0070292F">
        <w:rPr>
          <w:rFonts w:asciiTheme="majorHAnsi" w:eastAsiaTheme="majorEastAsia" w:hAnsiTheme="majorHAnsi" w:cstheme="majorBidi"/>
          <w:lang w:val="fr-FR"/>
        </w:rPr>
        <w:t>, 26</w:t>
      </w:r>
      <w:r w:rsidR="00BA5160" w:rsidRPr="0070292F">
        <w:rPr>
          <w:lang w:val="fr-FR"/>
        </w:rPr>
        <w:t> </w:t>
      </w:r>
      <w:r w:rsidRPr="0070292F">
        <w:rPr>
          <w:rFonts w:asciiTheme="majorHAnsi" w:eastAsiaTheme="majorEastAsia" w:hAnsiTheme="majorHAnsi" w:cstheme="majorBidi"/>
          <w:lang w:val="fr-FR"/>
        </w:rPr>
        <w:t>septembre 1995, § 48, série A n</w:t>
      </w:r>
      <w:r w:rsidRPr="0070292F">
        <w:rPr>
          <w:rFonts w:asciiTheme="majorHAnsi" w:eastAsiaTheme="majorEastAsia" w:hAnsiTheme="majorHAnsi" w:cstheme="majorBidi"/>
          <w:vertAlign w:val="superscript"/>
          <w:lang w:val="fr-FR"/>
        </w:rPr>
        <w:t>o</w:t>
      </w:r>
      <w:r w:rsidRPr="0070292F">
        <w:rPr>
          <w:rFonts w:asciiTheme="majorHAnsi" w:eastAsiaTheme="majorEastAsia" w:hAnsiTheme="majorHAnsi" w:cstheme="majorBidi"/>
          <w:lang w:val="fr-FR"/>
        </w:rPr>
        <w:t xml:space="preserve"> 323</w:t>
      </w:r>
      <w:r w:rsidR="004C33F7" w:rsidRPr="0070292F">
        <w:rPr>
          <w:rFonts w:asciiTheme="majorHAnsi" w:eastAsiaTheme="majorEastAsia" w:hAnsiTheme="majorHAnsi" w:cstheme="majorBidi"/>
          <w:lang w:val="fr-FR"/>
        </w:rPr>
        <w:t>,</w:t>
      </w:r>
      <w:r w:rsidR="000B063D" w:rsidRPr="0070292F">
        <w:rPr>
          <w:rFonts w:asciiTheme="majorHAnsi" w:eastAsiaTheme="majorEastAsia" w:hAnsiTheme="majorHAnsi" w:cstheme="majorBidi"/>
          <w:sz w:val="20"/>
          <w:lang w:val="fr-FR"/>
        </w:rPr>
        <w:t xml:space="preserve"> </w:t>
      </w:r>
      <w:r w:rsidR="000B063D" w:rsidRPr="0070292F">
        <w:rPr>
          <w:rFonts w:asciiTheme="majorHAnsi" w:eastAsiaTheme="majorEastAsia" w:hAnsiTheme="majorHAnsi" w:cstheme="majorBidi"/>
          <w:lang w:val="fr-FR"/>
        </w:rPr>
        <w:t>et</w:t>
      </w:r>
      <w:r w:rsidR="000E0A3B" w:rsidRPr="0070292F">
        <w:rPr>
          <w:rFonts w:asciiTheme="majorHAnsi" w:eastAsiaTheme="majorEastAsia" w:hAnsiTheme="majorHAnsi" w:cstheme="majorBidi"/>
          <w:sz w:val="20"/>
          <w:lang w:val="fr-FR"/>
        </w:rPr>
        <w:t xml:space="preserve"> </w:t>
      </w:r>
      <w:r w:rsidR="0070292F" w:rsidRPr="0070292F">
        <w:rPr>
          <w:i/>
          <w:lang w:val="fr-FR"/>
        </w:rPr>
        <w:t>Centro Europa 7 S.r.l. et </w:t>
      </w:r>
      <w:r w:rsidR="000E0A3B" w:rsidRPr="0070292F">
        <w:rPr>
          <w:i/>
          <w:lang w:val="fr-FR"/>
        </w:rPr>
        <w:t>D</w:t>
      </w:r>
      <w:r w:rsidR="0070292F" w:rsidRPr="0070292F">
        <w:rPr>
          <w:i/>
          <w:lang w:val="fr-FR"/>
        </w:rPr>
        <w:t>i </w:t>
      </w:r>
      <w:r w:rsidR="000E0A3B" w:rsidRPr="0070292F">
        <w:rPr>
          <w:i/>
          <w:lang w:val="fr-FR"/>
        </w:rPr>
        <w:t>Stefano</w:t>
      </w:r>
      <w:r w:rsidR="000E0A3B" w:rsidRPr="0070292F">
        <w:rPr>
          <w:lang w:val="fr-FR"/>
        </w:rPr>
        <w:t>, précité</w:t>
      </w:r>
      <w:r w:rsidR="004C33F7" w:rsidRPr="0070292F">
        <w:rPr>
          <w:lang w:val="fr-FR"/>
        </w:rPr>
        <w:t>,</w:t>
      </w:r>
      <w:r w:rsidR="000E0A3B" w:rsidRPr="0070292F">
        <w:rPr>
          <w:lang w:val="fr-FR"/>
        </w:rPr>
        <w:t xml:space="preserve"> § </w:t>
      </w:r>
      <w:r w:rsidRPr="0070292F">
        <w:rPr>
          <w:lang w:val="fr-FR"/>
        </w:rPr>
        <w:t>142). D</w:t>
      </w:r>
      <w:r w:rsidR="0070292F" w:rsidRPr="0070292F">
        <w:rPr>
          <w:lang w:val="fr-FR"/>
        </w:rPr>
        <w:t>’</w:t>
      </w:r>
      <w:r w:rsidRPr="0070292F">
        <w:rPr>
          <w:lang w:val="fr-FR"/>
        </w:rPr>
        <w:t>autre part, il incombe au premier chef aux autorités nationales d</w:t>
      </w:r>
      <w:r w:rsidR="0070292F" w:rsidRPr="0070292F">
        <w:rPr>
          <w:lang w:val="fr-FR"/>
        </w:rPr>
        <w:t>’</w:t>
      </w:r>
      <w:r w:rsidRPr="0070292F">
        <w:rPr>
          <w:lang w:val="fr-FR"/>
        </w:rPr>
        <w:t>interpréter et d</w:t>
      </w:r>
      <w:r w:rsidR="0070292F" w:rsidRPr="0070292F">
        <w:rPr>
          <w:lang w:val="fr-FR"/>
        </w:rPr>
        <w:t>’</w:t>
      </w:r>
      <w:r w:rsidRPr="0070292F">
        <w:rPr>
          <w:lang w:val="fr-FR"/>
        </w:rPr>
        <w:t>appliquer le droit interne</w:t>
      </w:r>
      <w:r w:rsidR="000828F7" w:rsidRPr="0070292F">
        <w:rPr>
          <w:lang w:val="fr-FR"/>
        </w:rPr>
        <w:t xml:space="preserve"> (</w:t>
      </w:r>
      <w:r w:rsidR="000E0A3B" w:rsidRPr="0070292F">
        <w:rPr>
          <w:i/>
          <w:lang w:val="fr-FR"/>
        </w:rPr>
        <w:t>Khlyustov</w:t>
      </w:r>
      <w:r w:rsidR="000E0A3B" w:rsidRPr="0070292F">
        <w:rPr>
          <w:lang w:val="fr-FR"/>
        </w:rPr>
        <w:t>, précité</w:t>
      </w:r>
      <w:r w:rsidR="00743AEB" w:rsidRPr="0070292F">
        <w:rPr>
          <w:lang w:val="fr-FR"/>
        </w:rPr>
        <w:t>,</w:t>
      </w:r>
      <w:r w:rsidR="000E0A3B" w:rsidRPr="0070292F">
        <w:rPr>
          <w:lang w:val="fr-FR"/>
        </w:rPr>
        <w:t xml:space="preserve"> </w:t>
      </w:r>
      <w:r w:rsidRPr="0070292F">
        <w:rPr>
          <w:lang w:val="fr-FR"/>
        </w:rPr>
        <w:t>§</w:t>
      </w:r>
      <w:r w:rsidR="00277E54" w:rsidRPr="0070292F">
        <w:rPr>
          <w:lang w:val="fr-FR"/>
        </w:rPr>
        <w:t>§ 68-69</w:t>
      </w:r>
      <w:r w:rsidRPr="0070292F">
        <w:rPr>
          <w:lang w:val="fr-FR"/>
        </w:rPr>
        <w:t>)</w:t>
      </w:r>
      <w:r w:rsidR="00BA5160" w:rsidRPr="0070292F">
        <w:rPr>
          <w:lang w:val="fr-FR"/>
        </w:rPr>
        <w:t>.</w:t>
      </w:r>
    </w:p>
    <w:p w:rsidR="0070292F" w:rsidRPr="0070292F" w:rsidRDefault="00F806C2" w:rsidP="0070292F">
      <w:pPr>
        <w:pStyle w:val="ECHRPara"/>
        <w:rPr>
          <w:rFonts w:asciiTheme="majorHAnsi" w:eastAsiaTheme="majorEastAsia" w:hAnsiTheme="majorHAnsi" w:cstheme="majorBidi"/>
          <w:szCs w:val="24"/>
          <w:lang w:val="fr-FR"/>
        </w:rPr>
      </w:pPr>
      <w:r w:rsidRPr="0070292F">
        <w:rPr>
          <w:szCs w:val="24"/>
        </w:rPr>
        <w:fldChar w:fldCharType="begin"/>
      </w:r>
      <w:r w:rsidRPr="0070292F">
        <w:rPr>
          <w:szCs w:val="24"/>
          <w:lang w:val="fr-FR"/>
        </w:rPr>
        <w:instrText xml:space="preserve"> SEQ level0 \*arabic </w:instrText>
      </w:r>
      <w:r w:rsidRPr="0070292F">
        <w:rPr>
          <w:szCs w:val="24"/>
        </w:rPr>
        <w:fldChar w:fldCharType="separate"/>
      </w:r>
      <w:r w:rsidR="0070292F" w:rsidRPr="0070292F">
        <w:rPr>
          <w:noProof/>
          <w:szCs w:val="24"/>
          <w:lang w:val="fr-FR"/>
        </w:rPr>
        <w:t>109</w:t>
      </w:r>
      <w:r w:rsidRPr="0070292F">
        <w:rPr>
          <w:szCs w:val="24"/>
        </w:rPr>
        <w:fldChar w:fldCharType="end"/>
      </w:r>
      <w:r w:rsidRPr="0070292F">
        <w:rPr>
          <w:szCs w:val="24"/>
          <w:lang w:val="fr-FR"/>
        </w:rPr>
        <w:t>.  </w:t>
      </w:r>
      <w:r w:rsidRPr="0070292F">
        <w:rPr>
          <w:rFonts w:eastAsiaTheme="majorEastAsia"/>
          <w:szCs w:val="24"/>
          <w:lang w:val="fr-FR"/>
        </w:rPr>
        <w:t xml:space="preserve">La Cour rappelle </w:t>
      </w:r>
      <w:r w:rsidR="00C70673" w:rsidRPr="0070292F">
        <w:rPr>
          <w:rFonts w:eastAsiaTheme="majorEastAsia"/>
          <w:szCs w:val="24"/>
          <w:lang w:val="fr-FR"/>
        </w:rPr>
        <w:t>qu</w:t>
      </w:r>
      <w:r w:rsidR="0070292F" w:rsidRPr="0070292F">
        <w:rPr>
          <w:rFonts w:eastAsiaTheme="majorEastAsia"/>
          <w:szCs w:val="24"/>
          <w:lang w:val="fr-FR"/>
        </w:rPr>
        <w:t>’</w:t>
      </w:r>
      <w:r w:rsidR="00EA5852" w:rsidRPr="0070292F">
        <w:rPr>
          <w:rFonts w:eastAsiaTheme="majorEastAsia"/>
          <w:szCs w:val="24"/>
          <w:lang w:val="fr-FR"/>
        </w:rPr>
        <w:t>une norme est « prévisible » lorsqu</w:t>
      </w:r>
      <w:r w:rsidR="0070292F" w:rsidRPr="0070292F">
        <w:rPr>
          <w:rFonts w:eastAsiaTheme="majorEastAsia"/>
          <w:szCs w:val="24"/>
          <w:lang w:val="fr-FR"/>
        </w:rPr>
        <w:t>’</w:t>
      </w:r>
      <w:r w:rsidR="00EA5852" w:rsidRPr="0070292F">
        <w:rPr>
          <w:rFonts w:eastAsiaTheme="majorEastAsia"/>
          <w:szCs w:val="24"/>
          <w:lang w:val="fr-FR"/>
        </w:rPr>
        <w:t>elle offre une certaine garantie contre des atteintes arbitraires de la puissance publique (</w:t>
      </w:r>
      <w:r w:rsidR="00EA5852" w:rsidRPr="0070292F">
        <w:rPr>
          <w:rFonts w:eastAsiaTheme="majorEastAsia"/>
          <w:i/>
          <w:szCs w:val="24"/>
          <w:lang w:val="fr-FR"/>
        </w:rPr>
        <w:t xml:space="preserve">Centro Europa 7 S.r.l. et Di Stefano, </w:t>
      </w:r>
      <w:r w:rsidR="00EA5852" w:rsidRPr="0070292F">
        <w:rPr>
          <w:rFonts w:eastAsiaTheme="majorEastAsia"/>
          <w:szCs w:val="24"/>
          <w:lang w:val="fr-FR"/>
        </w:rPr>
        <w:t>précité, § 143</w:t>
      </w:r>
      <w:r w:rsidR="002837F4" w:rsidRPr="0070292F">
        <w:rPr>
          <w:rFonts w:eastAsiaTheme="majorEastAsia"/>
          <w:szCs w:val="24"/>
          <w:lang w:val="fr-FR"/>
        </w:rPr>
        <w:t xml:space="preserve"> ; </w:t>
      </w:r>
      <w:r w:rsidR="002837F4" w:rsidRPr="0070292F">
        <w:rPr>
          <w:rFonts w:eastAsiaTheme="majorEastAsia"/>
          <w:i/>
          <w:szCs w:val="24"/>
          <w:lang w:val="fr-FR"/>
        </w:rPr>
        <w:t>Khlyustov</w:t>
      </w:r>
      <w:r w:rsidR="002837F4" w:rsidRPr="0070292F">
        <w:rPr>
          <w:rFonts w:eastAsiaTheme="majorEastAsia"/>
          <w:szCs w:val="24"/>
          <w:lang w:val="fr-FR"/>
        </w:rPr>
        <w:t>, précité, §</w:t>
      </w:r>
      <w:r w:rsidR="006E67C3" w:rsidRPr="0070292F">
        <w:rPr>
          <w:rFonts w:eastAsiaTheme="majorEastAsia"/>
          <w:szCs w:val="24"/>
          <w:lang w:val="fr-FR"/>
        </w:rPr>
        <w:t> </w:t>
      </w:r>
      <w:r w:rsidR="002837F4" w:rsidRPr="0070292F">
        <w:rPr>
          <w:rFonts w:eastAsiaTheme="majorEastAsia"/>
          <w:szCs w:val="24"/>
          <w:lang w:val="fr-FR"/>
        </w:rPr>
        <w:t>70</w:t>
      </w:r>
      <w:r w:rsidR="00EA5852" w:rsidRPr="0070292F">
        <w:rPr>
          <w:rFonts w:eastAsiaTheme="majorEastAsia"/>
          <w:szCs w:val="24"/>
          <w:lang w:val="fr-FR"/>
        </w:rPr>
        <w:t>)</w:t>
      </w:r>
      <w:r w:rsidR="00990698" w:rsidRPr="0070292F">
        <w:rPr>
          <w:rFonts w:eastAsiaTheme="majorEastAsia"/>
          <w:szCs w:val="24"/>
          <w:lang w:val="fr-FR"/>
        </w:rPr>
        <w:t>.</w:t>
      </w:r>
      <w:r w:rsidR="00DD4376" w:rsidRPr="0070292F">
        <w:rPr>
          <w:szCs w:val="24"/>
          <w:lang w:val="fr-FR"/>
        </w:rPr>
        <w:t xml:space="preserve"> </w:t>
      </w:r>
      <w:r w:rsidR="00347694" w:rsidRPr="0070292F">
        <w:rPr>
          <w:szCs w:val="24"/>
          <w:lang w:val="fr-FR"/>
        </w:rPr>
        <w:t>Une loi conférant un pouvoir d</w:t>
      </w:r>
      <w:r w:rsidR="0070292F" w:rsidRPr="0070292F">
        <w:rPr>
          <w:szCs w:val="24"/>
          <w:lang w:val="fr-FR"/>
        </w:rPr>
        <w:t>’</w:t>
      </w:r>
      <w:r w:rsidR="00347694" w:rsidRPr="0070292F">
        <w:rPr>
          <w:szCs w:val="24"/>
          <w:lang w:val="fr-FR"/>
        </w:rPr>
        <w:t>appréciation doit en fixer la portée</w:t>
      </w:r>
      <w:r w:rsidR="00743AEB" w:rsidRPr="0070292F">
        <w:rPr>
          <w:szCs w:val="24"/>
          <w:lang w:val="fr-FR"/>
        </w:rPr>
        <w:t xml:space="preserve">, bien que le détail des </w:t>
      </w:r>
      <w:r w:rsidR="00924C56" w:rsidRPr="0070292F">
        <w:rPr>
          <w:szCs w:val="24"/>
          <w:lang w:val="fr-FR"/>
        </w:rPr>
        <w:t xml:space="preserve">normes et procédures à observer </w:t>
      </w:r>
      <w:r w:rsidR="00743AEB" w:rsidRPr="0070292F">
        <w:rPr>
          <w:szCs w:val="24"/>
          <w:lang w:val="fr-FR"/>
        </w:rPr>
        <w:t>n</w:t>
      </w:r>
      <w:r w:rsidR="0070292F" w:rsidRPr="0070292F">
        <w:rPr>
          <w:szCs w:val="24"/>
          <w:lang w:val="fr-FR"/>
        </w:rPr>
        <w:t>’</w:t>
      </w:r>
      <w:r w:rsidR="00743AEB" w:rsidRPr="0070292F">
        <w:rPr>
          <w:szCs w:val="24"/>
          <w:lang w:val="fr-FR"/>
        </w:rPr>
        <w:t>ait pas besoin de</w:t>
      </w:r>
      <w:r w:rsidR="00924C56" w:rsidRPr="0070292F">
        <w:rPr>
          <w:szCs w:val="24"/>
          <w:lang w:val="fr-FR"/>
        </w:rPr>
        <w:t xml:space="preserve"> figure</w:t>
      </w:r>
      <w:r w:rsidR="006964C8" w:rsidRPr="0070292F">
        <w:rPr>
          <w:szCs w:val="24"/>
          <w:lang w:val="fr-FR"/>
        </w:rPr>
        <w:t>r dans la législation elle</w:t>
      </w:r>
      <w:r w:rsidR="004C33F7" w:rsidRPr="0070292F">
        <w:rPr>
          <w:szCs w:val="24"/>
          <w:lang w:val="fr-FR"/>
        </w:rPr>
        <w:noBreakHyphen/>
      </w:r>
      <w:r w:rsidR="006964C8" w:rsidRPr="0070292F">
        <w:rPr>
          <w:szCs w:val="24"/>
          <w:lang w:val="fr-FR"/>
        </w:rPr>
        <w:t>même</w:t>
      </w:r>
      <w:r w:rsidR="00924C56" w:rsidRPr="0070292F">
        <w:rPr>
          <w:rFonts w:asciiTheme="majorHAnsi" w:eastAsiaTheme="majorEastAsia" w:hAnsiTheme="majorHAnsi" w:cstheme="majorBidi"/>
          <w:szCs w:val="24"/>
          <w:lang w:val="fr-FR"/>
        </w:rPr>
        <w:t xml:space="preserve"> </w:t>
      </w:r>
      <w:r w:rsidR="00C17F47" w:rsidRPr="0070292F">
        <w:rPr>
          <w:rFonts w:asciiTheme="majorHAnsi" w:eastAsiaTheme="majorEastAsia" w:hAnsiTheme="majorHAnsi" w:cstheme="majorBidi"/>
          <w:szCs w:val="24"/>
          <w:lang w:val="fr-FR"/>
        </w:rPr>
        <w:t>(</w:t>
      </w:r>
      <w:r w:rsidR="00C17F47" w:rsidRPr="0070292F">
        <w:rPr>
          <w:rFonts w:eastAsiaTheme="majorEastAsia"/>
          <w:i/>
          <w:szCs w:val="24"/>
          <w:lang w:val="fr-FR"/>
        </w:rPr>
        <w:t>Khlyustov</w:t>
      </w:r>
      <w:r w:rsidR="00C17F47" w:rsidRPr="0070292F">
        <w:rPr>
          <w:rFonts w:eastAsiaTheme="majorEastAsia"/>
          <w:szCs w:val="24"/>
          <w:lang w:val="fr-FR"/>
        </w:rPr>
        <w:t>, précité</w:t>
      </w:r>
      <w:r w:rsidR="00743AEB" w:rsidRPr="0070292F">
        <w:rPr>
          <w:rFonts w:eastAsiaTheme="majorEastAsia"/>
          <w:szCs w:val="24"/>
          <w:lang w:val="fr-FR"/>
        </w:rPr>
        <w:t>,</w:t>
      </w:r>
      <w:r w:rsidR="00C17F47" w:rsidRPr="0070292F">
        <w:rPr>
          <w:rFonts w:eastAsiaTheme="majorEastAsia"/>
          <w:szCs w:val="24"/>
          <w:lang w:val="fr-FR"/>
        </w:rPr>
        <w:t xml:space="preserve"> § 70</w:t>
      </w:r>
      <w:r w:rsidR="00743AEB" w:rsidRPr="0070292F">
        <w:rPr>
          <w:rFonts w:eastAsiaTheme="majorEastAsia"/>
          <w:szCs w:val="24"/>
          <w:lang w:val="fr-FR"/>
        </w:rPr>
        <w:t>, et</w:t>
      </w:r>
      <w:r w:rsidR="00C17F47" w:rsidRPr="0070292F">
        <w:rPr>
          <w:rFonts w:eastAsiaTheme="majorEastAsia"/>
          <w:szCs w:val="24"/>
          <w:lang w:val="fr-FR"/>
        </w:rPr>
        <w:t xml:space="preserve"> </w:t>
      </w:r>
      <w:r w:rsidR="0070292F" w:rsidRPr="0070292F">
        <w:rPr>
          <w:i/>
          <w:lang w:val="fr-FR"/>
        </w:rPr>
        <w:t>Silver et </w:t>
      </w:r>
      <w:r w:rsidR="00C17F47" w:rsidRPr="0070292F">
        <w:rPr>
          <w:i/>
          <w:lang w:val="fr-FR"/>
        </w:rPr>
        <w:t>autres c. Royaume-Uni</w:t>
      </w:r>
      <w:r w:rsidR="00C17F47" w:rsidRPr="0070292F">
        <w:rPr>
          <w:lang w:val="fr-FR"/>
        </w:rPr>
        <w:t>, 25 mars 1983, § 88, série A n</w:t>
      </w:r>
      <w:r w:rsidR="008C1E94" w:rsidRPr="0070292F">
        <w:rPr>
          <w:vertAlign w:val="superscript"/>
          <w:lang w:val="fr-FR"/>
        </w:rPr>
        <w:t>o</w:t>
      </w:r>
      <w:r w:rsidR="003A7E59" w:rsidRPr="0070292F">
        <w:rPr>
          <w:lang w:val="fr-FR"/>
        </w:rPr>
        <w:t> </w:t>
      </w:r>
      <w:r w:rsidR="002431AB" w:rsidRPr="0070292F">
        <w:rPr>
          <w:lang w:val="fr-FR"/>
        </w:rPr>
        <w:t>61</w:t>
      </w:r>
      <w:r w:rsidR="002431AB" w:rsidRPr="0070292F">
        <w:rPr>
          <w:rFonts w:asciiTheme="majorHAnsi" w:eastAsiaTheme="majorEastAsia" w:hAnsiTheme="majorHAnsi" w:cstheme="majorBidi"/>
          <w:szCs w:val="24"/>
          <w:lang w:val="fr-FR"/>
        </w:rPr>
        <w:t>)</w:t>
      </w:r>
      <w:r w:rsidR="00C17F47" w:rsidRPr="0070292F">
        <w:rPr>
          <w:rFonts w:asciiTheme="majorHAnsi" w:eastAsiaTheme="majorEastAsia" w:hAnsiTheme="majorHAnsi" w:cstheme="majorBidi"/>
          <w:szCs w:val="24"/>
          <w:lang w:val="fr-FR"/>
        </w:rPr>
        <w:t>.</w:t>
      </w:r>
    </w:p>
    <w:p w:rsidR="0025771F" w:rsidRPr="0070292F" w:rsidRDefault="009A3813" w:rsidP="0070292F">
      <w:pPr>
        <w:pStyle w:val="ECHRHeading5"/>
        <w:rPr>
          <w:lang w:val="fr-FR"/>
        </w:rPr>
      </w:pPr>
      <w:r w:rsidRPr="0070292F">
        <w:rPr>
          <w:lang w:val="fr-FR"/>
        </w:rPr>
        <w:lastRenderedPageBreak/>
        <w:t>ii</w:t>
      </w:r>
      <w:r w:rsidR="00AF4043" w:rsidRPr="0070292F">
        <w:rPr>
          <w:lang w:val="fr-FR"/>
        </w:rPr>
        <w:t>.</w:t>
      </w:r>
      <w:r w:rsidR="00BA5160" w:rsidRPr="0070292F">
        <w:rPr>
          <w:lang w:val="fr-FR"/>
        </w:rPr>
        <w:t>  </w:t>
      </w:r>
      <w:r w:rsidR="007503E6" w:rsidRPr="0070292F">
        <w:rPr>
          <w:lang w:val="fr-FR"/>
        </w:rPr>
        <w:t>Application de ces principes en l</w:t>
      </w:r>
      <w:r w:rsidR="0070292F" w:rsidRPr="0070292F">
        <w:rPr>
          <w:lang w:val="fr-FR"/>
        </w:rPr>
        <w:t>’</w:t>
      </w:r>
      <w:r w:rsidR="007503E6" w:rsidRPr="0070292F">
        <w:rPr>
          <w:lang w:val="fr-FR"/>
        </w:rPr>
        <w:t>espèce</w:t>
      </w:r>
    </w:p>
    <w:p w:rsidR="00950D65" w:rsidRPr="0070292F" w:rsidRDefault="00950D6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110</w:t>
      </w:r>
      <w:r w:rsidRPr="0070292F">
        <w:rPr>
          <w:lang w:val="fr-FR"/>
        </w:rPr>
        <w:fldChar w:fldCharType="end"/>
      </w:r>
      <w:r w:rsidRPr="0070292F">
        <w:rPr>
          <w:lang w:val="fr-FR"/>
        </w:rPr>
        <w:t>.  En l</w:t>
      </w:r>
      <w:r w:rsidR="0070292F" w:rsidRPr="0070292F">
        <w:rPr>
          <w:lang w:val="fr-FR"/>
        </w:rPr>
        <w:t>’</w:t>
      </w:r>
      <w:r w:rsidRPr="0070292F">
        <w:rPr>
          <w:lang w:val="fr-FR"/>
        </w:rPr>
        <w:t>espèce, la Cour relève que la loi n</w:t>
      </w:r>
      <w:r w:rsidR="008C1E94" w:rsidRPr="0070292F">
        <w:rPr>
          <w:vertAlign w:val="superscript"/>
          <w:lang w:val="fr-FR"/>
        </w:rPr>
        <w:t>o</w:t>
      </w:r>
      <w:r w:rsidRPr="0070292F">
        <w:rPr>
          <w:lang w:val="fr-FR"/>
        </w:rPr>
        <w:t xml:space="preserve"> 1423 de 1956, interprétée à la lumière des arrêts de la Cour constitutionnelle, est la disposition juridique qui a servi de fondement aux mesures de prévention personnelles appliquées au requérant. Elle conclut donc que lesdites mesures de prévention avaient une base légale en droit interne.</w:t>
      </w:r>
    </w:p>
    <w:p w:rsidR="00950D65" w:rsidRPr="0070292F" w:rsidRDefault="00950D65" w:rsidP="0070292F">
      <w:pPr>
        <w:pStyle w:val="ECHRPara"/>
        <w:rPr>
          <w:rFonts w:ascii="Times New Roman" w:eastAsia="Times New Roman" w:hAnsi="Times New Roman" w:cs="Times New Roman"/>
          <w:szCs w:val="20"/>
          <w:lang w:val="fr-FR" w:eastAsia="en-GB"/>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111</w:t>
      </w:r>
      <w:r w:rsidRPr="0070292F">
        <w:rPr>
          <w:lang w:val="fr-FR"/>
        </w:rPr>
        <w:fldChar w:fldCharType="end"/>
      </w:r>
      <w:r w:rsidRPr="0070292F">
        <w:rPr>
          <w:lang w:val="fr-FR"/>
        </w:rPr>
        <w:t>.  La Cour doit donc vérifier si cette loi était accessible et prévisible.</w:t>
      </w:r>
      <w:r w:rsidRPr="0070292F">
        <w:rPr>
          <w:rFonts w:ascii="Times New Roman" w:eastAsia="Times New Roman" w:hAnsi="Times New Roman" w:cs="Times New Roman"/>
          <w:szCs w:val="20"/>
          <w:lang w:val="fr-FR" w:eastAsia="en-GB"/>
        </w:rPr>
        <w:t xml:space="preserve"> Cet élément est d</w:t>
      </w:r>
      <w:r w:rsidR="0070292F" w:rsidRPr="0070292F">
        <w:rPr>
          <w:rFonts w:ascii="Times New Roman" w:eastAsia="Times New Roman" w:hAnsi="Times New Roman" w:cs="Times New Roman"/>
          <w:szCs w:val="20"/>
          <w:lang w:val="fr-FR" w:eastAsia="en-GB"/>
        </w:rPr>
        <w:t>’</w:t>
      </w:r>
      <w:r w:rsidRPr="0070292F">
        <w:rPr>
          <w:rFonts w:ascii="Times New Roman" w:eastAsia="Times New Roman" w:hAnsi="Times New Roman" w:cs="Times New Roman"/>
          <w:szCs w:val="20"/>
          <w:lang w:val="fr-FR" w:eastAsia="en-GB"/>
        </w:rPr>
        <w:t>autant plus important dans une affaire comme celle-ci, où la législation en question a eu un impact très important sur le requérant et sur son droit à la liberté de circulation.</w:t>
      </w:r>
    </w:p>
    <w:p w:rsidR="0070292F" w:rsidRPr="0070292F" w:rsidRDefault="00950D6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112</w:t>
      </w:r>
      <w:r w:rsidRPr="0070292F">
        <w:rPr>
          <w:lang w:val="fr-FR"/>
        </w:rPr>
        <w:fldChar w:fldCharType="end"/>
      </w:r>
      <w:r w:rsidRPr="0070292F">
        <w:rPr>
          <w:lang w:val="fr-FR"/>
        </w:rPr>
        <w:t>.  Tout d</w:t>
      </w:r>
      <w:r w:rsidR="0070292F" w:rsidRPr="0070292F">
        <w:rPr>
          <w:lang w:val="fr-FR"/>
        </w:rPr>
        <w:t>’</w:t>
      </w:r>
      <w:r w:rsidRPr="0070292F">
        <w:rPr>
          <w:lang w:val="fr-FR"/>
        </w:rPr>
        <w:t>abord, la Cour considère que la loi n</w:t>
      </w:r>
      <w:r w:rsidR="008C1E94" w:rsidRPr="0070292F">
        <w:rPr>
          <w:vertAlign w:val="superscript"/>
          <w:lang w:val="fr-FR"/>
        </w:rPr>
        <w:t>o</w:t>
      </w:r>
      <w:r w:rsidRPr="0070292F">
        <w:rPr>
          <w:lang w:val="fr-FR"/>
        </w:rPr>
        <w:t xml:space="preserve"> 1423 de 1956 répondait à la condition de l</w:t>
      </w:r>
      <w:r w:rsidR="0070292F" w:rsidRPr="0070292F">
        <w:rPr>
          <w:lang w:val="fr-FR"/>
        </w:rPr>
        <w:t>’</w:t>
      </w:r>
      <w:r w:rsidRPr="0070292F">
        <w:rPr>
          <w:lang w:val="fr-FR"/>
        </w:rPr>
        <w:t>accessibilité, ce que d</w:t>
      </w:r>
      <w:r w:rsidR="0070292F" w:rsidRPr="0070292F">
        <w:rPr>
          <w:lang w:val="fr-FR"/>
        </w:rPr>
        <w:t>’</w:t>
      </w:r>
      <w:r w:rsidRPr="0070292F">
        <w:rPr>
          <w:lang w:val="fr-FR"/>
        </w:rPr>
        <w:t>ailleurs le requérant ne conteste pas.</w:t>
      </w:r>
    </w:p>
    <w:p w:rsidR="00950D65" w:rsidRPr="0070292F" w:rsidRDefault="00950D6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113</w:t>
      </w:r>
      <w:r w:rsidRPr="0070292F">
        <w:rPr>
          <w:lang w:val="fr-FR"/>
        </w:rPr>
        <w:fldChar w:fldCharType="end"/>
      </w:r>
      <w:r w:rsidRPr="0070292F">
        <w:rPr>
          <w:lang w:val="fr-FR"/>
        </w:rPr>
        <w:t>.  La Cour doit ensuite vérifier la prévisibilité de cette loi. Pour ce faire, elle examinera d</w:t>
      </w:r>
      <w:r w:rsidR="0070292F" w:rsidRPr="0070292F">
        <w:rPr>
          <w:lang w:val="fr-FR"/>
        </w:rPr>
        <w:t>’</w:t>
      </w:r>
      <w:r w:rsidRPr="0070292F">
        <w:rPr>
          <w:lang w:val="fr-FR"/>
        </w:rPr>
        <w:t>abord la catégorie des personnes visées par les mesures de prévention, puis le contenu de ces mesures.</w:t>
      </w:r>
    </w:p>
    <w:p w:rsidR="00225583" w:rsidRPr="0070292F" w:rsidRDefault="00716F51" w:rsidP="0070292F">
      <w:pPr>
        <w:pStyle w:val="ECHRPara"/>
        <w:rPr>
          <w:rFonts w:eastAsia="Calibri"/>
          <w:bCs/>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114</w:t>
      </w:r>
      <w:r w:rsidRPr="0070292F">
        <w:rPr>
          <w:lang w:val="fr-FR"/>
        </w:rPr>
        <w:fldChar w:fldCharType="end"/>
      </w:r>
      <w:r w:rsidRPr="0070292F">
        <w:rPr>
          <w:lang w:val="fr-FR"/>
        </w:rPr>
        <w:t>.  </w:t>
      </w:r>
      <w:bookmarkStart w:id="38" w:name="lt_pId099"/>
      <w:r w:rsidR="00225583" w:rsidRPr="0070292F">
        <w:rPr>
          <w:rFonts w:eastAsia="Calibri"/>
          <w:bCs/>
          <w:lang w:val="fr-FR"/>
        </w:rPr>
        <w:t>La Cour note qu</w:t>
      </w:r>
      <w:r w:rsidR="0070292F" w:rsidRPr="0070292F">
        <w:rPr>
          <w:rFonts w:eastAsia="Calibri"/>
          <w:bCs/>
          <w:lang w:val="fr-FR"/>
        </w:rPr>
        <w:t>’</w:t>
      </w:r>
      <w:r w:rsidR="00225583" w:rsidRPr="0070292F">
        <w:rPr>
          <w:rFonts w:eastAsia="Calibri"/>
          <w:bCs/>
          <w:lang w:val="fr-FR"/>
        </w:rPr>
        <w:t>à ce jour elle n</w:t>
      </w:r>
      <w:r w:rsidR="0070292F" w:rsidRPr="0070292F">
        <w:rPr>
          <w:rFonts w:eastAsia="Calibri"/>
          <w:bCs/>
          <w:lang w:val="fr-FR"/>
        </w:rPr>
        <w:t>’</w:t>
      </w:r>
      <w:r w:rsidR="00225583" w:rsidRPr="0070292F">
        <w:rPr>
          <w:rFonts w:eastAsia="Calibri"/>
          <w:bCs/>
          <w:lang w:val="fr-FR"/>
        </w:rPr>
        <w:t>a pas eu à examiner en détail la prévisibilité de la loi n</w:t>
      </w:r>
      <w:r w:rsidR="008C1E94" w:rsidRPr="0070292F">
        <w:rPr>
          <w:rFonts w:eastAsia="Calibri"/>
          <w:bCs/>
          <w:vertAlign w:val="superscript"/>
          <w:lang w:val="fr-FR"/>
        </w:rPr>
        <w:t>o</w:t>
      </w:r>
      <w:r w:rsidR="00225583" w:rsidRPr="0070292F">
        <w:rPr>
          <w:rFonts w:eastAsia="Calibri"/>
          <w:bCs/>
          <w:lang w:val="fr-FR"/>
        </w:rPr>
        <w:t xml:space="preserve"> 1423</w:t>
      </w:r>
      <w:r w:rsidR="00E6656A" w:rsidRPr="0070292F">
        <w:rPr>
          <w:rFonts w:eastAsia="Calibri"/>
          <w:bCs/>
          <w:lang w:val="fr-FR"/>
        </w:rPr>
        <w:t>/</w:t>
      </w:r>
      <w:r w:rsidR="00225583" w:rsidRPr="0070292F">
        <w:rPr>
          <w:rFonts w:eastAsia="Calibri"/>
          <w:bCs/>
          <w:lang w:val="fr-FR"/>
        </w:rPr>
        <w:t xml:space="preserve">1956. Elle rappelle toutefois </w:t>
      </w:r>
      <w:r w:rsidR="004D18EB" w:rsidRPr="0070292F">
        <w:rPr>
          <w:rFonts w:eastAsia="Calibri"/>
          <w:bCs/>
          <w:lang w:val="fr-FR"/>
        </w:rPr>
        <w:t xml:space="preserve">avoir </w:t>
      </w:r>
      <w:r w:rsidR="00225583" w:rsidRPr="0070292F">
        <w:rPr>
          <w:rFonts w:eastAsia="Calibri"/>
          <w:bCs/>
          <w:lang w:val="fr-FR"/>
        </w:rPr>
        <w:t>constaté dans l</w:t>
      </w:r>
      <w:r w:rsidR="0070292F" w:rsidRPr="0070292F">
        <w:rPr>
          <w:rFonts w:eastAsia="Calibri"/>
          <w:bCs/>
          <w:lang w:val="fr-FR"/>
        </w:rPr>
        <w:t>’</w:t>
      </w:r>
      <w:r w:rsidR="00225583" w:rsidRPr="0070292F">
        <w:rPr>
          <w:rFonts w:eastAsia="Calibri"/>
          <w:bCs/>
          <w:lang w:val="fr-FR"/>
        </w:rPr>
        <w:t xml:space="preserve">affaire </w:t>
      </w:r>
      <w:r w:rsidR="00225583" w:rsidRPr="0070292F">
        <w:rPr>
          <w:rFonts w:eastAsia="Calibri"/>
          <w:bCs/>
          <w:i/>
          <w:lang w:val="fr-FR"/>
        </w:rPr>
        <w:t xml:space="preserve">Labita </w:t>
      </w:r>
      <w:r w:rsidR="00225583" w:rsidRPr="0070292F">
        <w:rPr>
          <w:rFonts w:eastAsia="Calibri"/>
          <w:bCs/>
          <w:lang w:val="fr-FR"/>
        </w:rPr>
        <w:t>(précité, § 194) que les mesures de prévention avaient pour base les lois n</w:t>
      </w:r>
      <w:r w:rsidR="00E6656A" w:rsidRPr="0070292F">
        <w:rPr>
          <w:rFonts w:eastAsia="Calibri"/>
          <w:bCs/>
          <w:vertAlign w:val="superscript"/>
          <w:lang w:val="fr-FR"/>
        </w:rPr>
        <w:t>os</w:t>
      </w:r>
      <w:r w:rsidR="00225583" w:rsidRPr="0070292F">
        <w:rPr>
          <w:rFonts w:eastAsia="Calibri"/>
          <w:bCs/>
          <w:lang w:val="fr-FR"/>
        </w:rPr>
        <w:t xml:space="preserve"> 1423/</w:t>
      </w:r>
      <w:r w:rsidR="00E6656A" w:rsidRPr="0070292F">
        <w:rPr>
          <w:rFonts w:eastAsia="Calibri"/>
          <w:bCs/>
          <w:lang w:val="fr-FR"/>
        </w:rPr>
        <w:t>19</w:t>
      </w:r>
      <w:r w:rsidR="00225583" w:rsidRPr="0070292F">
        <w:rPr>
          <w:rFonts w:eastAsia="Calibri"/>
          <w:bCs/>
          <w:lang w:val="fr-FR"/>
        </w:rPr>
        <w:t>56, 575/</w:t>
      </w:r>
      <w:r w:rsidR="00E6656A" w:rsidRPr="0070292F">
        <w:rPr>
          <w:rFonts w:eastAsia="Calibri"/>
          <w:bCs/>
          <w:lang w:val="fr-FR"/>
        </w:rPr>
        <w:t>19</w:t>
      </w:r>
      <w:r w:rsidR="00225583" w:rsidRPr="0070292F">
        <w:rPr>
          <w:rFonts w:eastAsia="Calibri"/>
          <w:bCs/>
          <w:lang w:val="fr-FR"/>
        </w:rPr>
        <w:t>65, 327/</w:t>
      </w:r>
      <w:r w:rsidR="00E6656A" w:rsidRPr="0070292F">
        <w:rPr>
          <w:rFonts w:eastAsia="Calibri"/>
          <w:bCs/>
          <w:lang w:val="fr-FR"/>
        </w:rPr>
        <w:t>19</w:t>
      </w:r>
      <w:r w:rsidR="00225583" w:rsidRPr="0070292F">
        <w:rPr>
          <w:rFonts w:eastAsia="Calibri"/>
          <w:bCs/>
          <w:lang w:val="fr-FR"/>
        </w:rPr>
        <w:t>88 et 55/</w:t>
      </w:r>
      <w:r w:rsidR="00E6656A" w:rsidRPr="0070292F">
        <w:rPr>
          <w:rFonts w:eastAsia="Calibri"/>
          <w:bCs/>
          <w:lang w:val="fr-FR"/>
        </w:rPr>
        <w:t>19</w:t>
      </w:r>
      <w:r w:rsidR="00225583" w:rsidRPr="0070292F">
        <w:rPr>
          <w:rFonts w:eastAsia="Calibri"/>
          <w:bCs/>
          <w:lang w:val="fr-FR"/>
        </w:rPr>
        <w:t>90 et qu</w:t>
      </w:r>
      <w:r w:rsidR="0070292F" w:rsidRPr="0070292F">
        <w:rPr>
          <w:rFonts w:eastAsia="Calibri"/>
          <w:bCs/>
          <w:lang w:val="fr-FR"/>
        </w:rPr>
        <w:t>’</w:t>
      </w:r>
      <w:r w:rsidR="00225583" w:rsidRPr="0070292F">
        <w:rPr>
          <w:rFonts w:eastAsia="Calibri"/>
          <w:bCs/>
          <w:lang w:val="fr-FR"/>
        </w:rPr>
        <w:t>elles étaient donc «</w:t>
      </w:r>
      <w:r w:rsidR="00E6656A" w:rsidRPr="0070292F">
        <w:rPr>
          <w:rFonts w:eastAsia="Calibri"/>
          <w:bCs/>
          <w:lang w:val="fr-FR"/>
        </w:rPr>
        <w:t> </w:t>
      </w:r>
      <w:r w:rsidR="00225583" w:rsidRPr="0070292F">
        <w:rPr>
          <w:rFonts w:eastAsia="Calibri"/>
          <w:bCs/>
          <w:lang w:val="fr-FR"/>
        </w:rPr>
        <w:t>prévues par la loi</w:t>
      </w:r>
      <w:r w:rsidR="00E6656A" w:rsidRPr="0070292F">
        <w:rPr>
          <w:rFonts w:eastAsia="Calibri"/>
          <w:bCs/>
          <w:lang w:val="fr-FR"/>
        </w:rPr>
        <w:t> </w:t>
      </w:r>
      <w:r w:rsidR="00225583" w:rsidRPr="0070292F">
        <w:rPr>
          <w:rFonts w:eastAsia="Calibri"/>
          <w:bCs/>
          <w:lang w:val="fr-FR"/>
        </w:rPr>
        <w:t>» au sens du troisième paragraphe de l</w:t>
      </w:r>
      <w:r w:rsidR="0070292F" w:rsidRPr="0070292F">
        <w:rPr>
          <w:rFonts w:eastAsia="Calibri"/>
          <w:bCs/>
          <w:lang w:val="fr-FR"/>
        </w:rPr>
        <w:t>’</w:t>
      </w:r>
      <w:r w:rsidR="00225583" w:rsidRPr="0070292F">
        <w:rPr>
          <w:rFonts w:eastAsia="Calibri"/>
          <w:bCs/>
          <w:lang w:val="fr-FR"/>
        </w:rPr>
        <w:t>article 2 du Protocole n</w:t>
      </w:r>
      <w:r w:rsidR="008C1E94" w:rsidRPr="0070292F">
        <w:rPr>
          <w:rFonts w:eastAsia="Calibri"/>
          <w:bCs/>
          <w:vertAlign w:val="superscript"/>
          <w:lang w:val="fr-FR"/>
        </w:rPr>
        <w:t>o</w:t>
      </w:r>
      <w:r w:rsidR="004D18EB" w:rsidRPr="0070292F">
        <w:rPr>
          <w:rFonts w:eastAsia="Calibri"/>
          <w:bCs/>
          <w:lang w:val="fr-FR"/>
        </w:rPr>
        <w:t> </w:t>
      </w:r>
      <w:r w:rsidR="00225583" w:rsidRPr="0070292F">
        <w:rPr>
          <w:rFonts w:eastAsia="Calibri"/>
          <w:bCs/>
          <w:lang w:val="fr-FR"/>
        </w:rPr>
        <w:t xml:space="preserve">4. </w:t>
      </w:r>
      <w:r w:rsidR="00E6656A" w:rsidRPr="0070292F">
        <w:rPr>
          <w:rFonts w:eastAsia="Calibri"/>
          <w:bCs/>
          <w:lang w:val="fr-FR"/>
        </w:rPr>
        <w:t>D</w:t>
      </w:r>
      <w:r w:rsidR="00225583" w:rsidRPr="0070292F">
        <w:rPr>
          <w:rFonts w:eastAsia="Calibri"/>
          <w:bCs/>
          <w:lang w:val="fr-FR"/>
        </w:rPr>
        <w:t>ans l</w:t>
      </w:r>
      <w:r w:rsidR="0070292F" w:rsidRPr="0070292F">
        <w:rPr>
          <w:rFonts w:eastAsia="Calibri"/>
          <w:bCs/>
          <w:lang w:val="fr-FR"/>
        </w:rPr>
        <w:t>’</w:t>
      </w:r>
      <w:r w:rsidR="00225583" w:rsidRPr="0070292F">
        <w:rPr>
          <w:rFonts w:eastAsia="Calibri"/>
          <w:bCs/>
          <w:lang w:val="fr-FR"/>
        </w:rPr>
        <w:t xml:space="preserve">affaire </w:t>
      </w:r>
      <w:r w:rsidR="00225583" w:rsidRPr="0070292F">
        <w:rPr>
          <w:rFonts w:eastAsia="Calibri"/>
          <w:bCs/>
          <w:i/>
          <w:lang w:val="fr-FR"/>
        </w:rPr>
        <w:t>Monno</w:t>
      </w:r>
      <w:r w:rsidR="00225583" w:rsidRPr="0070292F">
        <w:rPr>
          <w:rFonts w:ascii="Arial" w:eastAsia="Calibri" w:hAnsi="Arial" w:cs="Arial"/>
          <w:bCs/>
          <w:i/>
          <w:szCs w:val="24"/>
          <w:lang w:val="fr-FR"/>
        </w:rPr>
        <w:t xml:space="preserve"> </w:t>
      </w:r>
      <w:r w:rsidR="00225583" w:rsidRPr="0070292F">
        <w:rPr>
          <w:rFonts w:eastAsia="Calibri"/>
          <w:bCs/>
          <w:lang w:val="fr-FR"/>
        </w:rPr>
        <w:t>(décision précitée, § 26), la loi litigieuse a été examinée à la lumière de la décision de la cour d</w:t>
      </w:r>
      <w:r w:rsidR="0070292F" w:rsidRPr="0070292F">
        <w:rPr>
          <w:rFonts w:eastAsia="Calibri"/>
          <w:bCs/>
          <w:lang w:val="fr-FR"/>
        </w:rPr>
        <w:t>’</w:t>
      </w:r>
      <w:r w:rsidR="00225583" w:rsidRPr="0070292F">
        <w:rPr>
          <w:rFonts w:eastAsia="Calibri"/>
          <w:bCs/>
          <w:lang w:val="fr-FR"/>
        </w:rPr>
        <w:t>appel qui avait reconnu l</w:t>
      </w:r>
      <w:r w:rsidR="0070292F" w:rsidRPr="0070292F">
        <w:rPr>
          <w:rFonts w:eastAsia="Calibri"/>
          <w:bCs/>
          <w:lang w:val="fr-FR"/>
        </w:rPr>
        <w:t>’</w:t>
      </w:r>
      <w:r w:rsidR="00225583" w:rsidRPr="0070292F">
        <w:rPr>
          <w:rFonts w:eastAsia="Calibri"/>
          <w:bCs/>
          <w:lang w:val="fr-FR"/>
        </w:rPr>
        <w:t>existence d</w:t>
      </w:r>
      <w:r w:rsidR="0070292F" w:rsidRPr="0070292F">
        <w:rPr>
          <w:rFonts w:eastAsia="Calibri"/>
          <w:bCs/>
          <w:lang w:val="fr-FR"/>
        </w:rPr>
        <w:t>’</w:t>
      </w:r>
      <w:r w:rsidR="00225583" w:rsidRPr="0070292F">
        <w:rPr>
          <w:rFonts w:eastAsia="Calibri"/>
          <w:bCs/>
          <w:lang w:val="fr-FR"/>
        </w:rPr>
        <w:t xml:space="preserve">un vice de forme </w:t>
      </w:r>
      <w:r w:rsidR="00E6656A" w:rsidRPr="0070292F">
        <w:rPr>
          <w:rFonts w:eastAsia="Calibri"/>
          <w:bCs/>
          <w:lang w:val="fr-FR"/>
        </w:rPr>
        <w:t>entachant</w:t>
      </w:r>
      <w:r w:rsidR="00225583" w:rsidRPr="0070292F">
        <w:rPr>
          <w:rFonts w:eastAsia="Calibri"/>
          <w:bCs/>
          <w:lang w:val="fr-FR"/>
        </w:rPr>
        <w:t xml:space="preserve"> la procédure de première instance. Selon la Cour, la seule circonstance que la décision du tribunal avait été ultérieurement annulée n</w:t>
      </w:r>
      <w:r w:rsidR="008A28DE" w:rsidRPr="0070292F">
        <w:rPr>
          <w:rFonts w:eastAsia="Calibri"/>
          <w:bCs/>
          <w:lang w:val="fr-FR"/>
        </w:rPr>
        <w:t xml:space="preserve">e compromettait </w:t>
      </w:r>
      <w:r w:rsidR="00225583" w:rsidRPr="0070292F">
        <w:rPr>
          <w:rFonts w:eastAsia="Calibri"/>
          <w:bCs/>
          <w:lang w:val="fr-FR"/>
        </w:rPr>
        <w:t>pas, en tant que telle, la légalité de l</w:t>
      </w:r>
      <w:r w:rsidR="0070292F" w:rsidRPr="0070292F">
        <w:rPr>
          <w:rFonts w:eastAsia="Calibri"/>
          <w:bCs/>
          <w:lang w:val="fr-FR"/>
        </w:rPr>
        <w:t>’</w:t>
      </w:r>
      <w:r w:rsidR="00225583" w:rsidRPr="0070292F">
        <w:rPr>
          <w:rFonts w:eastAsia="Calibri"/>
          <w:bCs/>
          <w:lang w:val="fr-FR"/>
        </w:rPr>
        <w:t xml:space="preserve">ingérence pour la période antérieure. En revanche, dans les arrêts </w:t>
      </w:r>
      <w:r w:rsidR="00225583" w:rsidRPr="0070292F">
        <w:rPr>
          <w:rFonts w:eastAsia="Calibri"/>
          <w:bCs/>
          <w:i/>
          <w:lang w:val="fr-FR"/>
        </w:rPr>
        <w:t xml:space="preserve">Raimondo </w:t>
      </w:r>
      <w:r w:rsidR="00225583" w:rsidRPr="0070292F">
        <w:rPr>
          <w:rFonts w:eastAsia="Calibri"/>
          <w:bCs/>
          <w:lang w:val="fr-FR"/>
        </w:rPr>
        <w:t xml:space="preserve">et </w:t>
      </w:r>
      <w:r w:rsidR="00225583" w:rsidRPr="0070292F">
        <w:rPr>
          <w:rFonts w:eastAsia="Calibri"/>
          <w:bCs/>
          <w:i/>
          <w:lang w:val="fr-FR"/>
        </w:rPr>
        <w:t>Vito Sante Santoro</w:t>
      </w:r>
      <w:r w:rsidR="00225583" w:rsidRPr="0070292F">
        <w:rPr>
          <w:rFonts w:eastAsia="Calibri"/>
          <w:bCs/>
          <w:lang w:val="fr-FR"/>
        </w:rPr>
        <w:t xml:space="preserve"> (précités), la Cour a constaté que l</w:t>
      </w:r>
      <w:r w:rsidR="0070292F" w:rsidRPr="0070292F">
        <w:rPr>
          <w:rFonts w:eastAsia="Calibri"/>
          <w:bCs/>
          <w:lang w:val="fr-FR"/>
        </w:rPr>
        <w:t>’</w:t>
      </w:r>
      <w:r w:rsidR="00225583" w:rsidRPr="0070292F">
        <w:rPr>
          <w:rFonts w:eastAsia="Calibri"/>
          <w:bCs/>
          <w:lang w:val="fr-FR"/>
        </w:rPr>
        <w:t>atteinte à la liberté de circulation des requérants n</w:t>
      </w:r>
      <w:r w:rsidR="0070292F" w:rsidRPr="0070292F">
        <w:rPr>
          <w:rFonts w:eastAsia="Calibri"/>
          <w:bCs/>
          <w:lang w:val="fr-FR"/>
        </w:rPr>
        <w:t>’</w:t>
      </w:r>
      <w:r w:rsidR="00225583" w:rsidRPr="0070292F">
        <w:rPr>
          <w:rFonts w:eastAsia="Calibri"/>
          <w:bCs/>
          <w:lang w:val="fr-FR"/>
        </w:rPr>
        <w:t>était ni « prévue par la loi » ni « nécessaire » en raison du retard de la notification de la décision révoquant la surveillance spéciale (</w:t>
      </w:r>
      <w:r w:rsidR="00225583" w:rsidRPr="0070292F">
        <w:rPr>
          <w:rFonts w:eastAsia="Calibri"/>
          <w:bCs/>
          <w:i/>
          <w:lang w:val="fr-FR"/>
        </w:rPr>
        <w:t>Raimondo</w:t>
      </w:r>
      <w:r w:rsidR="00225583" w:rsidRPr="0070292F">
        <w:rPr>
          <w:rFonts w:eastAsia="Calibri"/>
          <w:bCs/>
          <w:lang w:val="fr-FR"/>
        </w:rPr>
        <w:t>, précité § 40) et en raison de la prolongation illégale de la surveillance spéciale, pendant deux mois et vingt-deux jours, sans réparation du préjudice subi (</w:t>
      </w:r>
      <w:r w:rsidR="00225583" w:rsidRPr="0070292F">
        <w:rPr>
          <w:rFonts w:eastAsia="Calibri"/>
          <w:bCs/>
          <w:i/>
          <w:lang w:val="fr-FR"/>
        </w:rPr>
        <w:t>Vito Sante Santoro</w:t>
      </w:r>
      <w:r w:rsidR="0070292F" w:rsidRPr="0070292F">
        <w:rPr>
          <w:rFonts w:eastAsia="Calibri"/>
          <w:bCs/>
          <w:lang w:val="fr-FR"/>
        </w:rPr>
        <w:t>, précité § </w:t>
      </w:r>
      <w:r w:rsidR="00225583" w:rsidRPr="0070292F">
        <w:rPr>
          <w:rFonts w:eastAsia="Calibri"/>
          <w:bCs/>
          <w:lang w:val="fr-FR"/>
        </w:rPr>
        <w:t>45).</w:t>
      </w:r>
    </w:p>
    <w:bookmarkEnd w:id="38"/>
    <w:p w:rsidR="00EF54BC" w:rsidRPr="0070292F" w:rsidRDefault="00716F51" w:rsidP="0070292F">
      <w:pPr>
        <w:pStyle w:val="ECHRPara"/>
        <w:rPr>
          <w:rFonts w:eastAsia="Calibri"/>
          <w:bCs/>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115</w:t>
      </w:r>
      <w:r w:rsidRPr="0070292F">
        <w:rPr>
          <w:lang w:val="fr-FR"/>
        </w:rPr>
        <w:fldChar w:fldCharType="end"/>
      </w:r>
      <w:r w:rsidRPr="0070292F">
        <w:rPr>
          <w:lang w:val="fr-FR"/>
        </w:rPr>
        <w:t>.  </w:t>
      </w:r>
      <w:r w:rsidR="00225583" w:rsidRPr="0070292F">
        <w:rPr>
          <w:rFonts w:eastAsia="Calibri"/>
          <w:bCs/>
          <w:lang w:val="fr-FR"/>
        </w:rPr>
        <w:t>Dans le cas d</w:t>
      </w:r>
      <w:r w:rsidR="0070292F" w:rsidRPr="0070292F">
        <w:rPr>
          <w:rFonts w:eastAsia="Calibri"/>
          <w:bCs/>
          <w:lang w:val="fr-FR"/>
        </w:rPr>
        <w:t>’</w:t>
      </w:r>
      <w:r w:rsidR="00225583" w:rsidRPr="0070292F">
        <w:rPr>
          <w:rFonts w:eastAsia="Calibri"/>
          <w:bCs/>
          <w:lang w:val="fr-FR"/>
        </w:rPr>
        <w:t>espèce, le requérant se plaint expressément d</w:t>
      </w:r>
      <w:r w:rsidR="0070292F" w:rsidRPr="0070292F">
        <w:rPr>
          <w:rFonts w:eastAsia="Calibri"/>
          <w:bCs/>
          <w:lang w:val="fr-FR"/>
        </w:rPr>
        <w:t>’</w:t>
      </w:r>
      <w:r w:rsidR="00225583" w:rsidRPr="0070292F">
        <w:rPr>
          <w:rFonts w:eastAsia="Calibri"/>
          <w:bCs/>
          <w:lang w:val="fr-FR"/>
        </w:rPr>
        <w:t>un manque de précision et de prévisibilité de la loi n</w:t>
      </w:r>
      <w:r w:rsidR="008C1E94" w:rsidRPr="0070292F">
        <w:rPr>
          <w:rFonts w:eastAsia="Calibri"/>
          <w:bCs/>
          <w:vertAlign w:val="superscript"/>
          <w:lang w:val="fr-FR"/>
        </w:rPr>
        <w:t>o</w:t>
      </w:r>
      <w:r w:rsidR="00225583" w:rsidRPr="0070292F">
        <w:rPr>
          <w:rFonts w:eastAsia="Calibri"/>
          <w:bCs/>
          <w:lang w:val="fr-FR"/>
        </w:rPr>
        <w:t xml:space="preserve"> 1423</w:t>
      </w:r>
      <w:r w:rsidR="00451749" w:rsidRPr="0070292F">
        <w:rPr>
          <w:rFonts w:eastAsia="Calibri"/>
          <w:bCs/>
          <w:lang w:val="fr-FR"/>
        </w:rPr>
        <w:t>/</w:t>
      </w:r>
      <w:r w:rsidR="00225583" w:rsidRPr="0070292F">
        <w:rPr>
          <w:rFonts w:eastAsia="Calibri"/>
          <w:bCs/>
          <w:lang w:val="fr-FR"/>
        </w:rPr>
        <w:t>1956. Par conséquent, la Cour se doit d</w:t>
      </w:r>
      <w:r w:rsidR="0070292F" w:rsidRPr="0070292F">
        <w:rPr>
          <w:rFonts w:eastAsia="Calibri"/>
          <w:bCs/>
          <w:lang w:val="fr-FR"/>
        </w:rPr>
        <w:t>’</w:t>
      </w:r>
      <w:r w:rsidR="00225583" w:rsidRPr="0070292F">
        <w:rPr>
          <w:rFonts w:eastAsia="Calibri"/>
          <w:bCs/>
          <w:lang w:val="fr-FR"/>
        </w:rPr>
        <w:t>analyser la prévisibilité de cette loi quant aux destinataires des mesures de prévention</w:t>
      </w:r>
      <w:r w:rsidR="006D303A" w:rsidRPr="0070292F">
        <w:rPr>
          <w:rFonts w:eastAsia="Calibri"/>
          <w:bCs/>
          <w:lang w:val="fr-FR"/>
        </w:rPr>
        <w:t xml:space="preserve"> (article 1 de la loi de 1956)</w:t>
      </w:r>
      <w:r w:rsidR="00225583" w:rsidRPr="0070292F">
        <w:rPr>
          <w:rFonts w:eastAsia="Calibri"/>
          <w:bCs/>
          <w:lang w:val="fr-FR"/>
        </w:rPr>
        <w:t>, à la lumière de la jurisprudence de la Cour constitutionnelle.</w:t>
      </w:r>
    </w:p>
    <w:p w:rsidR="00716F51" w:rsidRPr="0070292F" w:rsidRDefault="00716F51" w:rsidP="0070292F">
      <w:pPr>
        <w:pStyle w:val="ECHRPara"/>
        <w:rPr>
          <w:rFonts w:ascii="Times New Roman" w:eastAsia="Calibri" w:hAnsi="Times New Roman" w:cs="Times New Roman"/>
          <w:szCs w:val="24"/>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116</w:t>
      </w:r>
      <w:r w:rsidRPr="0070292F">
        <w:rPr>
          <w:lang w:val="fr-FR"/>
        </w:rPr>
        <w:fldChar w:fldCharType="end"/>
      </w:r>
      <w:r w:rsidRPr="0070292F">
        <w:rPr>
          <w:lang w:val="fr-FR"/>
        </w:rPr>
        <w:t>.  </w:t>
      </w:r>
      <w:r w:rsidR="00225583" w:rsidRPr="0070292F">
        <w:rPr>
          <w:rFonts w:eastAsia="Calibri" w:cstheme="minorHAnsi"/>
          <w:bCs/>
          <w:szCs w:val="24"/>
          <w:lang w:val="fr-FR"/>
        </w:rPr>
        <w:t>À</w:t>
      </w:r>
      <w:r w:rsidR="00225583" w:rsidRPr="0070292F">
        <w:rPr>
          <w:rFonts w:eastAsia="Calibri"/>
          <w:bCs/>
          <w:szCs w:val="24"/>
          <w:lang w:val="fr-FR"/>
        </w:rPr>
        <w:t xml:space="preserve"> cet égard, la Cour </w:t>
      </w:r>
      <w:r w:rsidR="00451749" w:rsidRPr="0070292F">
        <w:rPr>
          <w:rFonts w:eastAsia="Calibri"/>
          <w:bCs/>
          <w:szCs w:val="24"/>
          <w:lang w:val="fr-FR"/>
        </w:rPr>
        <w:t xml:space="preserve">souligne </w:t>
      </w:r>
      <w:r w:rsidR="00225583" w:rsidRPr="0070292F">
        <w:rPr>
          <w:rFonts w:eastAsia="Calibri"/>
          <w:bCs/>
          <w:szCs w:val="24"/>
          <w:lang w:val="fr-FR"/>
        </w:rPr>
        <w:t xml:space="preserve">que la Cour constitutionnelle italienne </w:t>
      </w:r>
      <w:r w:rsidR="006F2DE1" w:rsidRPr="0070292F">
        <w:rPr>
          <w:rFonts w:eastAsia="Calibri"/>
          <w:bCs/>
          <w:szCs w:val="24"/>
          <w:lang w:val="fr-FR"/>
        </w:rPr>
        <w:t xml:space="preserve">a </w:t>
      </w:r>
      <w:r w:rsidR="008A28DE" w:rsidRPr="0070292F">
        <w:rPr>
          <w:rFonts w:eastAsia="Calibri"/>
          <w:bCs/>
          <w:szCs w:val="24"/>
          <w:lang w:val="fr-FR"/>
        </w:rPr>
        <w:t xml:space="preserve">invalidé </w:t>
      </w:r>
      <w:r w:rsidR="006F2DE1" w:rsidRPr="0070292F">
        <w:rPr>
          <w:rFonts w:eastAsia="Calibri"/>
          <w:bCs/>
          <w:szCs w:val="24"/>
          <w:lang w:val="fr-FR"/>
        </w:rPr>
        <w:t xml:space="preserve">la loi </w:t>
      </w:r>
      <w:r w:rsidR="00216448" w:rsidRPr="0070292F">
        <w:rPr>
          <w:rFonts w:eastAsia="Calibri"/>
          <w:bCs/>
          <w:szCs w:val="24"/>
          <w:lang w:val="fr-FR"/>
        </w:rPr>
        <w:t>pour autant qu</w:t>
      </w:r>
      <w:r w:rsidR="0070292F" w:rsidRPr="0070292F">
        <w:rPr>
          <w:rFonts w:eastAsia="Calibri"/>
          <w:bCs/>
          <w:szCs w:val="24"/>
          <w:lang w:val="fr-FR"/>
        </w:rPr>
        <w:t>’</w:t>
      </w:r>
      <w:r w:rsidR="00216448" w:rsidRPr="0070292F">
        <w:rPr>
          <w:rFonts w:eastAsia="Calibri"/>
          <w:bCs/>
          <w:szCs w:val="24"/>
          <w:lang w:val="fr-FR"/>
        </w:rPr>
        <w:t xml:space="preserve">elle concernait </w:t>
      </w:r>
      <w:r w:rsidR="006F2DE1" w:rsidRPr="0070292F">
        <w:rPr>
          <w:rFonts w:eastAsia="Calibri"/>
          <w:bCs/>
          <w:szCs w:val="24"/>
          <w:lang w:val="fr-FR"/>
        </w:rPr>
        <w:t xml:space="preserve">une </w:t>
      </w:r>
      <w:r w:rsidR="00451749" w:rsidRPr="0070292F">
        <w:rPr>
          <w:rFonts w:eastAsia="Calibri"/>
          <w:bCs/>
          <w:szCs w:val="24"/>
          <w:lang w:val="fr-FR"/>
        </w:rPr>
        <w:t>cat</w:t>
      </w:r>
      <w:r w:rsidR="006F2DE1" w:rsidRPr="0070292F">
        <w:rPr>
          <w:rFonts w:eastAsia="Calibri"/>
          <w:bCs/>
          <w:szCs w:val="24"/>
          <w:lang w:val="fr-FR"/>
        </w:rPr>
        <w:t>é</w:t>
      </w:r>
      <w:r w:rsidR="00451749" w:rsidRPr="0070292F">
        <w:rPr>
          <w:rFonts w:eastAsia="Calibri"/>
          <w:bCs/>
          <w:szCs w:val="24"/>
          <w:lang w:val="fr-FR"/>
        </w:rPr>
        <w:t>gor</w:t>
      </w:r>
      <w:r w:rsidR="006F2DE1" w:rsidRPr="0070292F">
        <w:rPr>
          <w:rFonts w:eastAsia="Calibri"/>
          <w:bCs/>
          <w:szCs w:val="24"/>
          <w:lang w:val="fr-FR"/>
        </w:rPr>
        <w:t>ie de personnes jug</w:t>
      </w:r>
      <w:r w:rsidR="00216448" w:rsidRPr="0070292F">
        <w:rPr>
          <w:rFonts w:eastAsia="Calibri"/>
          <w:bCs/>
          <w:szCs w:val="24"/>
          <w:lang w:val="fr-FR"/>
        </w:rPr>
        <w:t>ée</w:t>
      </w:r>
      <w:r w:rsidR="006F2DE1" w:rsidRPr="0070292F">
        <w:rPr>
          <w:rFonts w:eastAsia="Calibri"/>
          <w:bCs/>
          <w:szCs w:val="24"/>
          <w:lang w:val="fr-FR"/>
        </w:rPr>
        <w:t xml:space="preserve"> </w:t>
      </w:r>
      <w:r w:rsidR="00451749" w:rsidRPr="0070292F">
        <w:rPr>
          <w:rFonts w:eastAsia="Calibri"/>
          <w:bCs/>
          <w:szCs w:val="24"/>
          <w:lang w:val="fr-FR"/>
        </w:rPr>
        <w:t>insuffi</w:t>
      </w:r>
      <w:r w:rsidR="006F2DE1" w:rsidRPr="0070292F">
        <w:rPr>
          <w:rFonts w:eastAsia="Calibri"/>
          <w:bCs/>
          <w:szCs w:val="24"/>
          <w:lang w:val="fr-FR"/>
        </w:rPr>
        <w:t xml:space="preserve">samment </w:t>
      </w:r>
      <w:r w:rsidR="003C1071" w:rsidRPr="0070292F">
        <w:rPr>
          <w:rFonts w:eastAsia="Calibri"/>
          <w:bCs/>
          <w:szCs w:val="24"/>
          <w:lang w:val="fr-FR"/>
        </w:rPr>
        <w:t>définie</w:t>
      </w:r>
      <w:r w:rsidR="006F2DE1" w:rsidRPr="0070292F">
        <w:rPr>
          <w:rFonts w:eastAsia="Calibri"/>
          <w:bCs/>
          <w:szCs w:val="24"/>
          <w:lang w:val="fr-FR"/>
        </w:rPr>
        <w:t>, à savoir celle</w:t>
      </w:r>
      <w:r w:rsidR="006F2DE1" w:rsidRPr="0070292F">
        <w:rPr>
          <w:rFonts w:eastAsia="Cambria"/>
          <w:lang w:val="fr-FR"/>
        </w:rPr>
        <w:t xml:space="preserve"> </w:t>
      </w:r>
      <w:r w:rsidR="00451749" w:rsidRPr="0070292F">
        <w:rPr>
          <w:rFonts w:eastAsia="Cambria"/>
          <w:lang w:val="fr-FR"/>
        </w:rPr>
        <w:t xml:space="preserve">des personnes « que certains signes extérieurs port[ai]ent à considérer enclines à la délinquance » </w:t>
      </w:r>
      <w:r w:rsidR="00451749" w:rsidRPr="0070292F">
        <w:rPr>
          <w:rFonts w:eastAsia="Calibri"/>
          <w:bCs/>
          <w:szCs w:val="24"/>
          <w:lang w:val="fr-FR"/>
        </w:rPr>
        <w:t>(voir l</w:t>
      </w:r>
      <w:r w:rsidR="0070292F" w:rsidRPr="0070292F">
        <w:rPr>
          <w:rFonts w:eastAsia="Calibri"/>
          <w:bCs/>
          <w:szCs w:val="24"/>
          <w:lang w:val="fr-FR"/>
        </w:rPr>
        <w:t>’</w:t>
      </w:r>
      <w:r w:rsidR="00451749" w:rsidRPr="0070292F">
        <w:rPr>
          <w:rFonts w:eastAsia="Calibri"/>
          <w:bCs/>
          <w:szCs w:val="24"/>
          <w:lang w:val="fr-FR"/>
        </w:rPr>
        <w:t>arrêt n</w:t>
      </w:r>
      <w:r w:rsidR="00451749" w:rsidRPr="0070292F">
        <w:rPr>
          <w:rFonts w:eastAsia="Calibri"/>
          <w:bCs/>
          <w:szCs w:val="24"/>
          <w:vertAlign w:val="superscript"/>
          <w:lang w:val="fr-FR"/>
        </w:rPr>
        <w:t>o</w:t>
      </w:r>
      <w:r w:rsidR="00451749" w:rsidRPr="0070292F">
        <w:rPr>
          <w:rFonts w:eastAsia="Calibri"/>
          <w:bCs/>
          <w:szCs w:val="24"/>
          <w:lang w:val="fr-FR"/>
        </w:rPr>
        <w:t xml:space="preserve"> 177 de 1980, paragraphe 55 ci-dessus). La disposition </w:t>
      </w:r>
      <w:r w:rsidR="008A28DE" w:rsidRPr="0070292F">
        <w:rPr>
          <w:rFonts w:eastAsia="Calibri"/>
          <w:bCs/>
          <w:szCs w:val="24"/>
          <w:lang w:val="fr-FR"/>
        </w:rPr>
        <w:t xml:space="preserve">en </w:t>
      </w:r>
      <w:r w:rsidR="008A28DE" w:rsidRPr="0070292F">
        <w:rPr>
          <w:rFonts w:eastAsia="Calibri"/>
          <w:bCs/>
          <w:szCs w:val="24"/>
          <w:lang w:val="fr-FR"/>
        </w:rPr>
        <w:lastRenderedPageBreak/>
        <w:t>cause</w:t>
      </w:r>
      <w:r w:rsidR="00451749" w:rsidRPr="0070292F">
        <w:rPr>
          <w:rFonts w:eastAsia="Calibri"/>
          <w:bCs/>
          <w:szCs w:val="24"/>
          <w:lang w:val="fr-FR"/>
        </w:rPr>
        <w:t xml:space="preserve"> n</w:t>
      </w:r>
      <w:r w:rsidR="0070292F" w:rsidRPr="0070292F">
        <w:rPr>
          <w:rFonts w:eastAsia="Calibri"/>
          <w:bCs/>
          <w:szCs w:val="24"/>
          <w:lang w:val="fr-FR"/>
        </w:rPr>
        <w:t>’</w:t>
      </w:r>
      <w:r w:rsidR="00451749" w:rsidRPr="0070292F">
        <w:rPr>
          <w:rFonts w:eastAsia="Calibri"/>
          <w:bCs/>
          <w:szCs w:val="24"/>
          <w:lang w:val="fr-FR"/>
        </w:rPr>
        <w:t>était plus en vigueur à l</w:t>
      </w:r>
      <w:r w:rsidR="0070292F" w:rsidRPr="0070292F">
        <w:rPr>
          <w:rFonts w:eastAsia="Calibri"/>
          <w:bCs/>
          <w:szCs w:val="24"/>
          <w:lang w:val="fr-FR"/>
        </w:rPr>
        <w:t>’</w:t>
      </w:r>
      <w:r w:rsidR="00451749" w:rsidRPr="0070292F">
        <w:rPr>
          <w:rFonts w:eastAsia="Calibri"/>
          <w:bCs/>
          <w:szCs w:val="24"/>
          <w:lang w:val="fr-FR"/>
        </w:rPr>
        <w:t xml:space="preserve">époque où les mesures litigieuses ont </w:t>
      </w:r>
      <w:r w:rsidR="006F2DE1" w:rsidRPr="0070292F">
        <w:rPr>
          <w:rFonts w:eastAsia="Calibri"/>
          <w:bCs/>
          <w:szCs w:val="24"/>
          <w:lang w:val="fr-FR"/>
        </w:rPr>
        <w:t xml:space="preserve">été </w:t>
      </w:r>
      <w:r w:rsidR="00451749" w:rsidRPr="0070292F">
        <w:rPr>
          <w:rFonts w:eastAsia="Calibri"/>
          <w:bCs/>
          <w:szCs w:val="24"/>
          <w:lang w:val="fr-FR"/>
        </w:rPr>
        <w:t xml:space="preserve">appliquées au requérant. </w:t>
      </w:r>
      <w:r w:rsidR="00745950" w:rsidRPr="0070292F">
        <w:rPr>
          <w:rFonts w:eastAsia="Calibri"/>
          <w:bCs/>
          <w:szCs w:val="24"/>
          <w:lang w:val="fr-FR"/>
        </w:rPr>
        <w:t xml:space="preserve">Pour toutes les autres </w:t>
      </w:r>
      <w:r w:rsidR="00451749" w:rsidRPr="0070292F">
        <w:rPr>
          <w:rFonts w:eastAsia="Calibri"/>
          <w:bCs/>
          <w:szCs w:val="24"/>
          <w:lang w:val="fr-FR"/>
        </w:rPr>
        <w:t>cat</w:t>
      </w:r>
      <w:r w:rsidR="00745950" w:rsidRPr="0070292F">
        <w:rPr>
          <w:rFonts w:eastAsia="Calibri"/>
          <w:bCs/>
          <w:szCs w:val="24"/>
          <w:lang w:val="fr-FR"/>
        </w:rPr>
        <w:t>é</w:t>
      </w:r>
      <w:r w:rsidR="00451749" w:rsidRPr="0070292F">
        <w:rPr>
          <w:rFonts w:eastAsia="Calibri"/>
          <w:bCs/>
          <w:szCs w:val="24"/>
          <w:lang w:val="fr-FR"/>
        </w:rPr>
        <w:t xml:space="preserve">gories </w:t>
      </w:r>
      <w:r w:rsidR="00745950" w:rsidRPr="0070292F">
        <w:rPr>
          <w:rFonts w:eastAsia="Calibri"/>
          <w:bCs/>
          <w:szCs w:val="24"/>
          <w:lang w:val="fr-FR"/>
        </w:rPr>
        <w:t xml:space="preserve">de personnes auxquelles les mesures de prévention </w:t>
      </w:r>
      <w:r w:rsidR="00216448" w:rsidRPr="0070292F">
        <w:rPr>
          <w:rFonts w:eastAsia="Calibri"/>
          <w:bCs/>
          <w:szCs w:val="24"/>
          <w:lang w:val="fr-FR"/>
        </w:rPr>
        <w:t>étaien</w:t>
      </w:r>
      <w:r w:rsidR="00745950" w:rsidRPr="0070292F">
        <w:rPr>
          <w:rFonts w:eastAsia="Calibri"/>
          <w:bCs/>
          <w:szCs w:val="24"/>
          <w:lang w:val="fr-FR"/>
        </w:rPr>
        <w:t xml:space="preserve">t </w:t>
      </w:r>
      <w:r w:rsidR="00451749" w:rsidRPr="0070292F">
        <w:rPr>
          <w:rFonts w:eastAsia="Calibri"/>
          <w:bCs/>
          <w:szCs w:val="24"/>
          <w:lang w:val="fr-FR"/>
        </w:rPr>
        <w:t>applicable</w:t>
      </w:r>
      <w:r w:rsidR="00745950" w:rsidRPr="0070292F">
        <w:rPr>
          <w:rFonts w:eastAsia="Calibri"/>
          <w:bCs/>
          <w:szCs w:val="24"/>
          <w:lang w:val="fr-FR"/>
        </w:rPr>
        <w:t>s</w:t>
      </w:r>
      <w:r w:rsidR="00451749" w:rsidRPr="0070292F">
        <w:rPr>
          <w:rFonts w:eastAsia="Calibri"/>
          <w:bCs/>
          <w:szCs w:val="24"/>
          <w:lang w:val="fr-FR"/>
        </w:rPr>
        <w:t xml:space="preserve">, </w:t>
      </w:r>
      <w:r w:rsidR="00745950" w:rsidRPr="0070292F">
        <w:rPr>
          <w:rFonts w:eastAsia="Calibri"/>
          <w:bCs/>
          <w:szCs w:val="24"/>
          <w:lang w:val="fr-FR"/>
        </w:rPr>
        <w:t>la Cour c</w:t>
      </w:r>
      <w:r w:rsidR="00451749" w:rsidRPr="0070292F">
        <w:rPr>
          <w:rFonts w:eastAsia="Calibri"/>
          <w:bCs/>
          <w:szCs w:val="24"/>
          <w:lang w:val="fr-FR"/>
        </w:rPr>
        <w:t>onstitution</w:t>
      </w:r>
      <w:r w:rsidR="00745950" w:rsidRPr="0070292F">
        <w:rPr>
          <w:rFonts w:eastAsia="Calibri"/>
          <w:bCs/>
          <w:szCs w:val="24"/>
          <w:lang w:val="fr-FR"/>
        </w:rPr>
        <w:t xml:space="preserve">nelle a formulé la </w:t>
      </w:r>
      <w:r w:rsidR="00451749" w:rsidRPr="0070292F">
        <w:rPr>
          <w:rFonts w:eastAsia="Calibri"/>
          <w:bCs/>
          <w:szCs w:val="24"/>
          <w:lang w:val="fr-FR"/>
        </w:rPr>
        <w:t xml:space="preserve">conclusion </w:t>
      </w:r>
      <w:r w:rsidR="00745950" w:rsidRPr="0070292F">
        <w:rPr>
          <w:rFonts w:eastAsia="Calibri"/>
          <w:bCs/>
          <w:szCs w:val="24"/>
          <w:lang w:val="fr-FR"/>
        </w:rPr>
        <w:t>que la loi</w:t>
      </w:r>
      <w:r w:rsidR="00451749" w:rsidRPr="0070292F">
        <w:rPr>
          <w:rFonts w:eastAsia="Calibri"/>
          <w:bCs/>
          <w:szCs w:val="24"/>
          <w:lang w:val="fr-FR"/>
        </w:rPr>
        <w:t xml:space="preserve"> n</w:t>
      </w:r>
      <w:r w:rsidR="00451749" w:rsidRPr="0070292F">
        <w:rPr>
          <w:rFonts w:eastAsia="Calibri"/>
          <w:bCs/>
          <w:szCs w:val="24"/>
          <w:vertAlign w:val="superscript"/>
          <w:lang w:val="fr-FR"/>
        </w:rPr>
        <w:t>o</w:t>
      </w:r>
      <w:r w:rsidR="00451749" w:rsidRPr="0070292F">
        <w:rPr>
          <w:rFonts w:eastAsia="Calibri"/>
          <w:bCs/>
          <w:szCs w:val="24"/>
          <w:lang w:val="fr-FR"/>
        </w:rPr>
        <w:t> 1423/1956 cont</w:t>
      </w:r>
      <w:r w:rsidR="00426EBF" w:rsidRPr="0070292F">
        <w:rPr>
          <w:rFonts w:eastAsia="Calibri"/>
          <w:bCs/>
          <w:szCs w:val="24"/>
          <w:lang w:val="fr-FR"/>
        </w:rPr>
        <w:t xml:space="preserve">enait </w:t>
      </w:r>
      <w:r w:rsidR="00745950" w:rsidRPr="0070292F">
        <w:rPr>
          <w:rFonts w:eastAsia="Calibri"/>
          <w:bCs/>
          <w:szCs w:val="24"/>
          <w:lang w:val="fr-FR"/>
        </w:rPr>
        <w:t>une description s</w:t>
      </w:r>
      <w:r w:rsidR="00451749" w:rsidRPr="0070292F">
        <w:rPr>
          <w:rFonts w:eastAsia="Calibri"/>
          <w:bCs/>
          <w:szCs w:val="24"/>
          <w:lang w:val="fr-FR"/>
        </w:rPr>
        <w:t>uffi</w:t>
      </w:r>
      <w:r w:rsidR="00745950" w:rsidRPr="0070292F">
        <w:rPr>
          <w:rFonts w:eastAsia="Calibri"/>
          <w:bCs/>
          <w:szCs w:val="24"/>
          <w:lang w:val="fr-FR"/>
        </w:rPr>
        <w:t>samment précise des comportements considérés comme socialement</w:t>
      </w:r>
      <w:r w:rsidR="00451749" w:rsidRPr="0070292F">
        <w:rPr>
          <w:rFonts w:eastAsia="Calibri"/>
          <w:bCs/>
          <w:szCs w:val="24"/>
          <w:lang w:val="fr-FR"/>
        </w:rPr>
        <w:t xml:space="preserve"> danger</w:t>
      </w:r>
      <w:r w:rsidR="00745950" w:rsidRPr="0070292F">
        <w:rPr>
          <w:rFonts w:eastAsia="Calibri"/>
          <w:bCs/>
          <w:szCs w:val="24"/>
          <w:lang w:val="fr-FR"/>
        </w:rPr>
        <w:t>eux</w:t>
      </w:r>
      <w:r w:rsidR="00451749" w:rsidRPr="0070292F">
        <w:rPr>
          <w:rFonts w:eastAsia="Calibri"/>
          <w:bCs/>
          <w:szCs w:val="24"/>
          <w:lang w:val="fr-FR"/>
        </w:rPr>
        <w:t xml:space="preserve">. </w:t>
      </w:r>
      <w:r w:rsidR="006F2DE1" w:rsidRPr="0070292F">
        <w:rPr>
          <w:rFonts w:eastAsia="Calibri"/>
          <w:bCs/>
          <w:szCs w:val="24"/>
          <w:lang w:val="fr-FR"/>
        </w:rPr>
        <w:t>Elle</w:t>
      </w:r>
      <w:r w:rsidR="00426EBF" w:rsidRPr="0070292F">
        <w:rPr>
          <w:rFonts w:eastAsia="Calibri"/>
          <w:bCs/>
          <w:szCs w:val="24"/>
          <w:lang w:val="fr-FR"/>
        </w:rPr>
        <w:t xml:space="preserve"> a jugé que </w:t>
      </w:r>
      <w:r w:rsidR="00225583" w:rsidRPr="0070292F">
        <w:rPr>
          <w:rFonts w:eastAsia="Calibri"/>
          <w:bCs/>
          <w:szCs w:val="24"/>
          <w:lang w:val="fr-FR"/>
        </w:rPr>
        <w:t xml:space="preserve">la </w:t>
      </w:r>
      <w:r w:rsidR="00663C3C" w:rsidRPr="0070292F">
        <w:rPr>
          <w:rFonts w:eastAsia="Calibri"/>
          <w:bCs/>
          <w:szCs w:val="24"/>
          <w:lang w:val="fr-FR"/>
        </w:rPr>
        <w:t>simple</w:t>
      </w:r>
      <w:r w:rsidR="00225583" w:rsidRPr="0070292F">
        <w:rPr>
          <w:rFonts w:eastAsia="Calibri"/>
          <w:bCs/>
          <w:szCs w:val="24"/>
          <w:lang w:val="fr-FR"/>
        </w:rPr>
        <w:t xml:space="preserve"> appartenance à l</w:t>
      </w:r>
      <w:r w:rsidR="0070292F" w:rsidRPr="0070292F">
        <w:rPr>
          <w:rFonts w:eastAsia="Calibri"/>
          <w:bCs/>
          <w:szCs w:val="24"/>
          <w:lang w:val="fr-FR"/>
        </w:rPr>
        <w:t>’</w:t>
      </w:r>
      <w:r w:rsidR="00225583" w:rsidRPr="0070292F">
        <w:rPr>
          <w:rFonts w:eastAsia="Calibri"/>
          <w:bCs/>
          <w:szCs w:val="24"/>
          <w:lang w:val="fr-FR"/>
        </w:rPr>
        <w:t>une des catégories de sujets visées à l</w:t>
      </w:r>
      <w:r w:rsidR="0070292F" w:rsidRPr="0070292F">
        <w:rPr>
          <w:rFonts w:eastAsia="Calibri"/>
          <w:bCs/>
          <w:szCs w:val="24"/>
          <w:lang w:val="fr-FR"/>
        </w:rPr>
        <w:t>’</w:t>
      </w:r>
      <w:r w:rsidR="00225583" w:rsidRPr="0070292F">
        <w:rPr>
          <w:rFonts w:eastAsia="Calibri"/>
          <w:bCs/>
          <w:szCs w:val="24"/>
          <w:lang w:val="fr-FR"/>
        </w:rPr>
        <w:t>article 1 de ladite loi ne suffisait pas à justifier l</w:t>
      </w:r>
      <w:r w:rsidR="0070292F" w:rsidRPr="0070292F">
        <w:rPr>
          <w:rFonts w:eastAsia="Calibri"/>
          <w:bCs/>
          <w:szCs w:val="24"/>
          <w:lang w:val="fr-FR"/>
        </w:rPr>
        <w:t>’</w:t>
      </w:r>
      <w:r w:rsidR="00225583" w:rsidRPr="0070292F">
        <w:rPr>
          <w:rFonts w:eastAsia="Calibri"/>
          <w:bCs/>
          <w:szCs w:val="24"/>
          <w:lang w:val="fr-FR"/>
        </w:rPr>
        <w:t>applicat</w:t>
      </w:r>
      <w:r w:rsidR="006F2DE1" w:rsidRPr="0070292F">
        <w:rPr>
          <w:rFonts w:eastAsia="Calibri"/>
          <w:bCs/>
          <w:szCs w:val="24"/>
          <w:lang w:val="fr-FR"/>
        </w:rPr>
        <w:t>ion d</w:t>
      </w:r>
      <w:r w:rsidR="0070292F" w:rsidRPr="0070292F">
        <w:rPr>
          <w:rFonts w:eastAsia="Calibri"/>
          <w:bCs/>
          <w:szCs w:val="24"/>
          <w:lang w:val="fr-FR"/>
        </w:rPr>
        <w:t>’</w:t>
      </w:r>
      <w:r w:rsidR="006F2DE1" w:rsidRPr="0070292F">
        <w:rPr>
          <w:rFonts w:eastAsia="Calibri"/>
          <w:bCs/>
          <w:szCs w:val="24"/>
          <w:lang w:val="fr-FR"/>
        </w:rPr>
        <w:t>une mesure de prévention et qu</w:t>
      </w:r>
      <w:r w:rsidR="0070292F" w:rsidRPr="0070292F">
        <w:rPr>
          <w:rFonts w:eastAsia="Calibri"/>
          <w:bCs/>
          <w:szCs w:val="24"/>
          <w:lang w:val="fr-FR"/>
        </w:rPr>
        <w:t>’</w:t>
      </w:r>
      <w:r w:rsidR="00225583" w:rsidRPr="0070292F">
        <w:rPr>
          <w:rFonts w:eastAsia="Calibri"/>
          <w:bCs/>
          <w:szCs w:val="24"/>
          <w:lang w:val="fr-FR"/>
        </w:rPr>
        <w:t>il fallait au contraire établir l</w:t>
      </w:r>
      <w:r w:rsidR="0070292F" w:rsidRPr="0070292F">
        <w:rPr>
          <w:rFonts w:eastAsia="Calibri"/>
          <w:bCs/>
          <w:szCs w:val="24"/>
          <w:lang w:val="fr-FR"/>
        </w:rPr>
        <w:t>’</w:t>
      </w:r>
      <w:r w:rsidR="00225583" w:rsidRPr="0070292F">
        <w:rPr>
          <w:rFonts w:eastAsia="Calibri"/>
          <w:bCs/>
          <w:szCs w:val="24"/>
          <w:lang w:val="fr-FR"/>
        </w:rPr>
        <w:t>existence d</w:t>
      </w:r>
      <w:r w:rsidR="0070292F" w:rsidRPr="0070292F">
        <w:rPr>
          <w:rFonts w:eastAsia="Calibri"/>
          <w:bCs/>
          <w:szCs w:val="24"/>
          <w:lang w:val="fr-FR"/>
        </w:rPr>
        <w:t>’</w:t>
      </w:r>
      <w:r w:rsidR="00225583" w:rsidRPr="0070292F">
        <w:rPr>
          <w:rFonts w:eastAsia="Calibri"/>
          <w:bCs/>
          <w:szCs w:val="24"/>
          <w:lang w:val="fr-FR"/>
        </w:rPr>
        <w:t>un comportement spécifique de l</w:t>
      </w:r>
      <w:r w:rsidR="0070292F" w:rsidRPr="0070292F">
        <w:rPr>
          <w:rFonts w:eastAsia="Calibri"/>
          <w:bCs/>
          <w:szCs w:val="24"/>
          <w:lang w:val="fr-FR"/>
        </w:rPr>
        <w:t>’</w:t>
      </w:r>
      <w:r w:rsidR="00225583" w:rsidRPr="0070292F">
        <w:rPr>
          <w:rFonts w:eastAsia="Calibri"/>
          <w:bCs/>
          <w:szCs w:val="24"/>
          <w:lang w:val="fr-FR"/>
        </w:rPr>
        <w:t xml:space="preserve">intéressé démontrant la réalité de sa dangerosité, laquelle ne pouvait </w:t>
      </w:r>
      <w:r w:rsidR="00663C3C" w:rsidRPr="0070292F">
        <w:rPr>
          <w:rFonts w:eastAsia="Calibri"/>
          <w:bCs/>
          <w:szCs w:val="24"/>
          <w:lang w:val="fr-FR"/>
        </w:rPr>
        <w:t>être seulement</w:t>
      </w:r>
      <w:r w:rsidR="00225583" w:rsidRPr="0070292F">
        <w:rPr>
          <w:rFonts w:eastAsia="Calibri"/>
          <w:bCs/>
          <w:szCs w:val="24"/>
          <w:lang w:val="fr-FR"/>
        </w:rPr>
        <w:t xml:space="preserve"> théorique. </w:t>
      </w:r>
      <w:r w:rsidR="00774DCA" w:rsidRPr="0070292F">
        <w:rPr>
          <w:rFonts w:eastAsia="Calibri"/>
          <w:bCs/>
          <w:szCs w:val="24"/>
          <w:lang w:val="fr-FR"/>
        </w:rPr>
        <w:t>Elle a indiqué que l</w:t>
      </w:r>
      <w:r w:rsidR="00225583" w:rsidRPr="0070292F">
        <w:rPr>
          <w:rFonts w:eastAsia="Calibri"/>
          <w:bCs/>
          <w:szCs w:val="24"/>
          <w:lang w:val="fr-FR"/>
        </w:rPr>
        <w:t>es</w:t>
      </w:r>
      <w:r w:rsidR="00225583" w:rsidRPr="0070292F">
        <w:rPr>
          <w:rFonts w:ascii="Times New Roman" w:eastAsia="Calibri" w:hAnsi="Times New Roman" w:cs="Times New Roman"/>
          <w:szCs w:val="24"/>
          <w:lang w:val="fr-FR"/>
        </w:rPr>
        <w:t xml:space="preserve"> mesures de prévention ne pouvaient donc pas être adoptées sur la base de simples soupçons, mais devaient </w:t>
      </w:r>
      <w:r w:rsidR="00774DCA" w:rsidRPr="0070292F">
        <w:rPr>
          <w:rFonts w:ascii="Times New Roman" w:eastAsia="Calibri" w:hAnsi="Times New Roman" w:cs="Times New Roman"/>
          <w:szCs w:val="24"/>
          <w:lang w:val="fr-FR"/>
        </w:rPr>
        <w:t>reposer</w:t>
      </w:r>
      <w:r w:rsidR="00225583" w:rsidRPr="0070292F">
        <w:rPr>
          <w:rFonts w:ascii="Times New Roman" w:eastAsia="Calibri" w:hAnsi="Times New Roman" w:cs="Times New Roman"/>
          <w:szCs w:val="24"/>
          <w:lang w:val="fr-FR"/>
        </w:rPr>
        <w:t xml:space="preserve"> sur une appréciation objective des </w:t>
      </w:r>
      <w:r w:rsidR="00E077F1" w:rsidRPr="0070292F">
        <w:rPr>
          <w:rFonts w:ascii="Times New Roman" w:eastAsia="Calibri" w:hAnsi="Times New Roman" w:cs="Times New Roman"/>
          <w:szCs w:val="24"/>
          <w:lang w:val="fr-FR"/>
        </w:rPr>
        <w:t>« </w:t>
      </w:r>
      <w:r w:rsidR="00774DCA" w:rsidRPr="0070292F">
        <w:rPr>
          <w:rFonts w:ascii="Times New Roman" w:eastAsia="Calibri" w:hAnsi="Times New Roman" w:cs="Times New Roman"/>
          <w:szCs w:val="24"/>
          <w:lang w:val="fr-FR"/>
        </w:rPr>
        <w:t>éléments factuels</w:t>
      </w:r>
      <w:r w:rsidR="00E077F1" w:rsidRPr="0070292F">
        <w:rPr>
          <w:rFonts w:ascii="Times New Roman" w:eastAsia="Calibri" w:hAnsi="Times New Roman" w:cs="Times New Roman"/>
          <w:szCs w:val="24"/>
          <w:lang w:val="fr-FR"/>
        </w:rPr>
        <w:t> »</w:t>
      </w:r>
      <w:r w:rsidR="00225583" w:rsidRPr="0070292F">
        <w:rPr>
          <w:rFonts w:ascii="Times New Roman" w:eastAsia="Calibri" w:hAnsi="Times New Roman" w:cs="Times New Roman"/>
          <w:szCs w:val="24"/>
          <w:lang w:val="fr-FR"/>
        </w:rPr>
        <w:t xml:space="preserve"> qui fasse ressortir la conduite habituelle et le niveau de vie de la personne</w:t>
      </w:r>
      <w:r w:rsidR="00774DCA" w:rsidRPr="0070292F">
        <w:rPr>
          <w:rFonts w:ascii="Times New Roman" w:eastAsia="Calibri" w:hAnsi="Times New Roman" w:cs="Times New Roman"/>
          <w:szCs w:val="24"/>
          <w:lang w:val="fr-FR"/>
        </w:rPr>
        <w:t>,</w:t>
      </w:r>
      <w:r w:rsidR="00225583" w:rsidRPr="0070292F">
        <w:rPr>
          <w:rFonts w:ascii="Times New Roman" w:eastAsia="Calibri" w:hAnsi="Times New Roman" w:cs="Times New Roman"/>
          <w:szCs w:val="24"/>
          <w:lang w:val="fr-FR"/>
        </w:rPr>
        <w:t xml:space="preserve"> ou des manifestations concrètes de sa propension à la délinquance</w:t>
      </w:r>
      <w:r w:rsidR="006F2DE1" w:rsidRPr="0070292F">
        <w:rPr>
          <w:rFonts w:ascii="Times New Roman" w:eastAsia="Calibri" w:hAnsi="Times New Roman" w:cs="Times New Roman"/>
          <w:szCs w:val="24"/>
          <w:lang w:val="fr-FR"/>
        </w:rPr>
        <w:t xml:space="preserve"> </w:t>
      </w:r>
      <w:bookmarkStart w:id="39" w:name="lt_pId110"/>
      <w:r w:rsidR="00EF54BC" w:rsidRPr="0070292F">
        <w:rPr>
          <w:rFonts w:eastAsia="Calibri"/>
          <w:bCs/>
          <w:szCs w:val="24"/>
          <w:lang w:val="fr-FR"/>
        </w:rPr>
        <w:t>(</w:t>
      </w:r>
      <w:r w:rsidR="006F2DE1" w:rsidRPr="0070292F">
        <w:rPr>
          <w:rFonts w:eastAsia="Calibri"/>
          <w:bCs/>
          <w:szCs w:val="24"/>
          <w:lang w:val="fr-FR"/>
        </w:rPr>
        <w:t>voir la jurisprudence de la Cour c</w:t>
      </w:r>
      <w:r w:rsidR="00EF54BC" w:rsidRPr="0070292F">
        <w:rPr>
          <w:rFonts w:eastAsia="Calibri"/>
          <w:bCs/>
          <w:szCs w:val="24"/>
          <w:lang w:val="fr-FR"/>
        </w:rPr>
        <w:t>onstitution</w:t>
      </w:r>
      <w:r w:rsidR="006F2DE1" w:rsidRPr="0070292F">
        <w:rPr>
          <w:rFonts w:eastAsia="Calibri"/>
          <w:bCs/>
          <w:szCs w:val="24"/>
          <w:lang w:val="fr-FR"/>
        </w:rPr>
        <w:t xml:space="preserve">nelle citée aux </w:t>
      </w:r>
      <w:r w:rsidR="00EF54BC" w:rsidRPr="0070292F">
        <w:rPr>
          <w:rFonts w:eastAsia="Calibri"/>
          <w:bCs/>
          <w:szCs w:val="24"/>
          <w:lang w:val="fr-FR"/>
        </w:rPr>
        <w:t>paragraph</w:t>
      </w:r>
      <w:r w:rsidR="006F2DE1" w:rsidRPr="0070292F">
        <w:rPr>
          <w:rFonts w:eastAsia="Calibri"/>
          <w:bCs/>
          <w:szCs w:val="24"/>
          <w:lang w:val="fr-FR"/>
        </w:rPr>
        <w:t>e</w:t>
      </w:r>
      <w:r w:rsidR="00EF54BC" w:rsidRPr="0070292F">
        <w:rPr>
          <w:rFonts w:eastAsia="Calibri"/>
          <w:bCs/>
          <w:szCs w:val="24"/>
          <w:lang w:val="fr-FR"/>
        </w:rPr>
        <w:t xml:space="preserve">s 45-55 </w:t>
      </w:r>
      <w:r w:rsidR="006F2DE1" w:rsidRPr="0070292F">
        <w:rPr>
          <w:rFonts w:eastAsia="Calibri"/>
          <w:bCs/>
          <w:szCs w:val="24"/>
          <w:lang w:val="fr-FR"/>
        </w:rPr>
        <w:t>ci-dessus</w:t>
      </w:r>
      <w:r w:rsidR="00EF54BC" w:rsidRPr="0070292F">
        <w:rPr>
          <w:rFonts w:eastAsia="Calibri"/>
          <w:bCs/>
          <w:szCs w:val="24"/>
          <w:lang w:val="fr-FR"/>
        </w:rPr>
        <w:t>)</w:t>
      </w:r>
      <w:r w:rsidR="00EF54BC" w:rsidRPr="0070292F">
        <w:rPr>
          <w:rFonts w:ascii="Times New Roman" w:eastAsia="Calibri" w:hAnsi="Times New Roman" w:cs="Times New Roman"/>
          <w:szCs w:val="24"/>
          <w:lang w:val="fr-FR"/>
        </w:rPr>
        <w:t>.</w:t>
      </w:r>
      <w:bookmarkEnd w:id="39"/>
    </w:p>
    <w:p w:rsidR="00225583" w:rsidRPr="0070292F" w:rsidRDefault="00716F51" w:rsidP="0070292F">
      <w:pPr>
        <w:pStyle w:val="ECHRPara"/>
        <w:rPr>
          <w:rFonts w:eastAsia="Calibri"/>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117</w:t>
      </w:r>
      <w:r w:rsidRPr="0070292F">
        <w:rPr>
          <w:lang w:val="fr-FR"/>
        </w:rPr>
        <w:fldChar w:fldCharType="end"/>
      </w:r>
      <w:r w:rsidRPr="0070292F">
        <w:rPr>
          <w:lang w:val="fr-FR"/>
        </w:rPr>
        <w:t>.  </w:t>
      </w:r>
      <w:r w:rsidR="00225583" w:rsidRPr="0070292F">
        <w:rPr>
          <w:rFonts w:eastAsia="Calibri"/>
          <w:lang w:val="fr-FR"/>
        </w:rPr>
        <w:t xml:space="preserve">La Cour constate que, nonobstant le fait que la Cour constitutionnelle soit intervenue à plusieurs reprises afin de préciser les critères </w:t>
      </w:r>
      <w:r w:rsidR="00774DCA" w:rsidRPr="0070292F">
        <w:rPr>
          <w:rFonts w:eastAsia="Calibri"/>
          <w:lang w:val="fr-FR"/>
        </w:rPr>
        <w:t xml:space="preserve">à </w:t>
      </w:r>
      <w:r w:rsidR="00022189" w:rsidRPr="0070292F">
        <w:rPr>
          <w:rFonts w:eastAsia="Calibri"/>
          <w:lang w:val="fr-FR"/>
        </w:rPr>
        <w:t>employer</w:t>
      </w:r>
      <w:r w:rsidR="00225583" w:rsidRPr="0070292F">
        <w:rPr>
          <w:rFonts w:eastAsia="Calibri"/>
          <w:lang w:val="fr-FR"/>
        </w:rPr>
        <w:t xml:space="preserve"> pour apprécier la néce</w:t>
      </w:r>
      <w:r w:rsidR="00774DCA" w:rsidRPr="0070292F">
        <w:rPr>
          <w:rFonts w:eastAsia="Calibri"/>
          <w:lang w:val="fr-FR"/>
        </w:rPr>
        <w:t>ssité des mesures de prévention</w:t>
      </w:r>
      <w:r w:rsidR="00225583" w:rsidRPr="0070292F">
        <w:rPr>
          <w:rFonts w:eastAsia="Calibri"/>
          <w:lang w:val="fr-FR"/>
        </w:rPr>
        <w:t>, l</w:t>
      </w:r>
      <w:r w:rsidR="0070292F" w:rsidRPr="0070292F">
        <w:rPr>
          <w:rFonts w:eastAsia="Calibri"/>
          <w:lang w:val="fr-FR"/>
        </w:rPr>
        <w:t>’</w:t>
      </w:r>
      <w:r w:rsidR="00225583" w:rsidRPr="0070292F">
        <w:rPr>
          <w:rFonts w:eastAsia="Calibri"/>
          <w:lang w:val="fr-FR"/>
        </w:rPr>
        <w:t>application de</w:t>
      </w:r>
      <w:r w:rsidR="00663C3C" w:rsidRPr="0070292F">
        <w:rPr>
          <w:rFonts w:eastAsia="Calibri"/>
          <w:lang w:val="fr-FR"/>
        </w:rPr>
        <w:t xml:space="preserve"> </w:t>
      </w:r>
      <w:r w:rsidR="00022189" w:rsidRPr="0070292F">
        <w:rPr>
          <w:rFonts w:eastAsia="Calibri"/>
          <w:lang w:val="fr-FR"/>
        </w:rPr>
        <w:t>celles-ci</w:t>
      </w:r>
      <w:r w:rsidR="00225583" w:rsidRPr="0070292F">
        <w:rPr>
          <w:rFonts w:eastAsia="Calibri"/>
          <w:lang w:val="fr-FR"/>
        </w:rPr>
        <w:t xml:space="preserve"> reste liée à une appréciation prospective par les juridictions internes, étant donné que ni la loi ni la Cour constitutionnelle n</w:t>
      </w:r>
      <w:r w:rsidR="0070292F" w:rsidRPr="0070292F">
        <w:rPr>
          <w:rFonts w:eastAsia="Calibri"/>
          <w:lang w:val="fr-FR"/>
        </w:rPr>
        <w:t>’</w:t>
      </w:r>
      <w:r w:rsidR="00225583" w:rsidRPr="0070292F">
        <w:rPr>
          <w:rFonts w:eastAsia="Calibri"/>
          <w:lang w:val="fr-FR"/>
        </w:rPr>
        <w:t xml:space="preserve">ont identifié clairement les « éléments factuels » ou les comportements spécifiques qui doivent être pris en </w:t>
      </w:r>
      <w:r w:rsidR="00022189" w:rsidRPr="0070292F">
        <w:rPr>
          <w:rFonts w:eastAsia="Calibri"/>
          <w:lang w:val="fr-FR"/>
        </w:rPr>
        <w:t>compte</w:t>
      </w:r>
      <w:r w:rsidR="00225583" w:rsidRPr="0070292F">
        <w:rPr>
          <w:rFonts w:eastAsia="Calibri"/>
          <w:lang w:val="fr-FR"/>
        </w:rPr>
        <w:t xml:space="preserve"> pour évaluer la dangerosité sociale de l</w:t>
      </w:r>
      <w:r w:rsidR="0070292F" w:rsidRPr="0070292F">
        <w:rPr>
          <w:rFonts w:eastAsia="Calibri"/>
          <w:lang w:val="fr-FR"/>
        </w:rPr>
        <w:t>’</w:t>
      </w:r>
      <w:r w:rsidR="00225583" w:rsidRPr="0070292F">
        <w:rPr>
          <w:rFonts w:eastAsia="Calibri"/>
          <w:lang w:val="fr-FR"/>
        </w:rPr>
        <w:t xml:space="preserve">individu et </w:t>
      </w:r>
      <w:r w:rsidR="00022189" w:rsidRPr="0070292F">
        <w:rPr>
          <w:rFonts w:eastAsia="Calibri"/>
          <w:lang w:val="fr-FR"/>
        </w:rPr>
        <w:t xml:space="preserve">qui </w:t>
      </w:r>
      <w:r w:rsidR="00225583" w:rsidRPr="0070292F">
        <w:rPr>
          <w:rFonts w:eastAsia="Calibri"/>
          <w:lang w:val="fr-FR"/>
        </w:rPr>
        <w:t>peuvent donner lieu à l</w:t>
      </w:r>
      <w:r w:rsidR="0070292F" w:rsidRPr="0070292F">
        <w:rPr>
          <w:rFonts w:eastAsia="Calibri"/>
          <w:lang w:val="fr-FR"/>
        </w:rPr>
        <w:t>’</w:t>
      </w:r>
      <w:r w:rsidR="00225583" w:rsidRPr="0070292F">
        <w:rPr>
          <w:rFonts w:eastAsia="Calibri"/>
          <w:lang w:val="fr-FR"/>
        </w:rPr>
        <w:t xml:space="preserve">application de </w:t>
      </w:r>
      <w:r w:rsidR="00022189" w:rsidRPr="0070292F">
        <w:rPr>
          <w:rFonts w:eastAsia="Calibri"/>
          <w:lang w:val="fr-FR"/>
        </w:rPr>
        <w:t xml:space="preserve">telles </w:t>
      </w:r>
      <w:r w:rsidR="00225583" w:rsidRPr="0070292F">
        <w:rPr>
          <w:rFonts w:eastAsia="Calibri"/>
          <w:lang w:val="fr-FR"/>
        </w:rPr>
        <w:t xml:space="preserve">mesures. </w:t>
      </w:r>
      <w:r w:rsidR="00022189" w:rsidRPr="0070292F">
        <w:rPr>
          <w:rFonts w:eastAsia="Calibri"/>
          <w:lang w:val="fr-FR"/>
        </w:rPr>
        <w:t>Dès lors</w:t>
      </w:r>
      <w:r w:rsidR="00225583" w:rsidRPr="0070292F">
        <w:rPr>
          <w:rFonts w:eastAsia="Calibri"/>
          <w:lang w:val="fr-FR"/>
        </w:rPr>
        <w:t xml:space="preserve">, la Cour </w:t>
      </w:r>
      <w:r w:rsidR="00022189" w:rsidRPr="0070292F">
        <w:rPr>
          <w:rFonts w:eastAsia="Calibri"/>
          <w:lang w:val="fr-FR"/>
        </w:rPr>
        <w:t>estime</w:t>
      </w:r>
      <w:r w:rsidR="00225583" w:rsidRPr="0070292F">
        <w:rPr>
          <w:rFonts w:eastAsia="Calibri"/>
          <w:lang w:val="fr-FR"/>
        </w:rPr>
        <w:t xml:space="preserve"> que la loi en cause ne prévoyait pas de manière suffisamment détaillée quels comportements étaient à considérer comme socialement dangereux.</w:t>
      </w:r>
    </w:p>
    <w:p w:rsidR="00225583" w:rsidRPr="0070292F" w:rsidRDefault="00716F51"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118</w:t>
      </w:r>
      <w:r w:rsidRPr="0070292F">
        <w:rPr>
          <w:lang w:val="fr-FR"/>
        </w:rPr>
        <w:fldChar w:fldCharType="end"/>
      </w:r>
      <w:r w:rsidRPr="0070292F">
        <w:rPr>
          <w:lang w:val="fr-FR"/>
        </w:rPr>
        <w:t>.  </w:t>
      </w:r>
      <w:r w:rsidR="00225583" w:rsidRPr="0070292F">
        <w:rPr>
          <w:lang w:val="fr-FR"/>
        </w:rPr>
        <w:t>La Cour note qu</w:t>
      </w:r>
      <w:r w:rsidR="0070292F" w:rsidRPr="0070292F">
        <w:rPr>
          <w:lang w:val="fr-FR"/>
        </w:rPr>
        <w:t>’</w:t>
      </w:r>
      <w:r w:rsidR="00225583" w:rsidRPr="0070292F">
        <w:rPr>
          <w:lang w:val="fr-FR"/>
        </w:rPr>
        <w:t>en l</w:t>
      </w:r>
      <w:r w:rsidR="0070292F" w:rsidRPr="0070292F">
        <w:rPr>
          <w:lang w:val="fr-FR"/>
        </w:rPr>
        <w:t>’</w:t>
      </w:r>
      <w:r w:rsidR="00225583" w:rsidRPr="0070292F">
        <w:rPr>
          <w:lang w:val="fr-FR"/>
        </w:rPr>
        <w:t xml:space="preserve">espèce le tribunal </w:t>
      </w:r>
      <w:r w:rsidR="0049400D" w:rsidRPr="0070292F">
        <w:rPr>
          <w:lang w:val="fr-FR"/>
        </w:rPr>
        <w:t>responsable de l</w:t>
      </w:r>
      <w:r w:rsidR="0070292F" w:rsidRPr="0070292F">
        <w:rPr>
          <w:lang w:val="fr-FR"/>
        </w:rPr>
        <w:t>’</w:t>
      </w:r>
      <w:r w:rsidR="00225583" w:rsidRPr="0070292F">
        <w:rPr>
          <w:lang w:val="fr-FR"/>
        </w:rPr>
        <w:t>appli</w:t>
      </w:r>
      <w:r w:rsidR="0049400D" w:rsidRPr="0070292F">
        <w:rPr>
          <w:lang w:val="fr-FR"/>
        </w:rPr>
        <w:t>cation de</w:t>
      </w:r>
      <w:r w:rsidR="00225583" w:rsidRPr="0070292F">
        <w:rPr>
          <w:lang w:val="fr-FR"/>
        </w:rPr>
        <w:t xml:space="preserve"> la mesure de prévention au requérant s</w:t>
      </w:r>
      <w:r w:rsidR="0070292F" w:rsidRPr="0070292F">
        <w:rPr>
          <w:lang w:val="fr-FR"/>
        </w:rPr>
        <w:t>’</w:t>
      </w:r>
      <w:r w:rsidR="00225583" w:rsidRPr="0070292F">
        <w:rPr>
          <w:lang w:val="fr-FR"/>
        </w:rPr>
        <w:t>est fondé sur l</w:t>
      </w:r>
      <w:r w:rsidR="0070292F" w:rsidRPr="0070292F">
        <w:rPr>
          <w:lang w:val="fr-FR"/>
        </w:rPr>
        <w:t>’</w:t>
      </w:r>
      <w:r w:rsidR="00225583" w:rsidRPr="0070292F">
        <w:rPr>
          <w:lang w:val="fr-FR"/>
        </w:rPr>
        <w:t>existence d</w:t>
      </w:r>
      <w:r w:rsidR="0070292F" w:rsidRPr="0070292F">
        <w:rPr>
          <w:lang w:val="fr-FR"/>
        </w:rPr>
        <w:t>’</w:t>
      </w:r>
      <w:r w:rsidR="00225583" w:rsidRPr="0070292F">
        <w:rPr>
          <w:lang w:val="fr-FR"/>
        </w:rPr>
        <w:t>une tendance « active » de celui-ci à la délinquance, sans pour autant lui imputer un comportement ou une activité délictue</w:t>
      </w:r>
      <w:r w:rsidR="00216448" w:rsidRPr="0070292F">
        <w:rPr>
          <w:lang w:val="fr-FR"/>
        </w:rPr>
        <w:t>use</w:t>
      </w:r>
      <w:r w:rsidR="00225583" w:rsidRPr="0070292F">
        <w:rPr>
          <w:lang w:val="fr-FR"/>
        </w:rPr>
        <w:t xml:space="preserve"> </w:t>
      </w:r>
      <w:r w:rsidR="00022189" w:rsidRPr="0070292F">
        <w:rPr>
          <w:lang w:val="fr-FR"/>
        </w:rPr>
        <w:t>spécifique</w:t>
      </w:r>
      <w:r w:rsidR="00225583" w:rsidRPr="0070292F">
        <w:rPr>
          <w:lang w:val="fr-FR"/>
        </w:rPr>
        <w:t>. De plus, le tribunal a mentionné, comme motif d</w:t>
      </w:r>
      <w:r w:rsidR="0070292F" w:rsidRPr="0070292F">
        <w:rPr>
          <w:lang w:val="fr-FR"/>
        </w:rPr>
        <w:t>’</w:t>
      </w:r>
      <w:r w:rsidR="00225583" w:rsidRPr="0070292F">
        <w:rPr>
          <w:lang w:val="fr-FR"/>
        </w:rPr>
        <w:t>application de la mesure de prévention, le fait que le requérant n</w:t>
      </w:r>
      <w:r w:rsidR="0070292F" w:rsidRPr="0070292F">
        <w:rPr>
          <w:lang w:val="fr-FR"/>
        </w:rPr>
        <w:t>’</w:t>
      </w:r>
      <w:r w:rsidR="00225583" w:rsidRPr="0070292F">
        <w:rPr>
          <w:lang w:val="fr-FR"/>
        </w:rPr>
        <w:t>avait pas « d</w:t>
      </w:r>
      <w:r w:rsidR="0070292F" w:rsidRPr="0070292F">
        <w:rPr>
          <w:lang w:val="fr-FR"/>
        </w:rPr>
        <w:t>’</w:t>
      </w:r>
      <w:r w:rsidR="0049400D" w:rsidRPr="0070292F">
        <w:rPr>
          <w:lang w:val="fr-FR"/>
        </w:rPr>
        <w:t xml:space="preserve">emploi stable </w:t>
      </w:r>
      <w:r w:rsidR="00225583" w:rsidRPr="0070292F">
        <w:rPr>
          <w:lang w:val="fr-FR"/>
        </w:rPr>
        <w:t>et légal</w:t>
      </w:r>
      <w:r w:rsidR="00A0259A" w:rsidRPr="0070292F">
        <w:rPr>
          <w:lang w:val="fr-FR"/>
        </w:rPr>
        <w:t> </w:t>
      </w:r>
      <w:r w:rsidR="00225583" w:rsidRPr="0070292F">
        <w:rPr>
          <w:lang w:val="fr-FR"/>
        </w:rPr>
        <w:t xml:space="preserve">» et que </w:t>
      </w:r>
      <w:r w:rsidR="003C3380" w:rsidRPr="0070292F">
        <w:rPr>
          <w:lang w:val="fr-FR"/>
        </w:rPr>
        <w:t>sa</w:t>
      </w:r>
      <w:r w:rsidR="00225583" w:rsidRPr="0070292F">
        <w:rPr>
          <w:lang w:val="fr-FR"/>
        </w:rPr>
        <w:t xml:space="preserve"> vie se caractérisait par une fréquentation assidue de criminels importants au niveau local </w:t>
      </w:r>
      <w:r w:rsidR="00225583" w:rsidRPr="0070292F">
        <w:rPr>
          <w:i/>
          <w:lang w:val="fr-FR"/>
        </w:rPr>
        <w:t>(« malavita »</w:t>
      </w:r>
      <w:r w:rsidR="00225583" w:rsidRPr="0070292F">
        <w:rPr>
          <w:lang w:val="fr-FR"/>
        </w:rPr>
        <w:t xml:space="preserve">) et </w:t>
      </w:r>
      <w:r w:rsidR="003C3380" w:rsidRPr="0070292F">
        <w:rPr>
          <w:lang w:val="fr-FR"/>
        </w:rPr>
        <w:t xml:space="preserve">par </w:t>
      </w:r>
      <w:r w:rsidR="00225583" w:rsidRPr="0070292F">
        <w:rPr>
          <w:lang w:val="fr-FR"/>
        </w:rPr>
        <w:t>la commission de délits (paragraphe</w:t>
      </w:r>
      <w:r w:rsidR="000B1151" w:rsidRPr="0070292F">
        <w:rPr>
          <w:lang w:val="fr-FR"/>
        </w:rPr>
        <w:t>s</w:t>
      </w:r>
      <w:r w:rsidR="00225583" w:rsidRPr="0070292F">
        <w:rPr>
          <w:lang w:val="fr-FR"/>
        </w:rPr>
        <w:t xml:space="preserve"> 15</w:t>
      </w:r>
      <w:r w:rsidR="000B1151" w:rsidRPr="0070292F">
        <w:rPr>
          <w:lang w:val="fr-FR"/>
        </w:rPr>
        <w:t>-16</w:t>
      </w:r>
      <w:r w:rsidR="00225583" w:rsidRPr="0070292F">
        <w:rPr>
          <w:lang w:val="fr-FR"/>
        </w:rPr>
        <w:t xml:space="preserve"> ci</w:t>
      </w:r>
      <w:r w:rsidR="00A0259A" w:rsidRPr="0070292F">
        <w:rPr>
          <w:lang w:val="fr-FR"/>
        </w:rPr>
        <w:noBreakHyphen/>
      </w:r>
      <w:r w:rsidR="00225583" w:rsidRPr="0070292F">
        <w:rPr>
          <w:lang w:val="fr-FR"/>
        </w:rPr>
        <w:t>dessus).</w:t>
      </w:r>
    </w:p>
    <w:p w:rsidR="0070292F" w:rsidRPr="0070292F" w:rsidRDefault="003C3380" w:rsidP="0070292F">
      <w:pPr>
        <w:pStyle w:val="ECHRPara"/>
        <w:rPr>
          <w:rFonts w:eastAsia="Calibri"/>
          <w:lang w:val="fr-FR"/>
        </w:rPr>
      </w:pPr>
      <w:r w:rsidRPr="0070292F">
        <w:rPr>
          <w:rFonts w:eastAsia="Calibri"/>
          <w:lang w:val="fr-FR"/>
        </w:rPr>
        <w:t>En d</w:t>
      </w:r>
      <w:r w:rsidR="0070292F" w:rsidRPr="0070292F">
        <w:rPr>
          <w:rFonts w:eastAsia="Calibri"/>
          <w:lang w:val="fr-FR"/>
        </w:rPr>
        <w:t>’</w:t>
      </w:r>
      <w:r w:rsidRPr="0070292F">
        <w:rPr>
          <w:rFonts w:eastAsia="Calibri"/>
          <w:lang w:val="fr-FR"/>
        </w:rPr>
        <w:t xml:space="preserve">autres termes, le tribunal a fondé son raisonnement sur </w:t>
      </w:r>
      <w:r w:rsidR="00691259" w:rsidRPr="0070292F">
        <w:rPr>
          <w:rFonts w:eastAsia="Calibri"/>
          <w:lang w:val="fr-FR"/>
        </w:rPr>
        <w:t>le postulat</w:t>
      </w:r>
      <w:r w:rsidRPr="0070292F">
        <w:rPr>
          <w:rFonts w:eastAsia="Calibri"/>
          <w:lang w:val="fr-FR"/>
        </w:rPr>
        <w:t xml:space="preserve"> d</w:t>
      </w:r>
      <w:r w:rsidR="0070292F" w:rsidRPr="0070292F">
        <w:rPr>
          <w:rFonts w:eastAsia="Calibri"/>
          <w:lang w:val="fr-FR"/>
        </w:rPr>
        <w:t>’</w:t>
      </w:r>
      <w:r w:rsidRPr="0070292F">
        <w:rPr>
          <w:rFonts w:eastAsia="Calibri"/>
          <w:lang w:val="fr-FR"/>
        </w:rPr>
        <w:t xml:space="preserve">une </w:t>
      </w:r>
      <w:r w:rsidR="007C24C8" w:rsidRPr="0070292F">
        <w:rPr>
          <w:rFonts w:eastAsia="Calibri"/>
          <w:lang w:val="fr-FR"/>
        </w:rPr>
        <w:t>« </w:t>
      </w:r>
      <w:r w:rsidRPr="0070292F">
        <w:rPr>
          <w:rFonts w:eastAsia="Calibri"/>
          <w:lang w:val="fr-FR"/>
        </w:rPr>
        <w:t>tendance à la délinquance</w:t>
      </w:r>
      <w:r w:rsidR="007C24C8" w:rsidRPr="0070292F">
        <w:rPr>
          <w:rFonts w:eastAsia="Calibri"/>
          <w:lang w:val="fr-FR"/>
        </w:rPr>
        <w:t> »</w:t>
      </w:r>
      <w:r w:rsidRPr="0070292F">
        <w:rPr>
          <w:rFonts w:eastAsia="Calibri"/>
          <w:lang w:val="fr-FR"/>
        </w:rPr>
        <w:t xml:space="preserve">, critère que la Cour constitutionnelle avait </w:t>
      </w:r>
      <w:r w:rsidR="00E206E3" w:rsidRPr="0070292F">
        <w:rPr>
          <w:rFonts w:eastAsia="Calibri"/>
          <w:lang w:val="fr-FR"/>
        </w:rPr>
        <w:t>précédemment</w:t>
      </w:r>
      <w:r w:rsidRPr="0070292F">
        <w:rPr>
          <w:rFonts w:eastAsia="Calibri"/>
          <w:lang w:val="fr-FR"/>
        </w:rPr>
        <w:t xml:space="preserve"> jugé insuffisant – dans son arrêt n</w:t>
      </w:r>
      <w:r w:rsidRPr="0070292F">
        <w:rPr>
          <w:rFonts w:eastAsia="Calibri"/>
          <w:vertAlign w:val="superscript"/>
          <w:lang w:val="fr-FR"/>
        </w:rPr>
        <w:t>o</w:t>
      </w:r>
      <w:r w:rsidR="00E206E3" w:rsidRPr="0070292F">
        <w:rPr>
          <w:rFonts w:eastAsia="Calibri"/>
          <w:lang w:val="fr-FR"/>
        </w:rPr>
        <w:t> </w:t>
      </w:r>
      <w:r w:rsidRPr="0070292F">
        <w:rPr>
          <w:rFonts w:eastAsia="Calibri"/>
          <w:lang w:val="fr-FR"/>
        </w:rPr>
        <w:t xml:space="preserve">177 </w:t>
      </w:r>
      <w:r w:rsidR="00022189" w:rsidRPr="0070292F">
        <w:rPr>
          <w:rFonts w:eastAsia="Calibri"/>
          <w:lang w:val="fr-FR"/>
        </w:rPr>
        <w:t>de</w:t>
      </w:r>
      <w:r w:rsidRPr="0070292F">
        <w:rPr>
          <w:rFonts w:eastAsia="Calibri"/>
          <w:lang w:val="fr-FR"/>
        </w:rPr>
        <w:t xml:space="preserve"> 1980 – pour définir une catégorie de personnes </w:t>
      </w:r>
      <w:r w:rsidR="00EE12D1" w:rsidRPr="0070292F">
        <w:rPr>
          <w:rFonts w:eastAsia="Calibri"/>
          <w:lang w:val="fr-FR"/>
        </w:rPr>
        <w:t>pouva</w:t>
      </w:r>
      <w:r w:rsidR="0069043E" w:rsidRPr="0070292F">
        <w:rPr>
          <w:rFonts w:eastAsia="Calibri"/>
          <w:lang w:val="fr-FR"/>
        </w:rPr>
        <w:t>n</w:t>
      </w:r>
      <w:r w:rsidR="00EE12D1" w:rsidRPr="0070292F">
        <w:rPr>
          <w:rFonts w:eastAsia="Calibri"/>
          <w:lang w:val="fr-FR"/>
        </w:rPr>
        <w:t>t faire l</w:t>
      </w:r>
      <w:r w:rsidR="0070292F" w:rsidRPr="0070292F">
        <w:rPr>
          <w:rFonts w:eastAsia="Calibri"/>
          <w:lang w:val="fr-FR"/>
        </w:rPr>
        <w:t>’</w:t>
      </w:r>
      <w:r w:rsidR="00EE12D1" w:rsidRPr="0070292F">
        <w:rPr>
          <w:rFonts w:eastAsia="Calibri"/>
          <w:lang w:val="fr-FR"/>
        </w:rPr>
        <w:t xml:space="preserve">objet de </w:t>
      </w:r>
      <w:r w:rsidRPr="0070292F">
        <w:rPr>
          <w:rFonts w:eastAsia="Calibri"/>
          <w:lang w:val="fr-FR"/>
        </w:rPr>
        <w:t>mesures préven</w:t>
      </w:r>
      <w:r w:rsidR="00EE12D1" w:rsidRPr="0070292F">
        <w:rPr>
          <w:rFonts w:eastAsia="Calibri"/>
          <w:lang w:val="fr-FR"/>
        </w:rPr>
        <w:t>tives</w:t>
      </w:r>
      <w:r w:rsidRPr="0070292F">
        <w:rPr>
          <w:rFonts w:eastAsia="Calibri"/>
          <w:lang w:val="fr-FR"/>
        </w:rPr>
        <w:t xml:space="preserve"> (paragraphe</w:t>
      </w:r>
      <w:r w:rsidR="007C24C8" w:rsidRPr="0070292F">
        <w:rPr>
          <w:rFonts w:eastAsia="Calibri"/>
          <w:lang w:val="fr-FR"/>
        </w:rPr>
        <w:t xml:space="preserve"> 55</w:t>
      </w:r>
      <w:r w:rsidRPr="0070292F">
        <w:rPr>
          <w:rFonts w:eastAsia="Calibri"/>
          <w:lang w:val="fr-FR"/>
        </w:rPr>
        <w:t xml:space="preserve"> ci-dessus).</w:t>
      </w:r>
    </w:p>
    <w:p w:rsidR="00225583" w:rsidRPr="0070292F" w:rsidRDefault="00225583" w:rsidP="0070292F">
      <w:pPr>
        <w:pStyle w:val="ECHRPara"/>
        <w:rPr>
          <w:lang w:val="fr-FR"/>
        </w:rPr>
      </w:pPr>
      <w:r w:rsidRPr="0070292F">
        <w:rPr>
          <w:lang w:val="fr-FR"/>
        </w:rPr>
        <w:t>En définitive, la Cour considère que, faute d</w:t>
      </w:r>
      <w:r w:rsidR="0070292F" w:rsidRPr="0070292F">
        <w:rPr>
          <w:lang w:val="fr-FR"/>
        </w:rPr>
        <w:t>’</w:t>
      </w:r>
      <w:r w:rsidRPr="0070292F">
        <w:rPr>
          <w:lang w:val="fr-FR"/>
        </w:rPr>
        <w:t>avoir défini avec la clarté requise l</w:t>
      </w:r>
      <w:r w:rsidR="0070292F" w:rsidRPr="0070292F">
        <w:rPr>
          <w:lang w:val="fr-FR"/>
        </w:rPr>
        <w:t>’</w:t>
      </w:r>
      <w:r w:rsidRPr="0070292F">
        <w:rPr>
          <w:lang w:val="fr-FR"/>
        </w:rPr>
        <w:t>étendue et les modalités d</w:t>
      </w:r>
      <w:r w:rsidR="0070292F" w:rsidRPr="0070292F">
        <w:rPr>
          <w:lang w:val="fr-FR"/>
        </w:rPr>
        <w:t>’</w:t>
      </w:r>
      <w:r w:rsidRPr="0070292F">
        <w:rPr>
          <w:lang w:val="fr-FR"/>
        </w:rPr>
        <w:t>exercice du pouvoir d</w:t>
      </w:r>
      <w:r w:rsidR="0070292F" w:rsidRPr="0070292F">
        <w:rPr>
          <w:lang w:val="fr-FR"/>
        </w:rPr>
        <w:t>’</w:t>
      </w:r>
      <w:r w:rsidRPr="0070292F">
        <w:rPr>
          <w:lang w:val="fr-FR"/>
        </w:rPr>
        <w:t xml:space="preserve">appréciation considérable ainsi conféré aux juridictions internes, la loi en vigueur à </w:t>
      </w:r>
      <w:r w:rsidRPr="0070292F">
        <w:rPr>
          <w:lang w:val="fr-FR"/>
        </w:rPr>
        <w:lastRenderedPageBreak/>
        <w:t>l</w:t>
      </w:r>
      <w:r w:rsidR="0070292F" w:rsidRPr="0070292F">
        <w:rPr>
          <w:lang w:val="fr-FR"/>
        </w:rPr>
        <w:t>’</w:t>
      </w:r>
      <w:r w:rsidRPr="0070292F">
        <w:rPr>
          <w:lang w:val="fr-FR"/>
        </w:rPr>
        <w:t xml:space="preserve">époque pertinente </w:t>
      </w:r>
      <w:r w:rsidR="006D303A" w:rsidRPr="0070292F">
        <w:rPr>
          <w:lang w:val="fr-FR"/>
        </w:rPr>
        <w:t xml:space="preserve">(article 1 de la loi de 1956) </w:t>
      </w:r>
      <w:r w:rsidRPr="0070292F">
        <w:rPr>
          <w:lang w:val="fr-FR"/>
        </w:rPr>
        <w:t>n</w:t>
      </w:r>
      <w:r w:rsidR="0070292F" w:rsidRPr="0070292F">
        <w:rPr>
          <w:lang w:val="fr-FR"/>
        </w:rPr>
        <w:t>’</w:t>
      </w:r>
      <w:r w:rsidRPr="0070292F">
        <w:rPr>
          <w:lang w:val="fr-FR"/>
        </w:rPr>
        <w:t xml:space="preserve">était pas formulée avec une précision suffisante pour </w:t>
      </w:r>
      <w:r w:rsidR="006D303A" w:rsidRPr="0070292F">
        <w:rPr>
          <w:lang w:val="fr-FR"/>
        </w:rPr>
        <w:t xml:space="preserve">offrir une protection contre les ingérences arbitraires et </w:t>
      </w:r>
      <w:r w:rsidRPr="0070292F">
        <w:rPr>
          <w:lang w:val="fr-FR"/>
        </w:rPr>
        <w:t>permettre au requérant de régler sa conduite et de prévoir avec un degré suffisant de certitude l</w:t>
      </w:r>
      <w:r w:rsidR="0070292F" w:rsidRPr="0070292F">
        <w:rPr>
          <w:lang w:val="fr-FR"/>
        </w:rPr>
        <w:t>’</w:t>
      </w:r>
      <w:r w:rsidRPr="0070292F">
        <w:rPr>
          <w:lang w:val="fr-FR"/>
        </w:rPr>
        <w:t>application des mesures de prévention.</w:t>
      </w:r>
    </w:p>
    <w:p w:rsidR="0070292F" w:rsidRPr="0070292F" w:rsidRDefault="00722C49"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119</w:t>
      </w:r>
      <w:r w:rsidRPr="0070292F">
        <w:rPr>
          <w:lang w:val="fr-FR"/>
        </w:rPr>
        <w:fldChar w:fldCharType="end"/>
      </w:r>
      <w:r w:rsidRPr="0070292F">
        <w:rPr>
          <w:lang w:val="fr-FR"/>
        </w:rPr>
        <w:t>.  </w:t>
      </w:r>
      <w:r w:rsidR="00B2003E" w:rsidRPr="0070292F">
        <w:rPr>
          <w:lang w:val="fr-FR"/>
        </w:rPr>
        <w:t>C</w:t>
      </w:r>
      <w:r w:rsidR="001B1383" w:rsidRPr="0070292F">
        <w:rPr>
          <w:lang w:val="fr-FR"/>
        </w:rPr>
        <w:t>oncern</w:t>
      </w:r>
      <w:r w:rsidR="00B2003E" w:rsidRPr="0070292F">
        <w:rPr>
          <w:lang w:val="fr-FR"/>
        </w:rPr>
        <w:t>ant</w:t>
      </w:r>
      <w:r w:rsidR="00EF54BC" w:rsidRPr="0070292F">
        <w:rPr>
          <w:lang w:val="fr-FR"/>
        </w:rPr>
        <w:t xml:space="preserve"> </w:t>
      </w:r>
      <w:r w:rsidR="001B1383" w:rsidRPr="0070292F">
        <w:rPr>
          <w:lang w:val="fr-FR"/>
        </w:rPr>
        <w:t>les</w:t>
      </w:r>
      <w:r w:rsidR="00EF54BC" w:rsidRPr="0070292F">
        <w:rPr>
          <w:lang w:val="fr-FR"/>
        </w:rPr>
        <w:t xml:space="preserve"> mesures </w:t>
      </w:r>
      <w:r w:rsidR="001B1383" w:rsidRPr="0070292F">
        <w:rPr>
          <w:lang w:val="fr-FR"/>
        </w:rPr>
        <w:t>prévues par les articles</w:t>
      </w:r>
      <w:r w:rsidR="00EF54BC" w:rsidRPr="0070292F">
        <w:rPr>
          <w:lang w:val="fr-FR"/>
        </w:rPr>
        <w:t xml:space="preserve"> 3 </w:t>
      </w:r>
      <w:r w:rsidR="001B1383" w:rsidRPr="0070292F">
        <w:rPr>
          <w:lang w:val="fr-FR"/>
        </w:rPr>
        <w:t>et</w:t>
      </w:r>
      <w:r w:rsidR="00EF54BC" w:rsidRPr="0070292F">
        <w:rPr>
          <w:lang w:val="fr-FR"/>
        </w:rPr>
        <w:t xml:space="preserve"> 5 </w:t>
      </w:r>
      <w:r w:rsidR="001B1383" w:rsidRPr="0070292F">
        <w:rPr>
          <w:lang w:val="fr-FR"/>
        </w:rPr>
        <w:t>de la loi</w:t>
      </w:r>
      <w:r w:rsidR="00EF54BC" w:rsidRPr="0070292F">
        <w:rPr>
          <w:lang w:val="fr-FR"/>
        </w:rPr>
        <w:t xml:space="preserve"> n</w:t>
      </w:r>
      <w:r w:rsidR="00EF54BC" w:rsidRPr="0070292F">
        <w:rPr>
          <w:vertAlign w:val="superscript"/>
          <w:lang w:val="fr-FR"/>
        </w:rPr>
        <w:t>o</w:t>
      </w:r>
      <w:r w:rsidR="00EF54BC" w:rsidRPr="0070292F">
        <w:rPr>
          <w:lang w:val="fr-FR"/>
        </w:rPr>
        <w:t xml:space="preserve"> 1423/1956 </w:t>
      </w:r>
      <w:r w:rsidR="001B1383" w:rsidRPr="0070292F">
        <w:rPr>
          <w:lang w:val="fr-FR"/>
        </w:rPr>
        <w:t xml:space="preserve">qui ont été </w:t>
      </w:r>
      <w:r w:rsidR="00EF54BC" w:rsidRPr="0070292F">
        <w:rPr>
          <w:lang w:val="fr-FR"/>
        </w:rPr>
        <w:t>appli</w:t>
      </w:r>
      <w:r w:rsidR="001B1383" w:rsidRPr="0070292F">
        <w:rPr>
          <w:lang w:val="fr-FR"/>
        </w:rPr>
        <w:t>quées au requérant</w:t>
      </w:r>
      <w:r w:rsidR="00EF54BC" w:rsidRPr="0070292F">
        <w:rPr>
          <w:lang w:val="fr-FR"/>
        </w:rPr>
        <w:t xml:space="preserve">, </w:t>
      </w:r>
      <w:r w:rsidR="00E00E8C" w:rsidRPr="0070292F">
        <w:rPr>
          <w:lang w:val="fr-FR"/>
        </w:rPr>
        <w:t>la Cour</w:t>
      </w:r>
      <w:r w:rsidR="00EF54BC" w:rsidRPr="0070292F">
        <w:rPr>
          <w:lang w:val="fr-FR"/>
        </w:rPr>
        <w:t xml:space="preserve"> observe</w:t>
      </w:r>
      <w:r w:rsidR="00E00E8C" w:rsidRPr="0070292F">
        <w:rPr>
          <w:lang w:val="fr-FR"/>
        </w:rPr>
        <w:t xml:space="preserve"> que certaines d</w:t>
      </w:r>
      <w:r w:rsidR="0070292F" w:rsidRPr="0070292F">
        <w:rPr>
          <w:lang w:val="fr-FR"/>
        </w:rPr>
        <w:t>’</w:t>
      </w:r>
      <w:r w:rsidR="00E00E8C" w:rsidRPr="0070292F">
        <w:rPr>
          <w:lang w:val="fr-FR"/>
        </w:rPr>
        <w:t xml:space="preserve">entre elles </w:t>
      </w:r>
      <w:r w:rsidR="00EF54BC" w:rsidRPr="0070292F">
        <w:rPr>
          <w:lang w:val="fr-FR"/>
        </w:rPr>
        <w:t>s</w:t>
      </w:r>
      <w:r w:rsidR="00E00E8C" w:rsidRPr="0070292F">
        <w:rPr>
          <w:lang w:val="fr-FR"/>
        </w:rPr>
        <w:t xml:space="preserve">ont </w:t>
      </w:r>
      <w:r w:rsidR="00B2003E" w:rsidRPr="0070292F">
        <w:rPr>
          <w:lang w:val="fr-FR"/>
        </w:rPr>
        <w:t>libell</w:t>
      </w:r>
      <w:r w:rsidR="009F3AD8" w:rsidRPr="0070292F">
        <w:rPr>
          <w:lang w:val="fr-FR"/>
        </w:rPr>
        <w:t>ées</w:t>
      </w:r>
      <w:r w:rsidR="00E00E8C" w:rsidRPr="0070292F">
        <w:rPr>
          <w:lang w:val="fr-FR"/>
        </w:rPr>
        <w:t xml:space="preserve"> de façon très générale et que leur contenu est </w:t>
      </w:r>
      <w:r w:rsidR="00EF54BC" w:rsidRPr="0070292F">
        <w:rPr>
          <w:lang w:val="fr-FR"/>
        </w:rPr>
        <w:t>extr</w:t>
      </w:r>
      <w:r w:rsidR="00E00E8C" w:rsidRPr="0070292F">
        <w:rPr>
          <w:lang w:val="fr-FR"/>
        </w:rPr>
        <w:t>ê</w:t>
      </w:r>
      <w:r w:rsidR="00EF54BC" w:rsidRPr="0070292F">
        <w:rPr>
          <w:lang w:val="fr-FR"/>
        </w:rPr>
        <w:t>me</w:t>
      </w:r>
      <w:r w:rsidR="00E00E8C" w:rsidRPr="0070292F">
        <w:rPr>
          <w:lang w:val="fr-FR"/>
        </w:rPr>
        <w:t xml:space="preserve">ment </w:t>
      </w:r>
      <w:r w:rsidR="00EF54BC" w:rsidRPr="0070292F">
        <w:rPr>
          <w:lang w:val="fr-FR"/>
        </w:rPr>
        <w:t xml:space="preserve">vague </w:t>
      </w:r>
      <w:r w:rsidR="00E00E8C" w:rsidRPr="0070292F">
        <w:rPr>
          <w:lang w:val="fr-FR"/>
        </w:rPr>
        <w:t>et</w:t>
      </w:r>
      <w:r w:rsidR="00EF54BC" w:rsidRPr="0070292F">
        <w:rPr>
          <w:lang w:val="fr-FR"/>
        </w:rPr>
        <w:t xml:space="preserve"> </w:t>
      </w:r>
      <w:r w:rsidR="00332C8B" w:rsidRPr="0070292F">
        <w:rPr>
          <w:lang w:val="fr-FR"/>
        </w:rPr>
        <w:t>imprécis</w:t>
      </w:r>
      <w:r w:rsidR="00E00E8C" w:rsidRPr="0070292F">
        <w:rPr>
          <w:lang w:val="fr-FR"/>
        </w:rPr>
        <w:t xml:space="preserve"> ; cela vaut en </w:t>
      </w:r>
      <w:r w:rsidR="00EF54BC" w:rsidRPr="0070292F">
        <w:rPr>
          <w:lang w:val="fr-FR"/>
        </w:rPr>
        <w:t>particul</w:t>
      </w:r>
      <w:r w:rsidR="00E00E8C" w:rsidRPr="0070292F">
        <w:rPr>
          <w:lang w:val="fr-FR"/>
        </w:rPr>
        <w:t xml:space="preserve">ier pour les dispositions relatives aux </w:t>
      </w:r>
      <w:bookmarkStart w:id="40" w:name="lt_pId123"/>
      <w:r w:rsidR="00EF54BC" w:rsidRPr="0070292F">
        <w:rPr>
          <w:lang w:val="fr-FR"/>
        </w:rPr>
        <w:t xml:space="preserve">obligations </w:t>
      </w:r>
      <w:r w:rsidR="00E00E8C" w:rsidRPr="0070292F">
        <w:rPr>
          <w:lang w:val="fr-FR"/>
        </w:rPr>
        <w:t>de</w:t>
      </w:r>
      <w:r w:rsidR="00EF54BC" w:rsidRPr="0070292F">
        <w:rPr>
          <w:lang w:val="fr-FR"/>
        </w:rPr>
        <w:t xml:space="preserve"> </w:t>
      </w:r>
      <w:r w:rsidR="00562724" w:rsidRPr="0070292F">
        <w:rPr>
          <w:lang w:val="fr-FR"/>
        </w:rPr>
        <w:t>« vivre honnêtement</w:t>
      </w:r>
      <w:r w:rsidR="00B2003E" w:rsidRPr="0070292F">
        <w:rPr>
          <w:lang w:val="fr-FR"/>
        </w:rPr>
        <w:t xml:space="preserve"> et dans le </w:t>
      </w:r>
      <w:r w:rsidR="009F3AD8" w:rsidRPr="0070292F">
        <w:rPr>
          <w:lang w:val="fr-FR"/>
        </w:rPr>
        <w:t>respect</w:t>
      </w:r>
      <w:r w:rsidR="00B2003E" w:rsidRPr="0070292F">
        <w:rPr>
          <w:lang w:val="fr-FR"/>
        </w:rPr>
        <w:t xml:space="preserve"> d</w:t>
      </w:r>
      <w:r w:rsidR="00562724" w:rsidRPr="0070292F">
        <w:rPr>
          <w:lang w:val="fr-FR"/>
        </w:rPr>
        <w:t>es lois » et de « ne pas prêter à soupçon »</w:t>
      </w:r>
      <w:r w:rsidR="00EF54BC" w:rsidRPr="0070292F">
        <w:rPr>
          <w:lang w:val="fr-FR"/>
        </w:rPr>
        <w:t>.</w:t>
      </w:r>
      <w:bookmarkEnd w:id="40"/>
    </w:p>
    <w:p w:rsidR="00EF54BC" w:rsidRPr="0070292F" w:rsidRDefault="00562724" w:rsidP="0070292F">
      <w:pPr>
        <w:pStyle w:val="ECHRPara"/>
        <w:rPr>
          <w:lang w:val="fr-FR"/>
        </w:rPr>
      </w:pPr>
      <w:r w:rsidRPr="0070292F">
        <w:rPr>
          <w:rFonts w:eastAsia="Calibri"/>
          <w:bCs/>
          <w:szCs w:val="24"/>
          <w:lang w:val="fr-FR"/>
        </w:rPr>
        <w:t>À cet égard</w:t>
      </w:r>
      <w:r w:rsidR="00EF54BC" w:rsidRPr="0070292F">
        <w:rPr>
          <w:rFonts w:eastAsia="Calibri"/>
          <w:bCs/>
          <w:szCs w:val="24"/>
          <w:lang w:val="fr-FR"/>
        </w:rPr>
        <w:t xml:space="preserve">, </w:t>
      </w:r>
      <w:r w:rsidR="00E00E8C" w:rsidRPr="0070292F">
        <w:rPr>
          <w:rFonts w:eastAsia="Calibri"/>
          <w:bCs/>
          <w:szCs w:val="24"/>
          <w:lang w:val="fr-FR"/>
        </w:rPr>
        <w:t>la Cour</w:t>
      </w:r>
      <w:r w:rsidR="00EF54BC" w:rsidRPr="0070292F">
        <w:rPr>
          <w:rFonts w:eastAsia="Calibri"/>
          <w:bCs/>
          <w:szCs w:val="24"/>
          <w:lang w:val="fr-FR"/>
        </w:rPr>
        <w:t xml:space="preserve"> note</w:t>
      </w:r>
      <w:r w:rsidRPr="0070292F">
        <w:rPr>
          <w:rFonts w:eastAsia="Calibri"/>
          <w:bCs/>
          <w:szCs w:val="24"/>
          <w:lang w:val="fr-FR"/>
        </w:rPr>
        <w:t xml:space="preserve"> que la Cour constitutionnelle</w:t>
      </w:r>
      <w:r w:rsidR="00EF54BC" w:rsidRPr="0070292F">
        <w:rPr>
          <w:rFonts w:eastAsia="Calibri"/>
          <w:bCs/>
          <w:szCs w:val="24"/>
          <w:lang w:val="fr-FR"/>
        </w:rPr>
        <w:t xml:space="preserve"> </w:t>
      </w:r>
      <w:r w:rsidRPr="0070292F">
        <w:rPr>
          <w:rFonts w:eastAsia="Calibri"/>
          <w:bCs/>
          <w:szCs w:val="24"/>
          <w:lang w:val="fr-FR"/>
        </w:rPr>
        <w:t>est parvenue à la</w:t>
      </w:r>
      <w:r w:rsidR="00EF54BC" w:rsidRPr="0070292F">
        <w:rPr>
          <w:rFonts w:eastAsia="Calibri"/>
          <w:bCs/>
          <w:szCs w:val="24"/>
          <w:lang w:val="fr-FR"/>
        </w:rPr>
        <w:t xml:space="preserve"> conclusion</w:t>
      </w:r>
      <w:r w:rsidR="00EF54BC" w:rsidRPr="0070292F">
        <w:rPr>
          <w:lang w:val="fr-FR"/>
        </w:rPr>
        <w:t xml:space="preserve"> </w:t>
      </w:r>
      <w:r w:rsidRPr="0070292F">
        <w:rPr>
          <w:lang w:val="fr-FR"/>
        </w:rPr>
        <w:t>que les</w:t>
      </w:r>
      <w:r w:rsidR="00EF54BC" w:rsidRPr="0070292F">
        <w:rPr>
          <w:lang w:val="fr-FR"/>
        </w:rPr>
        <w:t xml:space="preserve"> obligations </w:t>
      </w:r>
      <w:r w:rsidRPr="0070292F">
        <w:rPr>
          <w:lang w:val="fr-FR"/>
        </w:rPr>
        <w:t>de « vivre honnêtement » et de</w:t>
      </w:r>
      <w:r w:rsidR="00EF54BC" w:rsidRPr="0070292F">
        <w:rPr>
          <w:lang w:val="fr-FR"/>
        </w:rPr>
        <w:t xml:space="preserve"> </w:t>
      </w:r>
      <w:r w:rsidRPr="0070292F">
        <w:rPr>
          <w:lang w:val="fr-FR"/>
        </w:rPr>
        <w:t>« ne pas prêter à soupçon » n</w:t>
      </w:r>
      <w:r w:rsidR="0070292F" w:rsidRPr="0070292F">
        <w:rPr>
          <w:lang w:val="fr-FR"/>
        </w:rPr>
        <w:t>’</w:t>
      </w:r>
      <w:r w:rsidRPr="0070292F">
        <w:rPr>
          <w:lang w:val="fr-FR"/>
        </w:rPr>
        <w:t xml:space="preserve">emportaient pas violation du </w:t>
      </w:r>
      <w:r w:rsidR="00EF54BC" w:rsidRPr="0070292F">
        <w:rPr>
          <w:lang w:val="fr-FR"/>
        </w:rPr>
        <w:t xml:space="preserve">principe </w:t>
      </w:r>
      <w:r w:rsidRPr="0070292F">
        <w:rPr>
          <w:lang w:val="fr-FR"/>
        </w:rPr>
        <w:t>de légalité</w:t>
      </w:r>
      <w:r w:rsidR="00EF54BC" w:rsidRPr="0070292F">
        <w:rPr>
          <w:lang w:val="fr-FR"/>
        </w:rPr>
        <w:t xml:space="preserve"> (paragraph</w:t>
      </w:r>
      <w:r w:rsidRPr="0070292F">
        <w:rPr>
          <w:lang w:val="fr-FR"/>
        </w:rPr>
        <w:t>e</w:t>
      </w:r>
      <w:r w:rsidR="0070292F" w:rsidRPr="0070292F">
        <w:rPr>
          <w:lang w:val="fr-FR"/>
        </w:rPr>
        <w:t> </w:t>
      </w:r>
      <w:r w:rsidR="008C565F" w:rsidRPr="0070292F">
        <w:rPr>
          <w:lang w:val="fr-FR"/>
        </w:rPr>
        <w:t xml:space="preserve">59 </w:t>
      </w:r>
      <w:r w:rsidRPr="0070292F">
        <w:rPr>
          <w:lang w:val="fr-FR"/>
        </w:rPr>
        <w:t>ci-dessus</w:t>
      </w:r>
      <w:r w:rsidR="00EF54BC" w:rsidRPr="0070292F">
        <w:rPr>
          <w:lang w:val="fr-FR"/>
        </w:rPr>
        <w:t>).</w:t>
      </w:r>
    </w:p>
    <w:p w:rsidR="0070292F" w:rsidRPr="0070292F" w:rsidRDefault="00C165E2"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120</w:t>
      </w:r>
      <w:r w:rsidRPr="0070292F">
        <w:rPr>
          <w:lang w:val="fr-FR"/>
        </w:rPr>
        <w:fldChar w:fldCharType="end"/>
      </w:r>
      <w:r w:rsidRPr="0070292F">
        <w:rPr>
          <w:lang w:val="fr-FR"/>
        </w:rPr>
        <w:t>.  </w:t>
      </w:r>
      <w:r w:rsidR="004D635A" w:rsidRPr="0070292F">
        <w:rPr>
          <w:lang w:val="fr-FR"/>
        </w:rPr>
        <w:t xml:space="preserve">Elle relève </w:t>
      </w:r>
      <w:r w:rsidR="00562724" w:rsidRPr="0070292F">
        <w:rPr>
          <w:lang w:val="fr-FR"/>
        </w:rPr>
        <w:t>que l</w:t>
      </w:r>
      <w:r w:rsidR="0070292F" w:rsidRPr="0070292F">
        <w:rPr>
          <w:lang w:val="fr-FR"/>
        </w:rPr>
        <w:t>’</w:t>
      </w:r>
      <w:r w:rsidR="00EF54BC" w:rsidRPr="0070292F">
        <w:rPr>
          <w:lang w:val="fr-FR"/>
        </w:rPr>
        <w:t>interpr</w:t>
      </w:r>
      <w:r w:rsidR="00562724" w:rsidRPr="0070292F">
        <w:rPr>
          <w:lang w:val="fr-FR"/>
        </w:rPr>
        <w:t>é</w:t>
      </w:r>
      <w:r w:rsidR="00EF54BC" w:rsidRPr="0070292F">
        <w:rPr>
          <w:lang w:val="fr-FR"/>
        </w:rPr>
        <w:t xml:space="preserve">tation </w:t>
      </w:r>
      <w:r w:rsidR="00562724" w:rsidRPr="0070292F">
        <w:rPr>
          <w:lang w:val="fr-FR"/>
        </w:rPr>
        <w:t>livrée par la Cour constitutionnelle</w:t>
      </w:r>
      <w:r w:rsidR="00EF54BC" w:rsidRPr="0070292F">
        <w:rPr>
          <w:lang w:val="fr-FR"/>
        </w:rPr>
        <w:t xml:space="preserve"> </w:t>
      </w:r>
      <w:r w:rsidR="00562724" w:rsidRPr="0070292F">
        <w:rPr>
          <w:lang w:val="fr-FR"/>
        </w:rPr>
        <w:t>dans son arrêt</w:t>
      </w:r>
      <w:r w:rsidR="00EF54BC" w:rsidRPr="0070292F">
        <w:rPr>
          <w:lang w:val="fr-FR"/>
        </w:rPr>
        <w:t xml:space="preserve"> n</w:t>
      </w:r>
      <w:r w:rsidR="00EF54BC" w:rsidRPr="0070292F">
        <w:rPr>
          <w:vertAlign w:val="superscript"/>
          <w:lang w:val="fr-FR"/>
        </w:rPr>
        <w:t>o</w:t>
      </w:r>
      <w:r w:rsidR="00EF54BC" w:rsidRPr="0070292F">
        <w:rPr>
          <w:lang w:val="fr-FR"/>
        </w:rPr>
        <w:t xml:space="preserve"> 282 </w:t>
      </w:r>
      <w:r w:rsidR="00562724" w:rsidRPr="0070292F">
        <w:rPr>
          <w:lang w:val="fr-FR"/>
        </w:rPr>
        <w:t>de</w:t>
      </w:r>
      <w:r w:rsidR="00EF54BC" w:rsidRPr="0070292F">
        <w:rPr>
          <w:lang w:val="fr-FR"/>
        </w:rPr>
        <w:t xml:space="preserve"> 2010 </w:t>
      </w:r>
      <w:r w:rsidR="00562724" w:rsidRPr="0070292F">
        <w:rPr>
          <w:lang w:val="fr-FR"/>
        </w:rPr>
        <w:t>est postérieure aux faits de l</w:t>
      </w:r>
      <w:r w:rsidR="0070292F" w:rsidRPr="0070292F">
        <w:rPr>
          <w:lang w:val="fr-FR"/>
        </w:rPr>
        <w:t>’</w:t>
      </w:r>
      <w:r w:rsidR="00562724" w:rsidRPr="0070292F">
        <w:rPr>
          <w:lang w:val="fr-FR"/>
        </w:rPr>
        <w:t>espèce et qu</w:t>
      </w:r>
      <w:r w:rsidR="0070292F" w:rsidRPr="0070292F">
        <w:rPr>
          <w:lang w:val="fr-FR"/>
        </w:rPr>
        <w:t>’</w:t>
      </w:r>
      <w:r w:rsidR="00562724" w:rsidRPr="0070292F">
        <w:rPr>
          <w:lang w:val="fr-FR"/>
        </w:rPr>
        <w:t xml:space="preserve">il était dès lors </w:t>
      </w:r>
      <w:r w:rsidR="00EF54BC" w:rsidRPr="0070292F">
        <w:rPr>
          <w:lang w:val="fr-FR"/>
        </w:rPr>
        <w:t xml:space="preserve">impossible </w:t>
      </w:r>
      <w:r w:rsidR="00A66FF1" w:rsidRPr="0070292F">
        <w:rPr>
          <w:lang w:val="fr-FR"/>
        </w:rPr>
        <w:t>au</w:t>
      </w:r>
      <w:r w:rsidR="00562724" w:rsidRPr="0070292F">
        <w:rPr>
          <w:lang w:val="fr-FR"/>
        </w:rPr>
        <w:t xml:space="preserve"> requérant d</w:t>
      </w:r>
      <w:r w:rsidR="0070292F" w:rsidRPr="0070292F">
        <w:rPr>
          <w:lang w:val="fr-FR"/>
        </w:rPr>
        <w:t>’</w:t>
      </w:r>
      <w:r w:rsidR="00737DB1" w:rsidRPr="0070292F">
        <w:rPr>
          <w:lang w:val="fr-FR"/>
        </w:rPr>
        <w:t>établir</w:t>
      </w:r>
      <w:r w:rsidR="00562724" w:rsidRPr="0070292F">
        <w:rPr>
          <w:lang w:val="fr-FR"/>
        </w:rPr>
        <w:t xml:space="preserve">, </w:t>
      </w:r>
      <w:r w:rsidR="00737DB1" w:rsidRPr="0070292F">
        <w:rPr>
          <w:lang w:val="fr-FR"/>
        </w:rPr>
        <w:t>à partir</w:t>
      </w:r>
      <w:r w:rsidR="00562724" w:rsidRPr="0070292F">
        <w:rPr>
          <w:lang w:val="fr-FR"/>
        </w:rPr>
        <w:t xml:space="preserve"> de la position de la Cour constitutionnelle ressortant de cet arrêt, la teneur précise de certaines des </w:t>
      </w:r>
      <w:r w:rsidR="00E059B7" w:rsidRPr="0070292F">
        <w:rPr>
          <w:lang w:val="fr-FR"/>
        </w:rPr>
        <w:t>obligations</w:t>
      </w:r>
      <w:r w:rsidR="00562724" w:rsidRPr="0070292F">
        <w:rPr>
          <w:lang w:val="fr-FR"/>
        </w:rPr>
        <w:t xml:space="preserve"> auxquelles il était soumis </w:t>
      </w:r>
      <w:r w:rsidR="00E059B7" w:rsidRPr="0070292F">
        <w:rPr>
          <w:lang w:val="fr-FR"/>
        </w:rPr>
        <w:t>dans le cadre de la</w:t>
      </w:r>
      <w:r w:rsidR="00562724" w:rsidRPr="0070292F">
        <w:rPr>
          <w:lang w:val="fr-FR"/>
        </w:rPr>
        <w:t xml:space="preserve"> surveillance spéciale</w:t>
      </w:r>
      <w:r w:rsidR="00EF54BC" w:rsidRPr="0070292F">
        <w:rPr>
          <w:lang w:val="fr-FR"/>
        </w:rPr>
        <w:t>.</w:t>
      </w:r>
      <w:bookmarkStart w:id="41" w:name="lt_pId124"/>
      <w:r w:rsidR="00EF54BC" w:rsidRPr="0070292F">
        <w:rPr>
          <w:lang w:val="fr-FR"/>
        </w:rPr>
        <w:t xml:space="preserve"> </w:t>
      </w:r>
      <w:r w:rsidR="00562724" w:rsidRPr="0070292F">
        <w:rPr>
          <w:lang w:val="fr-FR"/>
        </w:rPr>
        <w:t xml:space="preserve">Ces </w:t>
      </w:r>
      <w:r w:rsidR="00E059B7" w:rsidRPr="0070292F">
        <w:rPr>
          <w:lang w:val="fr-FR"/>
        </w:rPr>
        <w:t>obliga</w:t>
      </w:r>
      <w:r w:rsidR="00562724" w:rsidRPr="0070292F">
        <w:rPr>
          <w:lang w:val="fr-FR"/>
        </w:rPr>
        <w:t>tions</w:t>
      </w:r>
      <w:r w:rsidR="00737DB1" w:rsidRPr="0070292F">
        <w:rPr>
          <w:lang w:val="fr-FR"/>
        </w:rPr>
        <w:t xml:space="preserve"> peuvent </w:t>
      </w:r>
      <w:r w:rsidR="00562724" w:rsidRPr="0070292F">
        <w:rPr>
          <w:lang w:val="fr-FR"/>
        </w:rPr>
        <w:t xml:space="preserve">en effet se prêter à diverses </w:t>
      </w:r>
      <w:r w:rsidR="00EF54BC" w:rsidRPr="0070292F">
        <w:rPr>
          <w:lang w:val="fr-FR"/>
        </w:rPr>
        <w:t>interpr</w:t>
      </w:r>
      <w:r w:rsidR="00562724" w:rsidRPr="0070292F">
        <w:rPr>
          <w:lang w:val="fr-FR"/>
        </w:rPr>
        <w:t>é</w:t>
      </w:r>
      <w:r w:rsidR="00EF54BC" w:rsidRPr="0070292F">
        <w:rPr>
          <w:lang w:val="fr-FR"/>
        </w:rPr>
        <w:t xml:space="preserve">tations, </w:t>
      </w:r>
      <w:r w:rsidR="00737DB1" w:rsidRPr="0070292F">
        <w:rPr>
          <w:lang w:val="fr-FR"/>
        </w:rPr>
        <w:t xml:space="preserve">comme </w:t>
      </w:r>
      <w:r w:rsidR="00562724" w:rsidRPr="0070292F">
        <w:rPr>
          <w:lang w:val="fr-FR"/>
        </w:rPr>
        <w:t>la Cour constitutionnelle</w:t>
      </w:r>
      <w:r w:rsidR="00EF54BC" w:rsidRPr="0070292F">
        <w:rPr>
          <w:lang w:val="fr-FR"/>
        </w:rPr>
        <w:t xml:space="preserve"> </w:t>
      </w:r>
      <w:r w:rsidR="00A66FF1" w:rsidRPr="0070292F">
        <w:rPr>
          <w:lang w:val="fr-FR"/>
        </w:rPr>
        <w:t>l</w:t>
      </w:r>
      <w:r w:rsidR="0070292F" w:rsidRPr="0070292F">
        <w:rPr>
          <w:lang w:val="fr-FR"/>
        </w:rPr>
        <w:t>’</w:t>
      </w:r>
      <w:r w:rsidR="00A66FF1" w:rsidRPr="0070292F">
        <w:rPr>
          <w:lang w:val="fr-FR"/>
        </w:rPr>
        <w:t xml:space="preserve">a </w:t>
      </w:r>
      <w:r w:rsidR="00562724" w:rsidRPr="0070292F">
        <w:rPr>
          <w:lang w:val="fr-FR"/>
        </w:rPr>
        <w:t>elle-même reconnu</w:t>
      </w:r>
      <w:r w:rsidR="00EF54BC" w:rsidRPr="0070292F">
        <w:rPr>
          <w:lang w:val="fr-FR"/>
        </w:rPr>
        <w:t>.</w:t>
      </w:r>
      <w:bookmarkEnd w:id="41"/>
      <w:r w:rsidR="00EF54BC" w:rsidRPr="0070292F">
        <w:rPr>
          <w:lang w:val="fr-FR"/>
        </w:rPr>
        <w:t xml:space="preserve"> </w:t>
      </w:r>
      <w:bookmarkStart w:id="42" w:name="lt_pId125"/>
      <w:r w:rsidR="00E00E8C" w:rsidRPr="0070292F">
        <w:rPr>
          <w:lang w:val="fr-FR"/>
        </w:rPr>
        <w:t>La Cour</w:t>
      </w:r>
      <w:r w:rsidR="00EF54BC" w:rsidRPr="0070292F">
        <w:rPr>
          <w:lang w:val="fr-FR"/>
        </w:rPr>
        <w:t xml:space="preserve"> note</w:t>
      </w:r>
      <w:r w:rsidR="00562724" w:rsidRPr="0070292F">
        <w:rPr>
          <w:lang w:val="fr-FR"/>
        </w:rPr>
        <w:t xml:space="preserve"> de plus qu</w:t>
      </w:r>
      <w:r w:rsidR="0070292F" w:rsidRPr="0070292F">
        <w:rPr>
          <w:lang w:val="fr-FR"/>
        </w:rPr>
        <w:t>’</w:t>
      </w:r>
      <w:r w:rsidR="00562724" w:rsidRPr="0070292F">
        <w:rPr>
          <w:lang w:val="fr-FR"/>
        </w:rPr>
        <w:t xml:space="preserve">elles sont formulées </w:t>
      </w:r>
      <w:r w:rsidR="00E059B7" w:rsidRPr="0070292F">
        <w:rPr>
          <w:lang w:val="fr-FR"/>
        </w:rPr>
        <w:t xml:space="preserve">de manière </w:t>
      </w:r>
      <w:r w:rsidR="00562724" w:rsidRPr="0070292F">
        <w:rPr>
          <w:lang w:val="fr-FR"/>
        </w:rPr>
        <w:t>généra</w:t>
      </w:r>
      <w:r w:rsidR="00E059B7" w:rsidRPr="0070292F">
        <w:rPr>
          <w:lang w:val="fr-FR"/>
        </w:rPr>
        <w:t>le</w:t>
      </w:r>
      <w:r w:rsidR="00EF54BC" w:rsidRPr="0070292F">
        <w:rPr>
          <w:lang w:val="fr-FR"/>
        </w:rPr>
        <w:t>.</w:t>
      </w:r>
      <w:bookmarkEnd w:id="42"/>
    </w:p>
    <w:p w:rsidR="00C165E2" w:rsidRPr="0070292F" w:rsidRDefault="00C165E2"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121</w:t>
      </w:r>
      <w:r w:rsidRPr="0070292F">
        <w:rPr>
          <w:lang w:val="fr-FR"/>
        </w:rPr>
        <w:fldChar w:fldCharType="end"/>
      </w:r>
      <w:r w:rsidRPr="0070292F">
        <w:rPr>
          <w:lang w:val="fr-FR"/>
        </w:rPr>
        <w:t>.  </w:t>
      </w:r>
      <w:r w:rsidR="00A66FF1" w:rsidRPr="0070292F">
        <w:rPr>
          <w:lang w:val="fr-FR"/>
        </w:rPr>
        <w:t>En outre, l</w:t>
      </w:r>
      <w:r w:rsidR="0070292F" w:rsidRPr="0070292F">
        <w:rPr>
          <w:lang w:val="fr-FR"/>
        </w:rPr>
        <w:t>’</w:t>
      </w:r>
      <w:r w:rsidR="00A66FF1" w:rsidRPr="0070292F">
        <w:rPr>
          <w:lang w:val="fr-FR"/>
        </w:rPr>
        <w:t xml:space="preserve">interprétation </w:t>
      </w:r>
      <w:r w:rsidR="00E059B7" w:rsidRPr="0070292F">
        <w:rPr>
          <w:lang w:val="fr-FR"/>
        </w:rPr>
        <w:t>faite</w:t>
      </w:r>
      <w:r w:rsidR="00A66FF1" w:rsidRPr="0070292F">
        <w:rPr>
          <w:lang w:val="fr-FR"/>
        </w:rPr>
        <w:t xml:space="preserve"> par la Cour constitutionnelle </w:t>
      </w:r>
      <w:r w:rsidR="00E059B7" w:rsidRPr="0070292F">
        <w:rPr>
          <w:lang w:val="fr-FR"/>
        </w:rPr>
        <w:t xml:space="preserve">en 2010 </w:t>
      </w:r>
      <w:r w:rsidR="00A66FF1" w:rsidRPr="0070292F">
        <w:rPr>
          <w:lang w:val="fr-FR"/>
        </w:rPr>
        <w:t>n</w:t>
      </w:r>
      <w:r w:rsidR="0070292F" w:rsidRPr="0070292F">
        <w:rPr>
          <w:lang w:val="fr-FR"/>
        </w:rPr>
        <w:t>’</w:t>
      </w:r>
      <w:r w:rsidR="00A66FF1" w:rsidRPr="0070292F">
        <w:rPr>
          <w:lang w:val="fr-FR"/>
        </w:rPr>
        <w:t xml:space="preserve">a pas résolu le problème du manque de prévisibilité des mesures </w:t>
      </w:r>
      <w:r w:rsidR="00722C49" w:rsidRPr="0070292F">
        <w:rPr>
          <w:lang w:val="fr-FR"/>
        </w:rPr>
        <w:t xml:space="preserve">de prévention </w:t>
      </w:r>
      <w:r w:rsidR="00A66FF1" w:rsidRPr="0070292F">
        <w:rPr>
          <w:lang w:val="fr-FR"/>
        </w:rPr>
        <w:t>applicables</w:t>
      </w:r>
      <w:r w:rsidR="004D635A" w:rsidRPr="0070292F">
        <w:rPr>
          <w:lang w:val="fr-FR"/>
        </w:rPr>
        <w:t>,</w:t>
      </w:r>
      <w:r w:rsidR="00E059B7" w:rsidRPr="0070292F">
        <w:rPr>
          <w:lang w:val="fr-FR"/>
        </w:rPr>
        <w:t xml:space="preserve"> car</w:t>
      </w:r>
      <w:r w:rsidR="00A66FF1" w:rsidRPr="0070292F">
        <w:rPr>
          <w:lang w:val="fr-FR"/>
        </w:rPr>
        <w:t xml:space="preserve"> en vertu de l</w:t>
      </w:r>
      <w:r w:rsidR="0070292F" w:rsidRPr="0070292F">
        <w:rPr>
          <w:lang w:val="fr-FR"/>
        </w:rPr>
        <w:t>’</w:t>
      </w:r>
      <w:r w:rsidR="00A66FF1" w:rsidRPr="0070292F">
        <w:rPr>
          <w:lang w:val="fr-FR"/>
        </w:rPr>
        <w:t>article 5</w:t>
      </w:r>
      <w:r w:rsidR="00332C8B" w:rsidRPr="0070292F">
        <w:rPr>
          <w:lang w:val="fr-FR"/>
        </w:rPr>
        <w:t>, premier alinéa,</w:t>
      </w:r>
      <w:r w:rsidR="00A66FF1" w:rsidRPr="0070292F">
        <w:rPr>
          <w:lang w:val="fr-FR"/>
        </w:rPr>
        <w:t xml:space="preserve"> de la loi en cause le tribunal</w:t>
      </w:r>
      <w:r w:rsidR="0070292F" w:rsidRPr="0070292F">
        <w:rPr>
          <w:lang w:val="fr-FR"/>
        </w:rPr>
        <w:t xml:space="preserve"> </w:t>
      </w:r>
      <w:r w:rsidR="00A66FF1" w:rsidRPr="0070292F">
        <w:rPr>
          <w:lang w:val="fr-FR"/>
        </w:rPr>
        <w:t>pouvait aussi imposer toute mesure qu</w:t>
      </w:r>
      <w:r w:rsidR="0070292F" w:rsidRPr="0070292F">
        <w:rPr>
          <w:lang w:val="fr-FR"/>
        </w:rPr>
        <w:t>’</w:t>
      </w:r>
      <w:r w:rsidR="00A66FF1" w:rsidRPr="0070292F">
        <w:rPr>
          <w:lang w:val="fr-FR"/>
        </w:rPr>
        <w:t xml:space="preserve">il </w:t>
      </w:r>
      <w:r w:rsidR="00332C8B" w:rsidRPr="0070292F">
        <w:rPr>
          <w:lang w:val="fr-FR"/>
        </w:rPr>
        <w:t>estim</w:t>
      </w:r>
      <w:r w:rsidR="00A66FF1" w:rsidRPr="0070292F">
        <w:rPr>
          <w:lang w:val="fr-FR"/>
        </w:rPr>
        <w:t>ait nécessaire</w:t>
      </w:r>
      <w:r w:rsidR="00332C8B" w:rsidRPr="0070292F">
        <w:rPr>
          <w:lang w:val="fr-FR"/>
        </w:rPr>
        <w:t xml:space="preserve"> </w:t>
      </w:r>
      <w:r w:rsidR="0070292F" w:rsidRPr="0070292F">
        <w:rPr>
          <w:bCs/>
          <w:lang w:val="fr-FR"/>
        </w:rPr>
        <w:t>– s</w:t>
      </w:r>
      <w:r w:rsidR="00A66FF1" w:rsidRPr="0070292F">
        <w:rPr>
          <w:bCs/>
          <w:lang w:val="fr-FR"/>
        </w:rPr>
        <w:t>ans préciser sa teneur </w:t>
      </w:r>
      <w:r w:rsidR="00A66FF1" w:rsidRPr="0070292F">
        <w:rPr>
          <w:lang w:val="fr-FR"/>
        </w:rPr>
        <w:t>– eu égard aux</w:t>
      </w:r>
      <w:r w:rsidR="00A66FF1" w:rsidRPr="0070292F">
        <w:rPr>
          <w:bCs/>
          <w:lang w:val="fr-FR"/>
        </w:rPr>
        <w:t xml:space="preserve"> exigences liées à la </w:t>
      </w:r>
      <w:r w:rsidR="00332C8B" w:rsidRPr="0070292F">
        <w:rPr>
          <w:bCs/>
          <w:lang w:val="fr-FR"/>
        </w:rPr>
        <w:t xml:space="preserve">défense </w:t>
      </w:r>
      <w:r w:rsidR="00A66FF1" w:rsidRPr="0070292F">
        <w:rPr>
          <w:bCs/>
          <w:lang w:val="fr-FR"/>
        </w:rPr>
        <w:t>soci</w:t>
      </w:r>
      <w:r w:rsidR="00332C8B" w:rsidRPr="0070292F">
        <w:rPr>
          <w:bCs/>
          <w:lang w:val="fr-FR"/>
        </w:rPr>
        <w:t>ale</w:t>
      </w:r>
      <w:r w:rsidR="00A66FF1" w:rsidRPr="0070292F">
        <w:rPr>
          <w:bCs/>
          <w:lang w:val="fr-FR"/>
        </w:rPr>
        <w:t>.</w:t>
      </w:r>
    </w:p>
    <w:p w:rsidR="00A66FF1" w:rsidRPr="0070292F" w:rsidRDefault="00C165E2" w:rsidP="0070292F">
      <w:pPr>
        <w:pStyle w:val="ECHRPara"/>
        <w:rPr>
          <w:rFonts w:eastAsia="Times New Roman"/>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122</w:t>
      </w:r>
      <w:r w:rsidRPr="0070292F">
        <w:rPr>
          <w:lang w:val="fr-FR"/>
        </w:rPr>
        <w:fldChar w:fldCharType="end"/>
      </w:r>
      <w:r w:rsidRPr="0070292F">
        <w:rPr>
          <w:lang w:val="fr-FR"/>
        </w:rPr>
        <w:t>.  </w:t>
      </w:r>
      <w:r w:rsidR="00A66FF1" w:rsidRPr="0070292F">
        <w:rPr>
          <w:rFonts w:eastAsia="Times New Roman"/>
          <w:lang w:val="fr-FR"/>
        </w:rPr>
        <w:t>Enfin, la Cour n</w:t>
      </w:r>
      <w:r w:rsidR="0070292F" w:rsidRPr="0070292F">
        <w:rPr>
          <w:rFonts w:eastAsia="Times New Roman"/>
          <w:lang w:val="fr-FR"/>
        </w:rPr>
        <w:t>’</w:t>
      </w:r>
      <w:r w:rsidR="00A66FF1" w:rsidRPr="0070292F">
        <w:rPr>
          <w:rFonts w:eastAsia="Times New Roman"/>
          <w:lang w:val="fr-FR"/>
        </w:rPr>
        <w:t>est pas convaincue que les obligations de « vivre honnêtement</w:t>
      </w:r>
      <w:r w:rsidR="00B2003E" w:rsidRPr="0070292F">
        <w:rPr>
          <w:rFonts w:eastAsia="Times New Roman"/>
          <w:lang w:val="fr-FR"/>
        </w:rPr>
        <w:t xml:space="preserve"> et dans le </w:t>
      </w:r>
      <w:r w:rsidR="00A66FF1" w:rsidRPr="0070292F">
        <w:rPr>
          <w:rFonts w:eastAsia="Times New Roman"/>
          <w:lang w:val="fr-FR"/>
        </w:rPr>
        <w:t>respect</w:t>
      </w:r>
      <w:r w:rsidR="00B2003E" w:rsidRPr="0070292F">
        <w:rPr>
          <w:rFonts w:eastAsia="Times New Roman"/>
          <w:lang w:val="fr-FR"/>
        </w:rPr>
        <w:t xml:space="preserve"> d</w:t>
      </w:r>
      <w:r w:rsidR="00A66FF1" w:rsidRPr="0070292F">
        <w:rPr>
          <w:rFonts w:eastAsia="Times New Roman"/>
          <w:lang w:val="fr-FR"/>
        </w:rPr>
        <w:t xml:space="preserve">es lois » et de « ne pas prêter à soupçon » </w:t>
      </w:r>
      <w:r w:rsidR="004D635A" w:rsidRPr="0070292F">
        <w:rPr>
          <w:rFonts w:eastAsia="Times New Roman"/>
          <w:lang w:val="fr-FR"/>
        </w:rPr>
        <w:t>aient été</w:t>
      </w:r>
      <w:r w:rsidR="00A66FF1" w:rsidRPr="0070292F">
        <w:rPr>
          <w:rFonts w:eastAsia="Times New Roman"/>
          <w:lang w:val="fr-FR"/>
        </w:rPr>
        <w:t xml:space="preserve"> suffisamment délimitées par l</w:t>
      </w:r>
      <w:r w:rsidR="0070292F" w:rsidRPr="0070292F">
        <w:rPr>
          <w:rFonts w:eastAsia="Times New Roman"/>
          <w:lang w:val="fr-FR"/>
        </w:rPr>
        <w:t>’</w:t>
      </w:r>
      <w:r w:rsidR="00A66FF1" w:rsidRPr="0070292F">
        <w:rPr>
          <w:rFonts w:eastAsia="Times New Roman"/>
          <w:lang w:val="fr-FR"/>
        </w:rPr>
        <w:t>interprétation de la Cour constitutionnelle, et ce pour les raisons exposées ci-après. Tout d</w:t>
      </w:r>
      <w:r w:rsidR="0070292F" w:rsidRPr="0070292F">
        <w:rPr>
          <w:rFonts w:eastAsia="Times New Roman"/>
          <w:lang w:val="fr-FR"/>
        </w:rPr>
        <w:t>’</w:t>
      </w:r>
      <w:r w:rsidR="00A66FF1" w:rsidRPr="0070292F">
        <w:rPr>
          <w:rFonts w:eastAsia="Times New Roman"/>
          <w:lang w:val="fr-FR"/>
        </w:rPr>
        <w:t>abord, le « </w:t>
      </w:r>
      <w:r w:rsidR="00E059B7" w:rsidRPr="0070292F">
        <w:rPr>
          <w:rFonts w:eastAsia="Times New Roman"/>
          <w:lang w:val="fr-FR"/>
        </w:rPr>
        <w:t>devoir pour la personne concernée d</w:t>
      </w:r>
      <w:r w:rsidR="0070292F" w:rsidRPr="0070292F">
        <w:rPr>
          <w:rFonts w:eastAsia="Times New Roman"/>
          <w:lang w:val="fr-FR"/>
        </w:rPr>
        <w:t>’</w:t>
      </w:r>
      <w:r w:rsidR="00E059B7" w:rsidRPr="0070292F">
        <w:rPr>
          <w:rFonts w:eastAsia="Times New Roman"/>
          <w:lang w:val="fr-FR"/>
        </w:rPr>
        <w:t>adapter sa conduite à un mode de vie respectant l</w:t>
      </w:r>
      <w:r w:rsidR="0070292F" w:rsidRPr="0070292F">
        <w:rPr>
          <w:rFonts w:eastAsia="Times New Roman"/>
          <w:lang w:val="fr-FR"/>
        </w:rPr>
        <w:t>’</w:t>
      </w:r>
      <w:r w:rsidR="00E059B7" w:rsidRPr="0070292F">
        <w:rPr>
          <w:rFonts w:eastAsia="Times New Roman"/>
          <w:lang w:val="fr-FR"/>
        </w:rPr>
        <w:t>ensemble des prescriptions susmentionnées </w:t>
      </w:r>
      <w:r w:rsidR="00A66FF1" w:rsidRPr="0070292F">
        <w:rPr>
          <w:rFonts w:eastAsia="Times New Roman"/>
          <w:lang w:val="fr-FR"/>
        </w:rPr>
        <w:t>»</w:t>
      </w:r>
      <w:r w:rsidR="00E059B7" w:rsidRPr="0070292F">
        <w:rPr>
          <w:rFonts w:eastAsia="Times New Roman"/>
          <w:lang w:val="fr-FR"/>
        </w:rPr>
        <w:t xml:space="preserve"> </w:t>
      </w:r>
      <w:r w:rsidR="00A66FF1" w:rsidRPr="0070292F">
        <w:rPr>
          <w:rFonts w:eastAsia="Times New Roman"/>
          <w:lang w:val="fr-FR"/>
        </w:rPr>
        <w:t xml:space="preserve">est tout aussi </w:t>
      </w:r>
      <w:r w:rsidR="00332C8B" w:rsidRPr="0070292F">
        <w:rPr>
          <w:rFonts w:eastAsia="Times New Roman"/>
          <w:lang w:val="fr-FR"/>
        </w:rPr>
        <w:t>imprécis</w:t>
      </w:r>
      <w:r w:rsidR="00A66FF1" w:rsidRPr="0070292F">
        <w:rPr>
          <w:rFonts w:eastAsia="Times New Roman"/>
          <w:lang w:val="fr-FR"/>
        </w:rPr>
        <w:t xml:space="preserve"> que l</w:t>
      </w:r>
      <w:r w:rsidR="0070292F" w:rsidRPr="0070292F">
        <w:rPr>
          <w:rFonts w:eastAsia="Times New Roman"/>
          <w:lang w:val="fr-FR"/>
        </w:rPr>
        <w:t>’</w:t>
      </w:r>
      <w:r w:rsidR="00A66FF1" w:rsidRPr="0070292F">
        <w:rPr>
          <w:rFonts w:eastAsia="Times New Roman"/>
          <w:lang w:val="fr-FR"/>
        </w:rPr>
        <w:t>« obligation de vivre honnêtement</w:t>
      </w:r>
      <w:r w:rsidR="0059791E" w:rsidRPr="0070292F">
        <w:rPr>
          <w:rFonts w:eastAsia="Times New Roman"/>
          <w:lang w:val="fr-FR"/>
        </w:rPr>
        <w:t xml:space="preserve"> et </w:t>
      </w:r>
      <w:r w:rsidR="00B2003E" w:rsidRPr="0070292F">
        <w:rPr>
          <w:rFonts w:eastAsia="Times New Roman"/>
          <w:lang w:val="fr-FR"/>
        </w:rPr>
        <w:t xml:space="preserve">dans le </w:t>
      </w:r>
      <w:r w:rsidR="00A66FF1" w:rsidRPr="0070292F">
        <w:rPr>
          <w:rFonts w:eastAsia="Times New Roman"/>
          <w:lang w:val="fr-FR"/>
        </w:rPr>
        <w:t>respect</w:t>
      </w:r>
      <w:r w:rsidR="00B2003E" w:rsidRPr="0070292F">
        <w:rPr>
          <w:rFonts w:eastAsia="Times New Roman"/>
          <w:lang w:val="fr-FR"/>
        </w:rPr>
        <w:t xml:space="preserve"> d</w:t>
      </w:r>
      <w:r w:rsidR="00A66FF1" w:rsidRPr="0070292F">
        <w:rPr>
          <w:rFonts w:eastAsia="Times New Roman"/>
          <w:lang w:val="fr-FR"/>
        </w:rPr>
        <w:t xml:space="preserve">es lois », la </w:t>
      </w:r>
      <w:r w:rsidR="004D635A" w:rsidRPr="0070292F">
        <w:rPr>
          <w:rFonts w:eastAsia="Times New Roman"/>
          <w:lang w:val="fr-FR"/>
        </w:rPr>
        <w:t>juridiction</w:t>
      </w:r>
      <w:r w:rsidR="00A66FF1" w:rsidRPr="0070292F">
        <w:rPr>
          <w:rFonts w:eastAsia="Times New Roman"/>
          <w:lang w:val="fr-FR"/>
        </w:rPr>
        <w:t xml:space="preserve"> constitutionnelle n</w:t>
      </w:r>
      <w:r w:rsidR="0070292F" w:rsidRPr="0070292F">
        <w:rPr>
          <w:rFonts w:eastAsia="Times New Roman"/>
          <w:lang w:val="fr-FR"/>
        </w:rPr>
        <w:t>’</w:t>
      </w:r>
      <w:r w:rsidR="004D635A" w:rsidRPr="0070292F">
        <w:rPr>
          <w:rFonts w:eastAsia="Times New Roman"/>
          <w:lang w:val="fr-FR"/>
        </w:rPr>
        <w:t xml:space="preserve">ayant </w:t>
      </w:r>
      <w:r w:rsidR="00A66FF1" w:rsidRPr="0070292F">
        <w:rPr>
          <w:rFonts w:eastAsia="Times New Roman"/>
          <w:lang w:val="fr-FR"/>
        </w:rPr>
        <w:t>fait que renvoyer à l</w:t>
      </w:r>
      <w:r w:rsidR="0070292F" w:rsidRPr="0070292F">
        <w:rPr>
          <w:rFonts w:eastAsia="Times New Roman"/>
          <w:lang w:val="fr-FR"/>
        </w:rPr>
        <w:t>’</w:t>
      </w:r>
      <w:r w:rsidR="00A66FF1" w:rsidRPr="0070292F">
        <w:rPr>
          <w:rFonts w:eastAsia="Times New Roman"/>
          <w:lang w:val="fr-FR"/>
        </w:rPr>
        <w:t>article 5 lui-même. De l</w:t>
      </w:r>
      <w:r w:rsidR="0070292F" w:rsidRPr="0070292F">
        <w:rPr>
          <w:rFonts w:eastAsia="Times New Roman"/>
          <w:lang w:val="fr-FR"/>
        </w:rPr>
        <w:t>’</w:t>
      </w:r>
      <w:r w:rsidR="00A66FF1" w:rsidRPr="0070292F">
        <w:rPr>
          <w:rFonts w:eastAsia="Times New Roman"/>
          <w:lang w:val="fr-FR"/>
        </w:rPr>
        <w:t xml:space="preserve">avis de la Cour, </w:t>
      </w:r>
      <w:r w:rsidR="0059791E" w:rsidRPr="0070292F">
        <w:rPr>
          <w:rFonts w:eastAsia="Times New Roman"/>
          <w:lang w:val="fr-FR"/>
        </w:rPr>
        <w:t>cette</w:t>
      </w:r>
      <w:r w:rsidR="00A66FF1" w:rsidRPr="0070292F">
        <w:rPr>
          <w:rFonts w:eastAsia="Times New Roman"/>
          <w:lang w:val="fr-FR"/>
        </w:rPr>
        <w:t xml:space="preserve"> interprétation n</w:t>
      </w:r>
      <w:r w:rsidR="0070292F" w:rsidRPr="0070292F">
        <w:rPr>
          <w:rFonts w:eastAsia="Times New Roman"/>
          <w:lang w:val="fr-FR"/>
        </w:rPr>
        <w:t>’</w:t>
      </w:r>
      <w:r w:rsidR="00A66FF1" w:rsidRPr="0070292F">
        <w:rPr>
          <w:rFonts w:eastAsia="Times New Roman"/>
          <w:lang w:val="fr-FR"/>
        </w:rPr>
        <w:t>offre pas d</w:t>
      </w:r>
      <w:r w:rsidR="0070292F" w:rsidRPr="0070292F">
        <w:rPr>
          <w:rFonts w:eastAsia="Times New Roman"/>
          <w:lang w:val="fr-FR"/>
        </w:rPr>
        <w:t>’</w:t>
      </w:r>
      <w:r w:rsidR="00A66FF1" w:rsidRPr="0070292F">
        <w:rPr>
          <w:rFonts w:eastAsia="Times New Roman"/>
          <w:lang w:val="fr-FR"/>
        </w:rPr>
        <w:t>indications suffisantes aux personnes concernées. Deuxièmement, le « </w:t>
      </w:r>
      <w:r w:rsidR="008E46AA" w:rsidRPr="0070292F">
        <w:rPr>
          <w:rFonts w:eastAsia="Times New Roman"/>
          <w:lang w:val="fr-FR"/>
        </w:rPr>
        <w:t>devoir pour l</w:t>
      </w:r>
      <w:r w:rsidR="0070292F" w:rsidRPr="0070292F">
        <w:rPr>
          <w:rFonts w:eastAsia="Times New Roman"/>
          <w:lang w:val="fr-FR"/>
        </w:rPr>
        <w:t>’</w:t>
      </w:r>
      <w:r w:rsidR="008E46AA" w:rsidRPr="0070292F">
        <w:rPr>
          <w:rFonts w:eastAsia="Times New Roman"/>
          <w:lang w:val="fr-FR"/>
        </w:rPr>
        <w:t>intéressé de se conformer à toutes les prescriptions lui imposant d</w:t>
      </w:r>
      <w:r w:rsidR="0070292F" w:rsidRPr="0070292F">
        <w:rPr>
          <w:rFonts w:eastAsia="Times New Roman"/>
          <w:lang w:val="fr-FR"/>
        </w:rPr>
        <w:t>’</w:t>
      </w:r>
      <w:r w:rsidR="008E46AA" w:rsidRPr="0070292F">
        <w:rPr>
          <w:rFonts w:eastAsia="Times New Roman"/>
          <w:lang w:val="fr-FR"/>
        </w:rPr>
        <w:t>adopter ou de ne pas adopter telle ou telle conduite, donc non seulement aux normes pénales mais aussi à toute disposition dont le non</w:t>
      </w:r>
      <w:r w:rsidR="008E46AA" w:rsidRPr="0070292F">
        <w:rPr>
          <w:rFonts w:eastAsia="Times New Roman"/>
          <w:lang w:val="fr-FR"/>
        </w:rPr>
        <w:noBreakHyphen/>
        <w:t xml:space="preserve">respect serait un indice supplémentaire de la dangerosité sociale déjà établie » </w:t>
      </w:r>
      <w:r w:rsidR="00A66FF1" w:rsidRPr="0070292F">
        <w:rPr>
          <w:rFonts w:eastAsia="Times New Roman"/>
          <w:lang w:val="fr-FR"/>
        </w:rPr>
        <w:t xml:space="preserve">constitue un renvoi </w:t>
      </w:r>
      <w:r w:rsidR="008E46AA" w:rsidRPr="0070292F">
        <w:rPr>
          <w:rFonts w:eastAsia="Times New Roman"/>
          <w:lang w:val="fr-FR"/>
        </w:rPr>
        <w:t xml:space="preserve">indéterminé </w:t>
      </w:r>
      <w:r w:rsidR="00A66FF1" w:rsidRPr="0070292F">
        <w:rPr>
          <w:rFonts w:eastAsia="Times New Roman"/>
          <w:lang w:val="fr-FR"/>
        </w:rPr>
        <w:t>à l</w:t>
      </w:r>
      <w:r w:rsidR="0070292F" w:rsidRPr="0070292F">
        <w:rPr>
          <w:rFonts w:eastAsia="Times New Roman"/>
          <w:lang w:val="fr-FR"/>
        </w:rPr>
        <w:t>’</w:t>
      </w:r>
      <w:r w:rsidR="00A66FF1" w:rsidRPr="0070292F">
        <w:rPr>
          <w:rFonts w:eastAsia="Times New Roman"/>
          <w:lang w:val="fr-FR"/>
        </w:rPr>
        <w:t>ensemble de l</w:t>
      </w:r>
      <w:r w:rsidR="0070292F" w:rsidRPr="0070292F">
        <w:rPr>
          <w:rFonts w:eastAsia="Times New Roman"/>
          <w:lang w:val="fr-FR"/>
        </w:rPr>
        <w:t>’</w:t>
      </w:r>
      <w:r w:rsidR="00A66FF1" w:rsidRPr="0070292F">
        <w:rPr>
          <w:rFonts w:eastAsia="Times New Roman"/>
          <w:lang w:val="fr-FR"/>
        </w:rPr>
        <w:t>ordre juridique italien et n</w:t>
      </w:r>
      <w:r w:rsidR="0070292F" w:rsidRPr="0070292F">
        <w:rPr>
          <w:rFonts w:eastAsia="Times New Roman"/>
          <w:lang w:val="fr-FR"/>
        </w:rPr>
        <w:t>’</w:t>
      </w:r>
      <w:r w:rsidR="0059791E" w:rsidRPr="0070292F">
        <w:rPr>
          <w:rFonts w:eastAsia="Times New Roman"/>
          <w:lang w:val="fr-FR"/>
        </w:rPr>
        <w:t xml:space="preserve">apporte aucun </w:t>
      </w:r>
      <w:r w:rsidR="0059791E" w:rsidRPr="0070292F">
        <w:rPr>
          <w:rFonts w:eastAsia="Times New Roman"/>
          <w:lang w:val="fr-FR"/>
        </w:rPr>
        <w:lastRenderedPageBreak/>
        <w:t xml:space="preserve">éclaircissement </w:t>
      </w:r>
      <w:r w:rsidR="00A66FF1" w:rsidRPr="0070292F">
        <w:rPr>
          <w:rFonts w:eastAsia="Times New Roman"/>
          <w:lang w:val="fr-FR"/>
        </w:rPr>
        <w:t xml:space="preserve">sur les normes spécifiques </w:t>
      </w:r>
      <w:r w:rsidR="00722C49" w:rsidRPr="0070292F">
        <w:rPr>
          <w:rFonts w:eastAsia="Times New Roman"/>
          <w:lang w:val="fr-FR"/>
        </w:rPr>
        <w:t xml:space="preserve">dont le non-respect </w:t>
      </w:r>
      <w:r w:rsidR="00645F95" w:rsidRPr="0070292F">
        <w:rPr>
          <w:rFonts w:eastAsia="Times New Roman"/>
          <w:lang w:val="fr-FR"/>
        </w:rPr>
        <w:t>serait</w:t>
      </w:r>
      <w:r w:rsidR="00A66FF1" w:rsidRPr="0070292F">
        <w:rPr>
          <w:rFonts w:eastAsia="Times New Roman"/>
          <w:lang w:val="fr-FR"/>
        </w:rPr>
        <w:t xml:space="preserve"> un</w:t>
      </w:r>
      <w:r w:rsidR="00753626" w:rsidRPr="0070292F">
        <w:rPr>
          <w:rFonts w:eastAsia="Times New Roman"/>
          <w:lang w:val="fr-FR"/>
        </w:rPr>
        <w:t xml:space="preserve"> </w:t>
      </w:r>
      <w:r w:rsidR="00753626" w:rsidRPr="0070292F">
        <w:rPr>
          <w:rFonts w:eastAsia="Cambria"/>
          <w:lang w:val="fr-FR"/>
        </w:rPr>
        <w:t xml:space="preserve">indice </w:t>
      </w:r>
      <w:r w:rsidR="00722C49" w:rsidRPr="0070292F">
        <w:rPr>
          <w:rFonts w:eastAsia="Cambria"/>
          <w:lang w:val="fr-FR"/>
        </w:rPr>
        <w:t xml:space="preserve">supplémentaire </w:t>
      </w:r>
      <w:r w:rsidR="00753626" w:rsidRPr="0070292F">
        <w:rPr>
          <w:rFonts w:eastAsia="Cambria"/>
          <w:lang w:val="fr-FR"/>
        </w:rPr>
        <w:t xml:space="preserve">de </w:t>
      </w:r>
      <w:r w:rsidR="00722C49" w:rsidRPr="0070292F">
        <w:rPr>
          <w:rFonts w:eastAsia="Cambria"/>
          <w:lang w:val="fr-FR"/>
        </w:rPr>
        <w:t xml:space="preserve">la </w:t>
      </w:r>
      <w:r w:rsidR="00753626" w:rsidRPr="0070292F">
        <w:rPr>
          <w:rFonts w:eastAsia="Cambria"/>
          <w:lang w:val="fr-FR"/>
        </w:rPr>
        <w:t>dangerosité sociale </w:t>
      </w:r>
      <w:r w:rsidR="00722C49" w:rsidRPr="0070292F">
        <w:rPr>
          <w:rFonts w:eastAsia="Cambria"/>
          <w:lang w:val="fr-FR"/>
        </w:rPr>
        <w:t>de l</w:t>
      </w:r>
      <w:r w:rsidR="0070292F" w:rsidRPr="0070292F">
        <w:rPr>
          <w:rFonts w:eastAsia="Cambria"/>
          <w:lang w:val="fr-FR"/>
        </w:rPr>
        <w:t>’</w:t>
      </w:r>
      <w:r w:rsidR="00722C49" w:rsidRPr="0070292F">
        <w:rPr>
          <w:rFonts w:eastAsia="Cambria"/>
          <w:lang w:val="fr-FR"/>
        </w:rPr>
        <w:t>intéressé</w:t>
      </w:r>
      <w:r w:rsidR="007525D0" w:rsidRPr="0070292F">
        <w:rPr>
          <w:rFonts w:eastAsia="Cambria"/>
          <w:lang w:val="fr-FR"/>
        </w:rPr>
        <w:t>.</w:t>
      </w:r>
    </w:p>
    <w:p w:rsidR="00A66FF1" w:rsidRPr="0070292F" w:rsidRDefault="00A66FF1" w:rsidP="0070292F">
      <w:pPr>
        <w:pStyle w:val="ECHRPara"/>
        <w:rPr>
          <w:rFonts w:eastAsia="Times New Roman"/>
          <w:lang w:val="fr-FR"/>
        </w:rPr>
      </w:pPr>
      <w:r w:rsidRPr="0070292F">
        <w:rPr>
          <w:rFonts w:eastAsia="Times New Roman"/>
          <w:lang w:val="fr-FR"/>
        </w:rPr>
        <w:t>Dès lors, la Cour considère que cette partie de la loi n</w:t>
      </w:r>
      <w:r w:rsidR="0070292F" w:rsidRPr="0070292F">
        <w:rPr>
          <w:rFonts w:eastAsia="Times New Roman"/>
          <w:lang w:val="fr-FR"/>
        </w:rPr>
        <w:t>’</w:t>
      </w:r>
      <w:r w:rsidRPr="0070292F">
        <w:rPr>
          <w:rFonts w:eastAsia="Times New Roman"/>
          <w:lang w:val="fr-FR"/>
        </w:rPr>
        <w:t xml:space="preserve">est pas formulée de façon </w:t>
      </w:r>
      <w:r w:rsidR="00AB0E71" w:rsidRPr="0070292F">
        <w:rPr>
          <w:rFonts w:eastAsia="Times New Roman"/>
          <w:lang w:val="fr-FR"/>
        </w:rPr>
        <w:t>assez</w:t>
      </w:r>
      <w:r w:rsidRPr="0070292F">
        <w:rPr>
          <w:rFonts w:eastAsia="Times New Roman"/>
          <w:lang w:val="fr-FR"/>
        </w:rPr>
        <w:t xml:space="preserve"> précise et ne définit pas avec une clarté </w:t>
      </w:r>
      <w:r w:rsidR="00AB0E71" w:rsidRPr="0070292F">
        <w:rPr>
          <w:rFonts w:eastAsia="Times New Roman"/>
          <w:lang w:val="fr-FR"/>
        </w:rPr>
        <w:t>suffisante</w:t>
      </w:r>
      <w:r w:rsidRPr="0070292F">
        <w:rPr>
          <w:rFonts w:eastAsia="Times New Roman"/>
          <w:lang w:val="fr-FR"/>
        </w:rPr>
        <w:t xml:space="preserve"> l</w:t>
      </w:r>
      <w:r w:rsidR="00AB0E71" w:rsidRPr="0070292F">
        <w:rPr>
          <w:rFonts w:eastAsia="Times New Roman"/>
          <w:lang w:val="fr-FR"/>
        </w:rPr>
        <w:t xml:space="preserve">e contenu </w:t>
      </w:r>
      <w:r w:rsidRPr="0070292F">
        <w:rPr>
          <w:rFonts w:eastAsia="Times New Roman"/>
          <w:lang w:val="fr-FR"/>
        </w:rPr>
        <w:t xml:space="preserve">des mesures </w:t>
      </w:r>
      <w:r w:rsidR="00722C49" w:rsidRPr="0070292F">
        <w:rPr>
          <w:rFonts w:eastAsia="Times New Roman"/>
          <w:lang w:val="fr-FR"/>
        </w:rPr>
        <w:t xml:space="preserve">de prévention qui peuvent être </w:t>
      </w:r>
      <w:r w:rsidRPr="0070292F">
        <w:rPr>
          <w:rFonts w:eastAsia="Times New Roman"/>
          <w:lang w:val="fr-FR"/>
        </w:rPr>
        <w:t>appliquées à un individu, pas même à la lumière de la jurisprudence de la Cour constitutionnelle.</w:t>
      </w:r>
    </w:p>
    <w:p w:rsidR="00C165E2" w:rsidRPr="0070292F" w:rsidRDefault="00C165E2"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123</w:t>
      </w:r>
      <w:r w:rsidRPr="0070292F">
        <w:rPr>
          <w:lang w:val="fr-FR"/>
        </w:rPr>
        <w:fldChar w:fldCharType="end"/>
      </w:r>
      <w:r w:rsidRPr="0070292F">
        <w:rPr>
          <w:lang w:val="fr-FR"/>
        </w:rPr>
        <w:t>.  </w:t>
      </w:r>
      <w:r w:rsidR="00A66FF1" w:rsidRPr="0070292F">
        <w:rPr>
          <w:lang w:val="fr-FR"/>
        </w:rPr>
        <w:t xml:space="preserve">La Cour </w:t>
      </w:r>
      <w:r w:rsidR="00AB0E71" w:rsidRPr="0070292F">
        <w:rPr>
          <w:lang w:val="fr-FR"/>
        </w:rPr>
        <w:t>trouve</w:t>
      </w:r>
      <w:r w:rsidR="00A66FF1" w:rsidRPr="0070292F">
        <w:rPr>
          <w:lang w:val="fr-FR"/>
        </w:rPr>
        <w:t xml:space="preserve"> également préoccup</w:t>
      </w:r>
      <w:r w:rsidR="00AB0E71" w:rsidRPr="0070292F">
        <w:rPr>
          <w:lang w:val="fr-FR"/>
        </w:rPr>
        <w:t xml:space="preserve">ant </w:t>
      </w:r>
      <w:r w:rsidR="00A66FF1" w:rsidRPr="0070292F">
        <w:rPr>
          <w:lang w:val="fr-FR"/>
        </w:rPr>
        <w:t xml:space="preserve">que les mesures prévues par la loi et appliquées au requérant </w:t>
      </w:r>
      <w:r w:rsidR="007525D0" w:rsidRPr="0070292F">
        <w:rPr>
          <w:lang w:val="fr-FR"/>
        </w:rPr>
        <w:t>aient comporté</w:t>
      </w:r>
      <w:r w:rsidR="00A66FF1" w:rsidRPr="0070292F">
        <w:rPr>
          <w:lang w:val="fr-FR"/>
        </w:rPr>
        <w:t xml:space="preserve"> une interdiction absolue de participer à des réunions publiques. La loi n</w:t>
      </w:r>
      <w:r w:rsidR="0070292F" w:rsidRPr="0070292F">
        <w:rPr>
          <w:lang w:val="fr-FR"/>
        </w:rPr>
        <w:t>’</w:t>
      </w:r>
      <w:r w:rsidR="00A66FF1" w:rsidRPr="0070292F">
        <w:rPr>
          <w:lang w:val="fr-FR"/>
        </w:rPr>
        <w:t>indique aucune limite temporelle ou spatiale à cette liberté fondamentale, dont la restriction est entièrement laissée à l</w:t>
      </w:r>
      <w:r w:rsidR="0070292F" w:rsidRPr="0070292F">
        <w:rPr>
          <w:lang w:val="fr-FR"/>
        </w:rPr>
        <w:t>’</w:t>
      </w:r>
      <w:r w:rsidR="00A66FF1" w:rsidRPr="0070292F">
        <w:rPr>
          <w:lang w:val="fr-FR"/>
        </w:rPr>
        <w:t>appréciation du juge.</w:t>
      </w:r>
    </w:p>
    <w:p w:rsidR="00C165E2" w:rsidRPr="0070292F" w:rsidRDefault="00C165E2"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124</w:t>
      </w:r>
      <w:r w:rsidRPr="0070292F">
        <w:rPr>
          <w:lang w:val="fr-FR"/>
        </w:rPr>
        <w:fldChar w:fldCharType="end"/>
      </w:r>
      <w:r w:rsidRPr="0070292F">
        <w:rPr>
          <w:lang w:val="fr-FR"/>
        </w:rPr>
        <w:t>.  La Cour est d</w:t>
      </w:r>
      <w:r w:rsidR="0070292F" w:rsidRPr="0070292F">
        <w:rPr>
          <w:lang w:val="fr-FR"/>
        </w:rPr>
        <w:t>’</w:t>
      </w:r>
      <w:r w:rsidRPr="0070292F">
        <w:rPr>
          <w:lang w:val="fr-FR"/>
        </w:rPr>
        <w:t>avis que la loi laissait aux juridictions un large pouvoir d</w:t>
      </w:r>
      <w:r w:rsidR="0070292F" w:rsidRPr="0070292F">
        <w:rPr>
          <w:lang w:val="fr-FR"/>
        </w:rPr>
        <w:t>’</w:t>
      </w:r>
      <w:r w:rsidRPr="0070292F">
        <w:rPr>
          <w:lang w:val="fr-FR"/>
        </w:rPr>
        <w:t>appréciation, sans indiquer avec assez de clarté l</w:t>
      </w:r>
      <w:r w:rsidR="0070292F" w:rsidRPr="0070292F">
        <w:rPr>
          <w:lang w:val="fr-FR"/>
        </w:rPr>
        <w:t>’</w:t>
      </w:r>
      <w:r w:rsidRPr="0070292F">
        <w:rPr>
          <w:lang w:val="fr-FR"/>
        </w:rPr>
        <w:t>étendue et les modalités d</w:t>
      </w:r>
      <w:r w:rsidR="0070292F" w:rsidRPr="0070292F">
        <w:rPr>
          <w:lang w:val="fr-FR"/>
        </w:rPr>
        <w:t>’</w:t>
      </w:r>
      <w:r w:rsidRPr="0070292F">
        <w:rPr>
          <w:lang w:val="fr-FR"/>
        </w:rPr>
        <w:t>exercice de ce pouvoir. Il s</w:t>
      </w:r>
      <w:r w:rsidR="0070292F" w:rsidRPr="0070292F">
        <w:rPr>
          <w:lang w:val="fr-FR"/>
        </w:rPr>
        <w:t>’</w:t>
      </w:r>
      <w:r w:rsidRPr="0070292F">
        <w:rPr>
          <w:lang w:val="fr-FR"/>
        </w:rPr>
        <w:t>ensuit que l</w:t>
      </w:r>
      <w:r w:rsidR="0070292F" w:rsidRPr="0070292F">
        <w:rPr>
          <w:lang w:val="fr-FR"/>
        </w:rPr>
        <w:t>’</w:t>
      </w:r>
      <w:r w:rsidRPr="0070292F">
        <w:rPr>
          <w:lang w:val="fr-FR"/>
        </w:rPr>
        <w:t xml:space="preserve">application des mesures de prévention au requérant </w:t>
      </w:r>
      <w:r w:rsidR="00722C49" w:rsidRPr="0070292F">
        <w:rPr>
          <w:lang w:val="fr-FR"/>
        </w:rPr>
        <w:t>n</w:t>
      </w:r>
      <w:r w:rsidR="0070292F" w:rsidRPr="0070292F">
        <w:rPr>
          <w:lang w:val="fr-FR"/>
        </w:rPr>
        <w:t>’</w:t>
      </w:r>
      <w:r w:rsidR="00722C49" w:rsidRPr="0070292F">
        <w:rPr>
          <w:lang w:val="fr-FR"/>
        </w:rPr>
        <w:t xml:space="preserve">était pas suffisamment prévisible et </w:t>
      </w:r>
      <w:r w:rsidRPr="0070292F">
        <w:rPr>
          <w:lang w:val="fr-FR"/>
        </w:rPr>
        <w:t>n</w:t>
      </w:r>
      <w:r w:rsidR="0070292F" w:rsidRPr="0070292F">
        <w:rPr>
          <w:lang w:val="fr-FR"/>
        </w:rPr>
        <w:t>’</w:t>
      </w:r>
      <w:r w:rsidRPr="0070292F">
        <w:rPr>
          <w:lang w:val="fr-FR"/>
        </w:rPr>
        <w:t>a pas été entourée de garanties adéquates contre les divers abus possibles.</w:t>
      </w:r>
    </w:p>
    <w:p w:rsidR="00722C49" w:rsidRPr="0070292F" w:rsidRDefault="00C165E2"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125</w:t>
      </w:r>
      <w:r w:rsidRPr="0070292F">
        <w:rPr>
          <w:lang w:val="fr-FR"/>
        </w:rPr>
        <w:fldChar w:fldCharType="end"/>
      </w:r>
      <w:r w:rsidRPr="0070292F">
        <w:rPr>
          <w:lang w:val="fr-FR"/>
        </w:rPr>
        <w:t>.  Dès lors, la Cour estime que la loi n</w:t>
      </w:r>
      <w:r w:rsidR="008C1E94" w:rsidRPr="0070292F">
        <w:rPr>
          <w:vertAlign w:val="superscript"/>
          <w:lang w:val="fr-FR"/>
        </w:rPr>
        <w:t>o</w:t>
      </w:r>
      <w:r w:rsidRPr="0070292F">
        <w:rPr>
          <w:lang w:val="fr-FR"/>
        </w:rPr>
        <w:t xml:space="preserve"> 1423</w:t>
      </w:r>
      <w:r w:rsidR="00AB0E71" w:rsidRPr="0070292F">
        <w:rPr>
          <w:lang w:val="fr-FR"/>
        </w:rPr>
        <w:t>/</w:t>
      </w:r>
      <w:r w:rsidRPr="0070292F">
        <w:rPr>
          <w:lang w:val="fr-FR"/>
        </w:rPr>
        <w:t>1956 était libellée en des termes vagues et</w:t>
      </w:r>
      <w:r w:rsidR="007646A0" w:rsidRPr="0070292F">
        <w:rPr>
          <w:lang w:val="fr-FR"/>
        </w:rPr>
        <w:t xml:space="preserve"> excessivement </w:t>
      </w:r>
      <w:r w:rsidRPr="0070292F">
        <w:rPr>
          <w:lang w:val="fr-FR"/>
        </w:rPr>
        <w:t xml:space="preserve"> généraux</w:t>
      </w:r>
      <w:r w:rsidR="00722C49" w:rsidRPr="0070292F">
        <w:rPr>
          <w:lang w:val="fr-FR"/>
        </w:rPr>
        <w:t>. Ni les personnes auxquelles les mesures de prévention pouvaient être appliquées</w:t>
      </w:r>
      <w:r w:rsidRPr="0070292F">
        <w:rPr>
          <w:lang w:val="fr-FR"/>
        </w:rPr>
        <w:t xml:space="preserve"> </w:t>
      </w:r>
      <w:r w:rsidR="00722C49" w:rsidRPr="0070292F">
        <w:rPr>
          <w:lang w:val="fr-FR"/>
        </w:rPr>
        <w:t>(article 1 de la loi de 1956) ni le contenu de certaines de ces mesures (articles 3 et 5 de la loi de 1956) n</w:t>
      </w:r>
      <w:r w:rsidR="0070292F" w:rsidRPr="0070292F">
        <w:rPr>
          <w:lang w:val="fr-FR"/>
        </w:rPr>
        <w:t>’</w:t>
      </w:r>
      <w:r w:rsidR="00722C49" w:rsidRPr="0070292F">
        <w:rPr>
          <w:lang w:val="fr-FR"/>
        </w:rPr>
        <w:t>étaient définis</w:t>
      </w:r>
      <w:r w:rsidRPr="0070292F">
        <w:rPr>
          <w:lang w:val="fr-FR"/>
        </w:rPr>
        <w:t xml:space="preserve"> avec une </w:t>
      </w:r>
      <w:r w:rsidR="00AB0E71" w:rsidRPr="0070292F">
        <w:rPr>
          <w:lang w:val="fr-FR"/>
        </w:rPr>
        <w:t xml:space="preserve">précision et une </w:t>
      </w:r>
      <w:r w:rsidRPr="0070292F">
        <w:rPr>
          <w:lang w:val="fr-FR"/>
        </w:rPr>
        <w:t>clarté suffisantes. Il s</w:t>
      </w:r>
      <w:r w:rsidR="0070292F" w:rsidRPr="0070292F">
        <w:rPr>
          <w:lang w:val="fr-FR"/>
        </w:rPr>
        <w:t>’</w:t>
      </w:r>
      <w:r w:rsidRPr="0070292F">
        <w:rPr>
          <w:lang w:val="fr-FR"/>
        </w:rPr>
        <w:t>ensuit que cette loi ne remplissait pas les conditions de prévisibilité telles qu</w:t>
      </w:r>
      <w:r w:rsidR="0070292F" w:rsidRPr="0070292F">
        <w:rPr>
          <w:lang w:val="fr-FR"/>
        </w:rPr>
        <w:t>’</w:t>
      </w:r>
      <w:r w:rsidRPr="0070292F">
        <w:rPr>
          <w:lang w:val="fr-FR"/>
        </w:rPr>
        <w:t>elles se dégagent de la jurisprudence de la Cour.</w:t>
      </w:r>
    </w:p>
    <w:p w:rsidR="006357A0" w:rsidRPr="0070292F" w:rsidRDefault="006357A0"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126</w:t>
      </w:r>
      <w:r w:rsidRPr="0070292F">
        <w:rPr>
          <w:lang w:val="fr-FR"/>
        </w:rPr>
        <w:fldChar w:fldCharType="end"/>
      </w:r>
      <w:r w:rsidRPr="0070292F">
        <w:rPr>
          <w:lang w:val="fr-FR"/>
        </w:rPr>
        <w:t>.  </w:t>
      </w:r>
      <w:r w:rsidRPr="0070292F">
        <w:rPr>
          <w:rFonts w:ascii="Times New Roman" w:hAnsi="Times New Roman" w:cs="Times New Roman"/>
          <w:lang w:val="fr-FR"/>
        </w:rPr>
        <w:t>En conséquence, on ne saurait considérer que l</w:t>
      </w:r>
      <w:r w:rsidR="0070292F" w:rsidRPr="0070292F">
        <w:rPr>
          <w:lang w:val="fr-FR"/>
        </w:rPr>
        <w:t>’</w:t>
      </w:r>
      <w:r w:rsidRPr="0070292F">
        <w:rPr>
          <w:lang w:val="fr-FR"/>
        </w:rPr>
        <w:t>atteinte à la liberté de circulation du requérant se fondait sur des dispositions juridiques respectant les exigences de légalité posées par la Convention. Il y a donc eu violation de l</w:t>
      </w:r>
      <w:r w:rsidR="0070292F" w:rsidRPr="0070292F">
        <w:rPr>
          <w:lang w:val="fr-FR"/>
        </w:rPr>
        <w:t>’</w:t>
      </w:r>
      <w:r w:rsidRPr="0070292F">
        <w:rPr>
          <w:lang w:val="fr-FR"/>
        </w:rPr>
        <w:t>article 2 du Protocole n</w:t>
      </w:r>
      <w:r w:rsidR="008C1E94" w:rsidRPr="0070292F">
        <w:rPr>
          <w:vertAlign w:val="superscript"/>
          <w:lang w:val="fr-FR"/>
        </w:rPr>
        <w:t>o</w:t>
      </w:r>
      <w:r w:rsidRPr="0070292F">
        <w:rPr>
          <w:lang w:val="fr-FR"/>
        </w:rPr>
        <w:t xml:space="preserve"> 4 en raison du manque de prévisibilité de la loi litigieuse.</w:t>
      </w:r>
    </w:p>
    <w:p w:rsidR="003920F8" w:rsidRPr="0070292F" w:rsidRDefault="006357A0"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127</w:t>
      </w:r>
      <w:r w:rsidRPr="0070292F">
        <w:rPr>
          <w:lang w:val="fr-FR"/>
        </w:rPr>
        <w:fldChar w:fldCharType="end"/>
      </w:r>
      <w:r w:rsidRPr="0070292F">
        <w:rPr>
          <w:lang w:val="fr-FR"/>
        </w:rPr>
        <w:t>.  </w:t>
      </w:r>
      <w:r w:rsidR="00A66FF1" w:rsidRPr="0070292F">
        <w:rPr>
          <w:lang w:val="fr-FR"/>
        </w:rPr>
        <w:t xml:space="preserve">Eu égard à la conclusion qui précède, </w:t>
      </w:r>
      <w:r w:rsidR="00612379" w:rsidRPr="0070292F">
        <w:rPr>
          <w:lang w:val="fr-FR"/>
        </w:rPr>
        <w:t>il n</w:t>
      </w:r>
      <w:r w:rsidR="0070292F" w:rsidRPr="0070292F">
        <w:rPr>
          <w:lang w:val="fr-FR"/>
        </w:rPr>
        <w:t>’</w:t>
      </w:r>
      <w:r w:rsidR="00612379" w:rsidRPr="0070292F">
        <w:rPr>
          <w:lang w:val="fr-FR"/>
        </w:rPr>
        <w:t xml:space="preserve">y a pas lieu pour </w:t>
      </w:r>
      <w:r w:rsidR="00A66FF1" w:rsidRPr="0070292F">
        <w:rPr>
          <w:lang w:val="fr-FR"/>
        </w:rPr>
        <w:t xml:space="preserve">la Cour </w:t>
      </w:r>
      <w:r w:rsidR="00612379" w:rsidRPr="0070292F">
        <w:rPr>
          <w:lang w:val="fr-FR"/>
        </w:rPr>
        <w:t>de</w:t>
      </w:r>
      <w:r w:rsidR="00A66FF1" w:rsidRPr="0070292F">
        <w:rPr>
          <w:lang w:val="fr-FR"/>
        </w:rPr>
        <w:t xml:space="preserve"> </w:t>
      </w:r>
      <w:r w:rsidR="00C83AAC" w:rsidRPr="0070292F">
        <w:rPr>
          <w:lang w:val="fr-FR"/>
        </w:rPr>
        <w:t>se pencher sur d</w:t>
      </w:r>
      <w:r w:rsidR="0070292F" w:rsidRPr="0070292F">
        <w:rPr>
          <w:lang w:val="fr-FR"/>
        </w:rPr>
        <w:t>’</w:t>
      </w:r>
      <w:r w:rsidR="00C83AAC" w:rsidRPr="0070292F">
        <w:rPr>
          <w:lang w:val="fr-FR"/>
        </w:rPr>
        <w:t xml:space="preserve">autres </w:t>
      </w:r>
      <w:r w:rsidR="00FE72A1" w:rsidRPr="0070292F">
        <w:rPr>
          <w:lang w:val="fr-FR"/>
        </w:rPr>
        <w:t>arguments</w:t>
      </w:r>
      <w:r w:rsidR="00C83AAC" w:rsidRPr="0070292F">
        <w:rPr>
          <w:lang w:val="fr-FR"/>
        </w:rPr>
        <w:t xml:space="preserve"> </w:t>
      </w:r>
      <w:r w:rsidR="00612379" w:rsidRPr="0070292F">
        <w:rPr>
          <w:lang w:val="fr-FR"/>
        </w:rPr>
        <w:t xml:space="preserve">du requérant </w:t>
      </w:r>
      <w:r w:rsidR="00C83AAC" w:rsidRPr="0070292F">
        <w:rPr>
          <w:lang w:val="fr-FR"/>
        </w:rPr>
        <w:t xml:space="preserve">ni à </w:t>
      </w:r>
      <w:r w:rsidR="00A66FF1" w:rsidRPr="0070292F">
        <w:rPr>
          <w:lang w:val="fr-FR"/>
        </w:rPr>
        <w:t xml:space="preserve">rechercher si les mesures appliquées </w:t>
      </w:r>
      <w:r w:rsidR="00C83AAC" w:rsidRPr="0070292F">
        <w:rPr>
          <w:lang w:val="fr-FR"/>
        </w:rPr>
        <w:t>à celui-ci</w:t>
      </w:r>
      <w:r w:rsidR="00A66FF1" w:rsidRPr="0070292F">
        <w:rPr>
          <w:lang w:val="fr-FR"/>
        </w:rPr>
        <w:t xml:space="preserve"> poursuivaient un ou plusieurs buts légitimes et étaient nécessaires dans une société démocratique.</w:t>
      </w:r>
    </w:p>
    <w:p w:rsidR="00A421A8" w:rsidRPr="0070292F" w:rsidRDefault="00BB2C19" w:rsidP="0070292F">
      <w:pPr>
        <w:pStyle w:val="ECHRHeading1"/>
        <w:rPr>
          <w:lang w:val="fr-FR"/>
        </w:rPr>
      </w:pPr>
      <w:bookmarkStart w:id="43" w:name="_Toc475451852"/>
      <w:r w:rsidRPr="0070292F">
        <w:rPr>
          <w:lang w:val="fr-FR"/>
        </w:rPr>
        <w:t>II</w:t>
      </w:r>
      <w:r w:rsidR="00E77CB3" w:rsidRPr="0070292F">
        <w:rPr>
          <w:lang w:val="fr-FR"/>
        </w:rPr>
        <w:t>.  SUR LA VIOLATION ALLÉGUÉE DE L</w:t>
      </w:r>
      <w:r w:rsidR="0070292F" w:rsidRPr="0070292F">
        <w:rPr>
          <w:lang w:val="fr-FR"/>
        </w:rPr>
        <w:t>’</w:t>
      </w:r>
      <w:r w:rsidR="00E77CB3" w:rsidRPr="0070292F">
        <w:rPr>
          <w:lang w:val="fr-FR"/>
        </w:rPr>
        <w:t xml:space="preserve">ARTICLE </w:t>
      </w:r>
      <w:r w:rsidR="00F051F7" w:rsidRPr="0070292F">
        <w:rPr>
          <w:lang w:val="fr-FR"/>
        </w:rPr>
        <w:t>6</w:t>
      </w:r>
      <w:r w:rsidR="00E77CB3" w:rsidRPr="0070292F">
        <w:rPr>
          <w:lang w:val="fr-FR"/>
        </w:rPr>
        <w:t xml:space="preserve"> DE LA CONVENTION</w:t>
      </w:r>
      <w:bookmarkEnd w:id="43"/>
    </w:p>
    <w:p w:rsidR="00A421A8" w:rsidRPr="0070292F" w:rsidRDefault="00AB04F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128</w:t>
      </w:r>
      <w:r w:rsidRPr="0070292F">
        <w:rPr>
          <w:lang w:val="fr-FR"/>
        </w:rPr>
        <w:fldChar w:fldCharType="end"/>
      </w:r>
      <w:r w:rsidRPr="0070292F">
        <w:rPr>
          <w:lang w:val="fr-FR"/>
        </w:rPr>
        <w:t>.  </w:t>
      </w:r>
      <w:r w:rsidR="00A421A8" w:rsidRPr="0070292F">
        <w:rPr>
          <w:lang w:val="fr-FR"/>
        </w:rPr>
        <w:t>Le requérant allègue une violation de l</w:t>
      </w:r>
      <w:r w:rsidR="0070292F" w:rsidRPr="0070292F">
        <w:rPr>
          <w:lang w:val="fr-FR"/>
        </w:rPr>
        <w:t>’</w:t>
      </w:r>
      <w:r w:rsidR="00A421A8" w:rsidRPr="0070292F">
        <w:rPr>
          <w:lang w:val="fr-FR"/>
        </w:rPr>
        <w:t>article 6 §</w:t>
      </w:r>
      <w:r w:rsidR="004F25E2" w:rsidRPr="0070292F">
        <w:rPr>
          <w:lang w:val="fr-FR"/>
        </w:rPr>
        <w:t xml:space="preserve"> </w:t>
      </w:r>
      <w:r w:rsidR="00235CBF" w:rsidRPr="0070292F">
        <w:rPr>
          <w:lang w:val="fr-FR"/>
        </w:rPr>
        <w:t>1 de la C</w:t>
      </w:r>
      <w:r w:rsidR="00A421A8" w:rsidRPr="0070292F">
        <w:rPr>
          <w:lang w:val="fr-FR"/>
        </w:rPr>
        <w:t>onvention en raison du défaut de publicité de l</w:t>
      </w:r>
      <w:r w:rsidR="0070292F" w:rsidRPr="0070292F">
        <w:rPr>
          <w:lang w:val="fr-FR"/>
        </w:rPr>
        <w:t>’</w:t>
      </w:r>
      <w:r w:rsidR="00A421A8" w:rsidRPr="0070292F">
        <w:rPr>
          <w:lang w:val="fr-FR"/>
        </w:rPr>
        <w:t>aud</w:t>
      </w:r>
      <w:r w:rsidR="00FC6844" w:rsidRPr="0070292F">
        <w:rPr>
          <w:lang w:val="fr-FR"/>
        </w:rPr>
        <w:t>ience devant le tribunal et la c</w:t>
      </w:r>
      <w:r w:rsidR="00A421A8" w:rsidRPr="0070292F">
        <w:rPr>
          <w:lang w:val="fr-FR"/>
        </w:rPr>
        <w:t>our d</w:t>
      </w:r>
      <w:r w:rsidR="0070292F" w:rsidRPr="0070292F">
        <w:rPr>
          <w:lang w:val="fr-FR"/>
        </w:rPr>
        <w:t>’</w:t>
      </w:r>
      <w:r w:rsidR="00A421A8" w:rsidRPr="0070292F">
        <w:rPr>
          <w:lang w:val="fr-FR"/>
        </w:rPr>
        <w:t>appel</w:t>
      </w:r>
      <w:r w:rsidR="003719E7" w:rsidRPr="0070292F">
        <w:rPr>
          <w:lang w:val="fr-FR"/>
        </w:rPr>
        <w:t>,</w:t>
      </w:r>
      <w:r w:rsidR="00A421A8" w:rsidRPr="0070292F">
        <w:rPr>
          <w:lang w:val="fr-FR"/>
        </w:rPr>
        <w:t xml:space="preserve"> </w:t>
      </w:r>
      <w:r w:rsidR="00235CBF" w:rsidRPr="0070292F">
        <w:rPr>
          <w:lang w:val="fr-FR"/>
        </w:rPr>
        <w:t xml:space="preserve">ainsi </w:t>
      </w:r>
      <w:r w:rsidR="003719E7" w:rsidRPr="0070292F">
        <w:rPr>
          <w:lang w:val="fr-FR"/>
        </w:rPr>
        <w:t>que d</w:t>
      </w:r>
      <w:r w:rsidR="0070292F" w:rsidRPr="0070292F">
        <w:rPr>
          <w:lang w:val="fr-FR"/>
        </w:rPr>
        <w:t>’</w:t>
      </w:r>
      <w:r w:rsidR="003719E7" w:rsidRPr="0070292F">
        <w:rPr>
          <w:lang w:val="fr-FR"/>
        </w:rPr>
        <w:t xml:space="preserve">un </w:t>
      </w:r>
      <w:r w:rsidR="00B3093F" w:rsidRPr="0070292F">
        <w:rPr>
          <w:lang w:val="fr-FR"/>
        </w:rPr>
        <w:t>défaut d</w:t>
      </w:r>
      <w:r w:rsidR="0070292F" w:rsidRPr="0070292F">
        <w:rPr>
          <w:lang w:val="fr-FR"/>
        </w:rPr>
        <w:t>’</w:t>
      </w:r>
      <w:r w:rsidR="00B3093F" w:rsidRPr="0070292F">
        <w:rPr>
          <w:lang w:val="fr-FR"/>
        </w:rPr>
        <w:t>équité de la procédure.</w:t>
      </w:r>
      <w:r w:rsidR="00C83AAC" w:rsidRPr="0070292F">
        <w:rPr>
          <w:lang w:val="fr-FR"/>
        </w:rPr>
        <w:t xml:space="preserve"> </w:t>
      </w:r>
      <w:r w:rsidR="00A421A8" w:rsidRPr="0070292F">
        <w:rPr>
          <w:lang w:val="fr-FR"/>
        </w:rPr>
        <w:t>L</w:t>
      </w:r>
      <w:r w:rsidR="0070292F" w:rsidRPr="0070292F">
        <w:rPr>
          <w:lang w:val="fr-FR"/>
        </w:rPr>
        <w:t>’</w:t>
      </w:r>
      <w:r w:rsidR="00A421A8" w:rsidRPr="0070292F">
        <w:rPr>
          <w:lang w:val="fr-FR"/>
        </w:rPr>
        <w:t>article 6 § 1</w:t>
      </w:r>
      <w:r w:rsidR="00D47055" w:rsidRPr="0070292F">
        <w:rPr>
          <w:lang w:val="fr-FR"/>
        </w:rPr>
        <w:t>, dans sa partie pertinente,</w:t>
      </w:r>
      <w:r w:rsidR="00183C6D" w:rsidRPr="0070292F">
        <w:rPr>
          <w:lang w:val="fr-FR"/>
        </w:rPr>
        <w:t xml:space="preserve"> </w:t>
      </w:r>
      <w:r w:rsidR="00A421A8" w:rsidRPr="0070292F">
        <w:rPr>
          <w:lang w:val="fr-FR"/>
        </w:rPr>
        <w:t>est ainsi libellé :</w:t>
      </w:r>
    </w:p>
    <w:p w:rsidR="00A421A8" w:rsidRPr="0070292F" w:rsidRDefault="00A421A8" w:rsidP="0070292F">
      <w:pPr>
        <w:pStyle w:val="ECHRParaQuote"/>
        <w:rPr>
          <w:lang w:val="fr-FR"/>
        </w:rPr>
      </w:pPr>
      <w:r w:rsidRPr="0070292F">
        <w:rPr>
          <w:lang w:val="fr-FR"/>
        </w:rPr>
        <w:t xml:space="preserve">« 1.  Toute personne a droit à ce que sa cause soit entendue équitablement, publiquement et dans un délai raisonnable, par un tribunal indépendant et impartial, établi par la loi, qui décidera, soit des contestations sur ses droits et obligations de </w:t>
      </w:r>
      <w:r w:rsidRPr="0070292F">
        <w:rPr>
          <w:lang w:val="fr-FR"/>
        </w:rPr>
        <w:lastRenderedPageBreak/>
        <w:t>caractère civil, soit du bien-fondé de toute accusation en matière pénale dirigée contre elle.</w:t>
      </w:r>
      <w:r w:rsidR="00655FF7" w:rsidRPr="0070292F">
        <w:rPr>
          <w:lang w:val="fr-FR"/>
        </w:rPr>
        <w:t> »</w:t>
      </w:r>
    </w:p>
    <w:p w:rsidR="00142754" w:rsidRPr="0070292F" w:rsidRDefault="0062593E" w:rsidP="0070292F">
      <w:pPr>
        <w:pStyle w:val="ECHRPara"/>
        <w:rPr>
          <w:rStyle w:val="JuParaCar"/>
          <w:lang w:val="fr-FR"/>
        </w:rPr>
      </w:pPr>
      <w:r w:rsidRPr="0070292F">
        <w:rPr>
          <w:rStyle w:val="JuParaCar"/>
          <w:lang w:val="fr-FR"/>
        </w:rPr>
        <w:fldChar w:fldCharType="begin"/>
      </w:r>
      <w:r w:rsidRPr="0070292F">
        <w:rPr>
          <w:rStyle w:val="JuParaCar"/>
          <w:lang w:val="fr-FR"/>
        </w:rPr>
        <w:instrText xml:space="preserve"> SEQ level0 \*arabic </w:instrText>
      </w:r>
      <w:r w:rsidRPr="0070292F">
        <w:rPr>
          <w:rStyle w:val="JuParaCar"/>
          <w:lang w:val="fr-FR"/>
        </w:rPr>
        <w:fldChar w:fldCharType="separate"/>
      </w:r>
      <w:r w:rsidR="0070292F" w:rsidRPr="0070292F">
        <w:rPr>
          <w:rStyle w:val="JuParaCar"/>
          <w:noProof/>
          <w:lang w:val="fr-FR"/>
        </w:rPr>
        <w:t>129</w:t>
      </w:r>
      <w:r w:rsidRPr="0070292F">
        <w:rPr>
          <w:rStyle w:val="JuParaCar"/>
          <w:lang w:val="fr-FR"/>
        </w:rPr>
        <w:fldChar w:fldCharType="end"/>
      </w:r>
      <w:r w:rsidRPr="0070292F">
        <w:rPr>
          <w:rStyle w:val="JuParaCar"/>
          <w:lang w:val="fr-FR"/>
        </w:rPr>
        <w:t>.  </w:t>
      </w:r>
      <w:r w:rsidR="00142754" w:rsidRPr="0070292F">
        <w:rPr>
          <w:rStyle w:val="JuParaCar"/>
          <w:lang w:val="fr-FR"/>
        </w:rPr>
        <w:t>Le Gouvernement reconnaît que le requérant a subi une violation de l</w:t>
      </w:r>
      <w:r w:rsidR="0070292F" w:rsidRPr="0070292F">
        <w:rPr>
          <w:rStyle w:val="JuParaCar"/>
          <w:lang w:val="fr-FR"/>
        </w:rPr>
        <w:t>’</w:t>
      </w:r>
      <w:r w:rsidR="00142754" w:rsidRPr="0070292F">
        <w:rPr>
          <w:rStyle w:val="JuParaCar"/>
          <w:lang w:val="fr-FR"/>
        </w:rPr>
        <w:t xml:space="preserve">article 6 § 1 </w:t>
      </w:r>
      <w:r w:rsidR="003719E7" w:rsidRPr="0070292F">
        <w:rPr>
          <w:rStyle w:val="JuParaCar"/>
          <w:lang w:val="fr-FR"/>
        </w:rPr>
        <w:t>du fait du</w:t>
      </w:r>
      <w:r w:rsidR="00142754" w:rsidRPr="0070292F">
        <w:rPr>
          <w:rStyle w:val="JuParaCar"/>
          <w:lang w:val="fr-FR"/>
        </w:rPr>
        <w:t xml:space="preserve"> défaut de publicité de la procédure devant les juridictions internes</w:t>
      </w:r>
      <w:r w:rsidR="003719E7" w:rsidRPr="0070292F">
        <w:rPr>
          <w:rStyle w:val="JuParaCar"/>
          <w:lang w:val="fr-FR"/>
        </w:rPr>
        <w:t>,</w:t>
      </w:r>
      <w:r w:rsidR="00142754" w:rsidRPr="0070292F">
        <w:rPr>
          <w:rStyle w:val="JuParaCar"/>
          <w:lang w:val="fr-FR"/>
        </w:rPr>
        <w:t xml:space="preserve"> et conteste les autres allégations du requérant.</w:t>
      </w:r>
    </w:p>
    <w:p w:rsidR="00BB2C19" w:rsidRPr="0070292F" w:rsidRDefault="00A421A8" w:rsidP="0070292F">
      <w:pPr>
        <w:pStyle w:val="ECHRHeading2"/>
        <w:rPr>
          <w:lang w:val="fr-FR"/>
        </w:rPr>
      </w:pPr>
      <w:bookmarkStart w:id="44" w:name="_Toc475451853"/>
      <w:r w:rsidRPr="0070292F">
        <w:rPr>
          <w:lang w:val="fr-FR"/>
        </w:rPr>
        <w:t>A</w:t>
      </w:r>
      <w:r w:rsidR="00156556" w:rsidRPr="0070292F">
        <w:rPr>
          <w:lang w:val="fr-FR"/>
        </w:rPr>
        <w:t>.</w:t>
      </w:r>
      <w:r w:rsidR="00655FF7" w:rsidRPr="0070292F">
        <w:rPr>
          <w:lang w:val="fr-FR"/>
        </w:rPr>
        <w:t>  </w:t>
      </w:r>
      <w:r w:rsidR="00BB2C19" w:rsidRPr="0070292F">
        <w:rPr>
          <w:lang w:val="fr-FR"/>
        </w:rPr>
        <w:t>Sur la déclaration unilatérale</w:t>
      </w:r>
      <w:r w:rsidR="00D23636" w:rsidRPr="0070292F">
        <w:rPr>
          <w:lang w:val="fr-FR"/>
        </w:rPr>
        <w:t xml:space="preserve"> partielle du Gouvernement</w:t>
      </w:r>
      <w:bookmarkEnd w:id="44"/>
    </w:p>
    <w:p w:rsidR="004C3009" w:rsidRPr="0070292F" w:rsidRDefault="0062593E"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130</w:t>
      </w:r>
      <w:r w:rsidRPr="0070292F">
        <w:rPr>
          <w:lang w:val="fr-FR"/>
        </w:rPr>
        <w:fldChar w:fldCharType="end"/>
      </w:r>
      <w:r w:rsidRPr="0070292F">
        <w:rPr>
          <w:lang w:val="fr-FR"/>
        </w:rPr>
        <w:t>.  </w:t>
      </w:r>
      <w:r w:rsidR="004C3009" w:rsidRPr="0070292F">
        <w:rPr>
          <w:lang w:val="fr-FR"/>
        </w:rPr>
        <w:t xml:space="preserve">Le 7 avril 2015, le Gouvernement a </w:t>
      </w:r>
      <w:r w:rsidR="003719E7" w:rsidRPr="0070292F">
        <w:rPr>
          <w:lang w:val="fr-FR"/>
        </w:rPr>
        <w:t xml:space="preserve">adressé à la Cour </w:t>
      </w:r>
      <w:r w:rsidR="004C3009" w:rsidRPr="0070292F">
        <w:rPr>
          <w:lang w:val="fr-FR"/>
        </w:rPr>
        <w:t xml:space="preserve">une lettre contenant une proposition en vue </w:t>
      </w:r>
      <w:r w:rsidR="003719E7" w:rsidRPr="0070292F">
        <w:rPr>
          <w:lang w:val="fr-FR"/>
        </w:rPr>
        <w:t>d</w:t>
      </w:r>
      <w:r w:rsidR="0070292F" w:rsidRPr="0070292F">
        <w:rPr>
          <w:lang w:val="fr-FR"/>
        </w:rPr>
        <w:t>’</w:t>
      </w:r>
      <w:r w:rsidR="003719E7" w:rsidRPr="0070292F">
        <w:rPr>
          <w:lang w:val="fr-FR"/>
        </w:rPr>
        <w:t xml:space="preserve">un règlement </w:t>
      </w:r>
      <w:r w:rsidR="004C3009" w:rsidRPr="0070292F">
        <w:rPr>
          <w:lang w:val="fr-FR"/>
        </w:rPr>
        <w:t xml:space="preserve">amiable </w:t>
      </w:r>
      <w:r w:rsidR="003719E7" w:rsidRPr="0070292F">
        <w:rPr>
          <w:lang w:val="fr-FR"/>
        </w:rPr>
        <w:t xml:space="preserve">de </w:t>
      </w:r>
      <w:r w:rsidR="004C3009" w:rsidRPr="0070292F">
        <w:rPr>
          <w:lang w:val="fr-FR"/>
        </w:rPr>
        <w:t>la partie de la requête concernant le grief tiré du défaut de publicité des audiences devant le tribunal et la cour d</w:t>
      </w:r>
      <w:r w:rsidR="0070292F" w:rsidRPr="0070292F">
        <w:rPr>
          <w:lang w:val="fr-FR"/>
        </w:rPr>
        <w:t>’</w:t>
      </w:r>
      <w:r w:rsidR="004C3009" w:rsidRPr="0070292F">
        <w:rPr>
          <w:lang w:val="fr-FR"/>
        </w:rPr>
        <w:t>appel de Bari (article 6 § 1 de la Convention)</w:t>
      </w:r>
      <w:r w:rsidR="003719E7" w:rsidRPr="0070292F">
        <w:rPr>
          <w:lang w:val="fr-FR"/>
        </w:rPr>
        <w:t>,</w:t>
      </w:r>
      <w:r w:rsidR="004C3009" w:rsidRPr="0070292F">
        <w:rPr>
          <w:lang w:val="fr-FR"/>
        </w:rPr>
        <w:t xml:space="preserve"> ainsi </w:t>
      </w:r>
      <w:r w:rsidR="003719E7" w:rsidRPr="0070292F">
        <w:rPr>
          <w:lang w:val="fr-FR"/>
        </w:rPr>
        <w:t>qu</w:t>
      </w:r>
      <w:r w:rsidR="0070292F" w:rsidRPr="0070292F">
        <w:rPr>
          <w:lang w:val="fr-FR"/>
        </w:rPr>
        <w:t>’</w:t>
      </w:r>
      <w:r w:rsidR="003719E7" w:rsidRPr="0070292F">
        <w:rPr>
          <w:lang w:val="fr-FR"/>
        </w:rPr>
        <w:t>une</w:t>
      </w:r>
      <w:r w:rsidR="004C3009" w:rsidRPr="0070292F">
        <w:rPr>
          <w:lang w:val="fr-FR"/>
        </w:rPr>
        <w:t xml:space="preserve"> déclaration unilatéra</w:t>
      </w:r>
      <w:r w:rsidR="00183C6D" w:rsidRPr="0070292F">
        <w:rPr>
          <w:lang w:val="fr-FR"/>
        </w:rPr>
        <w:t>le</w:t>
      </w:r>
      <w:r w:rsidR="003719E7" w:rsidRPr="0070292F">
        <w:rPr>
          <w:lang w:val="fr-FR"/>
        </w:rPr>
        <w:t xml:space="preserve"> relative à ce grief</w:t>
      </w:r>
      <w:r w:rsidR="006B30F5" w:rsidRPr="0070292F">
        <w:rPr>
          <w:lang w:val="fr-FR"/>
        </w:rPr>
        <w:t>,</w:t>
      </w:r>
      <w:r w:rsidR="00183C6D" w:rsidRPr="0070292F">
        <w:rPr>
          <w:lang w:val="fr-FR"/>
        </w:rPr>
        <w:t xml:space="preserve"> </w:t>
      </w:r>
      <w:r w:rsidR="003719E7" w:rsidRPr="0070292F">
        <w:rPr>
          <w:lang w:val="fr-FR"/>
        </w:rPr>
        <w:t>fondée sur</w:t>
      </w:r>
      <w:r w:rsidR="00183C6D" w:rsidRPr="0070292F">
        <w:rPr>
          <w:lang w:val="fr-FR"/>
        </w:rPr>
        <w:t xml:space="preserve"> l</w:t>
      </w:r>
      <w:r w:rsidR="0070292F" w:rsidRPr="0070292F">
        <w:rPr>
          <w:lang w:val="fr-FR"/>
        </w:rPr>
        <w:t>’</w:t>
      </w:r>
      <w:r w:rsidR="00183C6D" w:rsidRPr="0070292F">
        <w:rPr>
          <w:lang w:val="fr-FR"/>
        </w:rPr>
        <w:t>article 62A du r</w:t>
      </w:r>
      <w:r w:rsidR="004C3009" w:rsidRPr="0070292F">
        <w:rPr>
          <w:lang w:val="fr-FR"/>
        </w:rPr>
        <w:t xml:space="preserve">èglement de </w:t>
      </w:r>
      <w:r w:rsidR="00CC4FCD" w:rsidRPr="0070292F">
        <w:rPr>
          <w:lang w:val="fr-FR"/>
        </w:rPr>
        <w:t>la Cour. En outre, le Gouvernement a demandé à la Cour de procéder à une radiation partielle du grief à défaut d</w:t>
      </w:r>
      <w:r w:rsidR="0070292F" w:rsidRPr="0070292F">
        <w:rPr>
          <w:lang w:val="fr-FR"/>
        </w:rPr>
        <w:t>’</w:t>
      </w:r>
      <w:r w:rsidR="00CC4FCD" w:rsidRPr="0070292F">
        <w:rPr>
          <w:lang w:val="fr-FR"/>
        </w:rPr>
        <w:t>a</w:t>
      </w:r>
      <w:r w:rsidR="00AD1FF1" w:rsidRPr="0070292F">
        <w:rPr>
          <w:lang w:val="fr-FR"/>
        </w:rPr>
        <w:t>cceptation du règlement amiable (</w:t>
      </w:r>
      <w:r w:rsidRPr="0070292F">
        <w:rPr>
          <w:lang w:val="fr-FR"/>
        </w:rPr>
        <w:t>paragraphe</w:t>
      </w:r>
      <w:r w:rsidR="0070292F" w:rsidRPr="0070292F">
        <w:rPr>
          <w:lang w:val="fr-FR"/>
        </w:rPr>
        <w:t xml:space="preserve"> </w:t>
      </w:r>
      <w:r w:rsidR="00AD1FF1" w:rsidRPr="0070292F">
        <w:rPr>
          <w:lang w:val="fr-FR"/>
        </w:rPr>
        <w:t>29 ci-dessus).</w:t>
      </w:r>
    </w:p>
    <w:p w:rsidR="0070292F" w:rsidRPr="0070292F" w:rsidRDefault="0062593E"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131</w:t>
      </w:r>
      <w:r w:rsidRPr="0070292F">
        <w:rPr>
          <w:lang w:val="fr-FR"/>
        </w:rPr>
        <w:fldChar w:fldCharType="end"/>
      </w:r>
      <w:r w:rsidRPr="0070292F">
        <w:rPr>
          <w:lang w:val="fr-FR"/>
        </w:rPr>
        <w:t>.  </w:t>
      </w:r>
      <w:r w:rsidR="004C3009" w:rsidRPr="0070292F">
        <w:rPr>
          <w:lang w:val="fr-FR"/>
        </w:rPr>
        <w:t xml:space="preserve">Le 22 avril 2015, le requérant a indiqué </w:t>
      </w:r>
      <w:r w:rsidR="00142754" w:rsidRPr="0070292F">
        <w:rPr>
          <w:lang w:val="fr-FR"/>
        </w:rPr>
        <w:t>qu</w:t>
      </w:r>
      <w:r w:rsidR="0070292F" w:rsidRPr="0070292F">
        <w:rPr>
          <w:lang w:val="fr-FR"/>
        </w:rPr>
        <w:t>’</w:t>
      </w:r>
      <w:r w:rsidR="00142754" w:rsidRPr="0070292F">
        <w:rPr>
          <w:lang w:val="fr-FR"/>
        </w:rPr>
        <w:t>il</w:t>
      </w:r>
      <w:r w:rsidR="004C3009" w:rsidRPr="0070292F">
        <w:rPr>
          <w:lang w:val="fr-FR"/>
        </w:rPr>
        <w:t xml:space="preserve"> </w:t>
      </w:r>
      <w:r w:rsidR="006C0A76" w:rsidRPr="0070292F">
        <w:rPr>
          <w:lang w:val="fr-FR"/>
        </w:rPr>
        <w:t>n</w:t>
      </w:r>
      <w:r w:rsidR="0070292F" w:rsidRPr="0070292F">
        <w:rPr>
          <w:lang w:val="fr-FR"/>
        </w:rPr>
        <w:t>’</w:t>
      </w:r>
      <w:r w:rsidR="006C0A76" w:rsidRPr="0070292F">
        <w:rPr>
          <w:lang w:val="fr-FR"/>
        </w:rPr>
        <w:t>était</w:t>
      </w:r>
      <w:r w:rsidR="004C3009" w:rsidRPr="0070292F">
        <w:rPr>
          <w:lang w:val="fr-FR"/>
        </w:rPr>
        <w:t xml:space="preserve"> pas satisfait </w:t>
      </w:r>
      <w:r w:rsidR="003719E7" w:rsidRPr="0070292F">
        <w:rPr>
          <w:lang w:val="fr-FR"/>
        </w:rPr>
        <w:t>des</w:t>
      </w:r>
      <w:r w:rsidR="004C3009" w:rsidRPr="0070292F">
        <w:rPr>
          <w:lang w:val="fr-FR"/>
        </w:rPr>
        <w:t xml:space="preserve"> termes de la proposition de règlement amiable</w:t>
      </w:r>
      <w:r w:rsidR="00142754" w:rsidRPr="0070292F">
        <w:rPr>
          <w:lang w:val="fr-FR"/>
        </w:rPr>
        <w:t>. Aucun commentaire n</w:t>
      </w:r>
      <w:r w:rsidR="0070292F" w:rsidRPr="0070292F">
        <w:rPr>
          <w:lang w:val="fr-FR"/>
        </w:rPr>
        <w:t>’</w:t>
      </w:r>
      <w:r w:rsidR="00142754" w:rsidRPr="0070292F">
        <w:rPr>
          <w:lang w:val="fr-FR"/>
        </w:rPr>
        <w:t>a été fait sur la déclaration unilatérale.</w:t>
      </w:r>
    </w:p>
    <w:p w:rsidR="00F4120B" w:rsidRPr="0070292F" w:rsidRDefault="0062593E"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132</w:t>
      </w:r>
      <w:r w:rsidRPr="0070292F">
        <w:rPr>
          <w:lang w:val="fr-FR"/>
        </w:rPr>
        <w:fldChar w:fldCharType="end"/>
      </w:r>
      <w:r w:rsidRPr="0070292F">
        <w:rPr>
          <w:lang w:val="fr-FR"/>
        </w:rPr>
        <w:t>.  </w:t>
      </w:r>
      <w:r w:rsidR="00F4120B" w:rsidRPr="0070292F">
        <w:rPr>
          <w:lang w:val="fr-FR"/>
        </w:rPr>
        <w:t>L</w:t>
      </w:r>
      <w:r w:rsidR="0070292F" w:rsidRPr="0070292F">
        <w:rPr>
          <w:lang w:val="fr-FR"/>
        </w:rPr>
        <w:t>’</w:t>
      </w:r>
      <w:r w:rsidR="00F4120B" w:rsidRPr="0070292F">
        <w:rPr>
          <w:lang w:val="fr-FR"/>
        </w:rPr>
        <w:t>article 37 § 1 de la Convention est ainsi libellé</w:t>
      </w:r>
      <w:r w:rsidR="003719E7" w:rsidRPr="0070292F">
        <w:rPr>
          <w:lang w:val="fr-FR"/>
        </w:rPr>
        <w:t xml:space="preserve"> en ses parties pertinentes </w:t>
      </w:r>
      <w:r w:rsidR="00F4120B" w:rsidRPr="0070292F">
        <w:rPr>
          <w:lang w:val="fr-FR"/>
        </w:rPr>
        <w:t>:</w:t>
      </w:r>
    </w:p>
    <w:p w:rsidR="001D0B42" w:rsidRPr="0070292F" w:rsidRDefault="001D0B42" w:rsidP="0070292F">
      <w:pPr>
        <w:pStyle w:val="ECHRParaQuote"/>
        <w:rPr>
          <w:lang w:val="fr-FR"/>
        </w:rPr>
      </w:pPr>
      <w:r w:rsidRPr="0070292F">
        <w:rPr>
          <w:lang w:val="fr-FR"/>
        </w:rPr>
        <w:t>« 1.  </w:t>
      </w:r>
      <w:r w:rsidR="003719E7" w:rsidRPr="0070292F">
        <w:rPr>
          <w:rFonts w:cstheme="minorHAnsi"/>
          <w:lang w:val="fr-FR"/>
        </w:rPr>
        <w:t>À</w:t>
      </w:r>
      <w:r w:rsidRPr="0070292F">
        <w:rPr>
          <w:lang w:val="fr-FR"/>
        </w:rPr>
        <w:t xml:space="preserve"> tout moment de la procédure, la Cour peut décider de rayer une requête du rôle lorsque les circonstances permettent de conclure :</w:t>
      </w:r>
    </w:p>
    <w:p w:rsidR="00B70E33" w:rsidRPr="0070292F" w:rsidRDefault="003719E7" w:rsidP="0070292F">
      <w:pPr>
        <w:pStyle w:val="ECHRParaQuote"/>
        <w:rPr>
          <w:lang w:val="fr-FR"/>
        </w:rPr>
      </w:pPr>
      <w:r w:rsidRPr="0070292F">
        <w:rPr>
          <w:lang w:val="fr-FR"/>
        </w:rPr>
        <w:t>(...)</w:t>
      </w:r>
    </w:p>
    <w:p w:rsidR="001D0B42" w:rsidRPr="0070292F" w:rsidRDefault="001D0B42" w:rsidP="0070292F">
      <w:pPr>
        <w:pStyle w:val="ECHRParaQuote"/>
        <w:rPr>
          <w:lang w:val="fr-FR"/>
        </w:rPr>
      </w:pPr>
      <w:r w:rsidRPr="0070292F">
        <w:rPr>
          <w:lang w:val="fr-FR"/>
        </w:rPr>
        <w:t>c)  que, pour tout autre motif dont la Cour constate l</w:t>
      </w:r>
      <w:r w:rsidR="0070292F" w:rsidRPr="0070292F">
        <w:rPr>
          <w:lang w:val="fr-FR"/>
        </w:rPr>
        <w:t>’</w:t>
      </w:r>
      <w:r w:rsidRPr="0070292F">
        <w:rPr>
          <w:lang w:val="fr-FR"/>
        </w:rPr>
        <w:t>existence, il ne se justifie plus de poursuivre l</w:t>
      </w:r>
      <w:r w:rsidR="0070292F" w:rsidRPr="0070292F">
        <w:rPr>
          <w:lang w:val="fr-FR"/>
        </w:rPr>
        <w:t>’</w:t>
      </w:r>
      <w:r w:rsidRPr="0070292F">
        <w:rPr>
          <w:lang w:val="fr-FR"/>
        </w:rPr>
        <w:t>examen de la requête.</w:t>
      </w:r>
    </w:p>
    <w:p w:rsidR="001D0B42" w:rsidRPr="0070292F" w:rsidRDefault="001D0B42" w:rsidP="0070292F">
      <w:pPr>
        <w:pStyle w:val="ECHRParaQuote"/>
        <w:rPr>
          <w:lang w:val="fr-FR"/>
        </w:rPr>
      </w:pPr>
      <w:r w:rsidRPr="0070292F">
        <w:rPr>
          <w:lang w:val="fr-FR"/>
        </w:rPr>
        <w:t>Toutefois, la Cour poursuit l</w:t>
      </w:r>
      <w:r w:rsidR="0070292F" w:rsidRPr="0070292F">
        <w:rPr>
          <w:lang w:val="fr-FR"/>
        </w:rPr>
        <w:t>’</w:t>
      </w:r>
      <w:r w:rsidRPr="0070292F">
        <w:rPr>
          <w:lang w:val="fr-FR"/>
        </w:rPr>
        <w:t>examen de la requête si le respect des droits de l</w:t>
      </w:r>
      <w:r w:rsidR="0070292F" w:rsidRPr="0070292F">
        <w:rPr>
          <w:lang w:val="fr-FR"/>
        </w:rPr>
        <w:t>’</w:t>
      </w:r>
      <w:r w:rsidRPr="0070292F">
        <w:rPr>
          <w:lang w:val="fr-FR"/>
        </w:rPr>
        <w:t>homme garantis par la Convention et ses Protocoles l</w:t>
      </w:r>
      <w:r w:rsidR="0070292F" w:rsidRPr="0070292F">
        <w:rPr>
          <w:lang w:val="fr-FR"/>
        </w:rPr>
        <w:t>’</w:t>
      </w:r>
      <w:r w:rsidRPr="0070292F">
        <w:rPr>
          <w:lang w:val="fr-FR"/>
        </w:rPr>
        <w:t>exige.</w:t>
      </w:r>
      <w:r w:rsidR="004F1BF9" w:rsidRPr="0070292F">
        <w:rPr>
          <w:lang w:val="fr-FR"/>
        </w:rPr>
        <w:t> »</w:t>
      </w:r>
    </w:p>
    <w:p w:rsidR="004C3009" w:rsidRPr="0070292F" w:rsidRDefault="0062593E"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133</w:t>
      </w:r>
      <w:r w:rsidRPr="0070292F">
        <w:rPr>
          <w:lang w:val="fr-FR"/>
        </w:rPr>
        <w:fldChar w:fldCharType="end"/>
      </w:r>
      <w:r w:rsidRPr="0070292F">
        <w:rPr>
          <w:lang w:val="fr-FR"/>
        </w:rPr>
        <w:t>.  </w:t>
      </w:r>
      <w:r w:rsidR="00F2527B" w:rsidRPr="0070292F">
        <w:rPr>
          <w:lang w:val="fr-FR"/>
        </w:rPr>
        <w:t>La Cour note tout d</w:t>
      </w:r>
      <w:r w:rsidR="0070292F" w:rsidRPr="0070292F">
        <w:rPr>
          <w:lang w:val="fr-FR"/>
        </w:rPr>
        <w:t>’</w:t>
      </w:r>
      <w:r w:rsidR="00F2527B" w:rsidRPr="0070292F">
        <w:rPr>
          <w:lang w:val="fr-FR"/>
        </w:rPr>
        <w:t xml:space="preserve">abord </w:t>
      </w:r>
      <w:r w:rsidR="003719E7" w:rsidRPr="0070292F">
        <w:rPr>
          <w:lang w:val="fr-FR"/>
        </w:rPr>
        <w:t>que cette affaire est</w:t>
      </w:r>
      <w:r w:rsidR="00142754" w:rsidRPr="0070292F">
        <w:rPr>
          <w:lang w:val="fr-FR"/>
        </w:rPr>
        <w:t xml:space="preserve"> la première </w:t>
      </w:r>
      <w:r w:rsidR="003719E7" w:rsidRPr="0070292F">
        <w:rPr>
          <w:lang w:val="fr-FR"/>
        </w:rPr>
        <w:t xml:space="preserve">dans laquelle </w:t>
      </w:r>
      <w:r w:rsidR="00142754" w:rsidRPr="0070292F">
        <w:rPr>
          <w:lang w:val="fr-FR"/>
        </w:rPr>
        <w:t>la G</w:t>
      </w:r>
      <w:r w:rsidR="00F2527B" w:rsidRPr="0070292F">
        <w:rPr>
          <w:lang w:val="fr-FR"/>
        </w:rPr>
        <w:t>rande Chambre se trouve confrontée à une demande de</w:t>
      </w:r>
      <w:r w:rsidR="004C3009" w:rsidRPr="0070292F">
        <w:rPr>
          <w:lang w:val="fr-FR"/>
        </w:rPr>
        <w:t xml:space="preserve"> radiation partielle</w:t>
      </w:r>
      <w:r w:rsidR="006B30F5" w:rsidRPr="0070292F">
        <w:rPr>
          <w:lang w:val="fr-FR"/>
        </w:rPr>
        <w:t>.</w:t>
      </w:r>
      <w:r w:rsidR="004C3009" w:rsidRPr="0070292F">
        <w:rPr>
          <w:lang w:val="fr-FR"/>
        </w:rPr>
        <w:t xml:space="preserve"> </w:t>
      </w:r>
      <w:r w:rsidR="006B30F5" w:rsidRPr="0070292F">
        <w:rPr>
          <w:lang w:val="fr-FR"/>
        </w:rPr>
        <w:t>En revanche,</w:t>
      </w:r>
      <w:r w:rsidR="00F2527B" w:rsidRPr="0070292F">
        <w:rPr>
          <w:lang w:val="fr-FR"/>
        </w:rPr>
        <w:t xml:space="preserve"> </w:t>
      </w:r>
      <w:r w:rsidR="003719E7" w:rsidRPr="0070292F">
        <w:rPr>
          <w:lang w:val="fr-FR"/>
        </w:rPr>
        <w:t xml:space="preserve">il est déjà arrivé que </w:t>
      </w:r>
      <w:r w:rsidR="004C3009" w:rsidRPr="0070292F">
        <w:rPr>
          <w:lang w:val="fr-FR"/>
        </w:rPr>
        <w:t xml:space="preserve">les </w:t>
      </w:r>
      <w:r w:rsidR="003719E7" w:rsidRPr="0070292F">
        <w:rPr>
          <w:lang w:val="fr-FR"/>
        </w:rPr>
        <w:t>s</w:t>
      </w:r>
      <w:r w:rsidR="004C3009" w:rsidRPr="0070292F">
        <w:rPr>
          <w:lang w:val="fr-FR"/>
        </w:rPr>
        <w:t>ections accept</w:t>
      </w:r>
      <w:r w:rsidR="003719E7" w:rsidRPr="0070292F">
        <w:rPr>
          <w:lang w:val="fr-FR"/>
        </w:rPr>
        <w:t>ent</w:t>
      </w:r>
      <w:r w:rsidR="004C3009" w:rsidRPr="0070292F">
        <w:rPr>
          <w:lang w:val="fr-FR"/>
        </w:rPr>
        <w:t xml:space="preserve"> de </w:t>
      </w:r>
      <w:r w:rsidR="003719E7" w:rsidRPr="0070292F">
        <w:rPr>
          <w:lang w:val="fr-FR"/>
        </w:rPr>
        <w:t xml:space="preserve">procéder à la radiation </w:t>
      </w:r>
      <w:r w:rsidR="006B30F5" w:rsidRPr="0070292F">
        <w:rPr>
          <w:lang w:val="fr-FR"/>
        </w:rPr>
        <w:t>partielle</w:t>
      </w:r>
      <w:r w:rsidR="003719E7" w:rsidRPr="0070292F">
        <w:rPr>
          <w:lang w:val="fr-FR"/>
        </w:rPr>
        <w:t xml:space="preserve"> </w:t>
      </w:r>
      <w:r w:rsidR="006E4F5B" w:rsidRPr="0070292F">
        <w:rPr>
          <w:lang w:val="fr-FR"/>
        </w:rPr>
        <w:t>d</w:t>
      </w:r>
      <w:r w:rsidR="0070292F" w:rsidRPr="0070292F">
        <w:rPr>
          <w:lang w:val="fr-FR"/>
        </w:rPr>
        <w:t>’</w:t>
      </w:r>
      <w:r w:rsidR="006E4F5B" w:rsidRPr="0070292F">
        <w:rPr>
          <w:lang w:val="fr-FR"/>
        </w:rPr>
        <w:t>une</w:t>
      </w:r>
      <w:r w:rsidR="006B30F5" w:rsidRPr="0070292F">
        <w:rPr>
          <w:lang w:val="fr-FR"/>
        </w:rPr>
        <w:t xml:space="preserve"> requête</w:t>
      </w:r>
      <w:r w:rsidR="00142754" w:rsidRPr="0070292F">
        <w:rPr>
          <w:lang w:val="fr-FR"/>
        </w:rPr>
        <w:t xml:space="preserve"> </w:t>
      </w:r>
      <w:r w:rsidR="003719E7" w:rsidRPr="0070292F">
        <w:rPr>
          <w:lang w:val="fr-FR"/>
        </w:rPr>
        <w:t>après dépôt d</w:t>
      </w:r>
      <w:r w:rsidR="0070292F" w:rsidRPr="0070292F">
        <w:rPr>
          <w:lang w:val="fr-FR"/>
        </w:rPr>
        <w:t>’</w:t>
      </w:r>
      <w:r w:rsidR="004C3009" w:rsidRPr="0070292F">
        <w:rPr>
          <w:lang w:val="fr-FR"/>
        </w:rPr>
        <w:t>un</w:t>
      </w:r>
      <w:r w:rsidR="00142754" w:rsidRPr="0070292F">
        <w:rPr>
          <w:lang w:val="fr-FR"/>
        </w:rPr>
        <w:t>e déclaration unilatérale et d</w:t>
      </w:r>
      <w:r w:rsidR="0070292F" w:rsidRPr="0070292F">
        <w:rPr>
          <w:lang w:val="fr-FR"/>
        </w:rPr>
        <w:t>’</w:t>
      </w:r>
      <w:r w:rsidR="004C3009" w:rsidRPr="0070292F">
        <w:rPr>
          <w:lang w:val="fr-FR"/>
        </w:rPr>
        <w:t>exa</w:t>
      </w:r>
      <w:r w:rsidR="00F2527B" w:rsidRPr="0070292F">
        <w:rPr>
          <w:lang w:val="fr-FR"/>
        </w:rPr>
        <w:t xml:space="preserve">miner les griefs </w:t>
      </w:r>
      <w:r w:rsidR="006B30F5" w:rsidRPr="0070292F">
        <w:rPr>
          <w:lang w:val="fr-FR"/>
        </w:rPr>
        <w:t xml:space="preserve">restants </w:t>
      </w:r>
      <w:r w:rsidR="00F2527B" w:rsidRPr="0070292F">
        <w:rPr>
          <w:lang w:val="fr-FR"/>
        </w:rPr>
        <w:t>(</w:t>
      </w:r>
      <w:r w:rsidR="004C3009" w:rsidRPr="0070292F">
        <w:rPr>
          <w:i/>
          <w:lang w:val="fr-FR"/>
        </w:rPr>
        <w:t>Bystrowski c.</w:t>
      </w:r>
      <w:r w:rsidR="00A43ADA" w:rsidRPr="0070292F">
        <w:rPr>
          <w:i/>
          <w:lang w:val="fr-FR"/>
        </w:rPr>
        <w:t> </w:t>
      </w:r>
      <w:r w:rsidR="004C3009" w:rsidRPr="0070292F">
        <w:rPr>
          <w:i/>
          <w:lang w:val="fr-FR"/>
        </w:rPr>
        <w:t>Pologne</w:t>
      </w:r>
      <w:r w:rsidR="006E4F5B" w:rsidRPr="0070292F">
        <w:rPr>
          <w:lang w:val="fr-FR"/>
        </w:rPr>
        <w:t>,</w:t>
      </w:r>
      <w:r w:rsidR="004C3009" w:rsidRPr="0070292F">
        <w:rPr>
          <w:lang w:val="fr-FR"/>
        </w:rPr>
        <w:t xml:space="preserve"> n</w:t>
      </w:r>
      <w:r w:rsidR="008C1E94" w:rsidRPr="0070292F">
        <w:rPr>
          <w:vertAlign w:val="superscript"/>
          <w:lang w:val="fr-FR"/>
        </w:rPr>
        <w:t>o</w:t>
      </w:r>
      <w:r w:rsidR="004C3009" w:rsidRPr="0070292F">
        <w:rPr>
          <w:lang w:val="fr-FR"/>
        </w:rPr>
        <w:t xml:space="preserve"> 15</w:t>
      </w:r>
      <w:r w:rsidR="0062423E" w:rsidRPr="0070292F">
        <w:rPr>
          <w:lang w:val="fr-FR"/>
        </w:rPr>
        <w:t>476/02, § 36</w:t>
      </w:r>
      <w:r w:rsidR="00EA6B84" w:rsidRPr="0070292F">
        <w:rPr>
          <w:lang w:val="fr-FR"/>
        </w:rPr>
        <w:t>,</w:t>
      </w:r>
      <w:r w:rsidR="0062423E" w:rsidRPr="0070292F">
        <w:rPr>
          <w:lang w:val="fr-FR"/>
        </w:rPr>
        <w:t xml:space="preserve"> 13 septembre 2011, </w:t>
      </w:r>
      <w:r w:rsidR="004C3009" w:rsidRPr="0070292F">
        <w:rPr>
          <w:i/>
          <w:iCs/>
          <w:lang w:val="fr-FR"/>
        </w:rPr>
        <w:t>Tayfur T</w:t>
      </w:r>
      <w:r w:rsidR="003719E7" w:rsidRPr="0070292F">
        <w:rPr>
          <w:i/>
          <w:iCs/>
          <w:lang w:val="fr-FR"/>
        </w:rPr>
        <w:t>unç</w:t>
      </w:r>
      <w:r w:rsidR="004C3009" w:rsidRPr="0070292F">
        <w:rPr>
          <w:lang w:val="fr-FR"/>
        </w:rPr>
        <w:t xml:space="preserve"> </w:t>
      </w:r>
      <w:r w:rsidR="004C3009" w:rsidRPr="0070292F">
        <w:rPr>
          <w:i/>
          <w:iCs/>
          <w:lang w:val="fr-FR"/>
        </w:rPr>
        <w:t>c.</w:t>
      </w:r>
      <w:r w:rsidR="006E67C3" w:rsidRPr="0070292F">
        <w:rPr>
          <w:i/>
          <w:iCs/>
          <w:lang w:val="fr-FR"/>
        </w:rPr>
        <w:t> </w:t>
      </w:r>
      <w:r w:rsidR="004C3009" w:rsidRPr="0070292F">
        <w:rPr>
          <w:i/>
          <w:iCs/>
          <w:lang w:val="fr-FR"/>
        </w:rPr>
        <w:t>Turquie</w:t>
      </w:r>
      <w:r w:rsidR="004C3009" w:rsidRPr="0070292F">
        <w:rPr>
          <w:lang w:val="fr-FR"/>
        </w:rPr>
        <w:t xml:space="preserve"> (déc.), n</w:t>
      </w:r>
      <w:r w:rsidR="008C1E94" w:rsidRPr="0070292F">
        <w:rPr>
          <w:vertAlign w:val="superscript"/>
          <w:lang w:val="fr-FR"/>
        </w:rPr>
        <w:t>o</w:t>
      </w:r>
      <w:r w:rsidR="004C3009" w:rsidRPr="0070292F">
        <w:rPr>
          <w:vertAlign w:val="superscript"/>
          <w:lang w:val="fr-FR"/>
        </w:rPr>
        <w:t xml:space="preserve"> </w:t>
      </w:r>
      <w:r w:rsidR="004C3009" w:rsidRPr="0070292F">
        <w:rPr>
          <w:lang w:val="fr-FR"/>
        </w:rPr>
        <w:t>22373/07</w:t>
      </w:r>
      <w:r w:rsidR="004C3009" w:rsidRPr="0070292F">
        <w:rPr>
          <w:i/>
          <w:iCs/>
          <w:lang w:val="fr-FR"/>
        </w:rPr>
        <w:t xml:space="preserve">, </w:t>
      </w:r>
      <w:r w:rsidR="00E11B40" w:rsidRPr="0070292F">
        <w:rPr>
          <w:rFonts w:cstheme="minorHAnsi"/>
          <w:iCs/>
          <w:lang w:val="fr-FR"/>
        </w:rPr>
        <w:t>§§</w:t>
      </w:r>
      <w:r w:rsidR="00E11B40" w:rsidRPr="0070292F">
        <w:rPr>
          <w:iCs/>
          <w:lang w:val="fr-FR"/>
        </w:rPr>
        <w:t xml:space="preserve"> 20-21, 24 mars 2015, </w:t>
      </w:r>
      <w:r w:rsidR="004C3009" w:rsidRPr="0070292F">
        <w:rPr>
          <w:i/>
          <w:iCs/>
          <w:lang w:val="fr-FR"/>
        </w:rPr>
        <w:t>Pubblicità Grafiche Perri S.R.L c. Italie</w:t>
      </w:r>
      <w:r w:rsidR="004C3009" w:rsidRPr="0070292F">
        <w:rPr>
          <w:lang w:val="fr-FR"/>
        </w:rPr>
        <w:t xml:space="preserve"> (déc.), n</w:t>
      </w:r>
      <w:r w:rsidR="008C1E94" w:rsidRPr="0070292F">
        <w:rPr>
          <w:vertAlign w:val="superscript"/>
          <w:lang w:val="fr-FR"/>
        </w:rPr>
        <w:t>o</w:t>
      </w:r>
      <w:r w:rsidR="004C3009" w:rsidRPr="0070292F">
        <w:rPr>
          <w:lang w:val="fr-FR"/>
        </w:rPr>
        <w:t xml:space="preserve"> 30746/03</w:t>
      </w:r>
      <w:r w:rsidR="00E11B40" w:rsidRPr="0070292F">
        <w:rPr>
          <w:lang w:val="fr-FR"/>
        </w:rPr>
        <w:t>, 14 octobre 2014</w:t>
      </w:r>
      <w:r w:rsidR="003719E7" w:rsidRPr="0070292F">
        <w:rPr>
          <w:lang w:val="fr-FR"/>
        </w:rPr>
        <w:t xml:space="preserve">, </w:t>
      </w:r>
      <w:r w:rsidR="004C3009" w:rsidRPr="0070292F">
        <w:rPr>
          <w:i/>
          <w:iCs/>
          <w:lang w:val="fr-FR"/>
        </w:rPr>
        <w:t>Frascati c. Italie</w:t>
      </w:r>
      <w:r w:rsidR="004C3009" w:rsidRPr="0070292F">
        <w:rPr>
          <w:lang w:val="fr-FR"/>
        </w:rPr>
        <w:t xml:space="preserve"> (déc.), n</w:t>
      </w:r>
      <w:r w:rsidR="008C1E94" w:rsidRPr="0070292F">
        <w:rPr>
          <w:vertAlign w:val="superscript"/>
          <w:lang w:val="fr-FR"/>
        </w:rPr>
        <w:t>o</w:t>
      </w:r>
      <w:r w:rsidR="0070292F" w:rsidRPr="0070292F">
        <w:rPr>
          <w:lang w:val="fr-FR"/>
        </w:rPr>
        <w:t> </w:t>
      </w:r>
      <w:r w:rsidR="004C3009" w:rsidRPr="0070292F">
        <w:rPr>
          <w:lang w:val="fr-FR"/>
        </w:rPr>
        <w:t>5382/08</w:t>
      </w:r>
      <w:r w:rsidR="00E11B40" w:rsidRPr="0070292F">
        <w:rPr>
          <w:lang w:val="fr-FR"/>
        </w:rPr>
        <w:t xml:space="preserve">, </w:t>
      </w:r>
      <w:r w:rsidR="00E11B40" w:rsidRPr="0070292F">
        <w:rPr>
          <w:rFonts w:cstheme="minorHAnsi"/>
          <w:lang w:val="fr-FR"/>
        </w:rPr>
        <w:t>§§</w:t>
      </w:r>
      <w:r w:rsidR="00EB6328" w:rsidRPr="0070292F">
        <w:rPr>
          <w:rFonts w:cstheme="minorHAnsi"/>
          <w:lang w:val="fr-FR"/>
        </w:rPr>
        <w:t xml:space="preserve"> </w:t>
      </w:r>
      <w:r w:rsidR="00E11B40" w:rsidRPr="0070292F">
        <w:rPr>
          <w:lang w:val="fr-FR"/>
        </w:rPr>
        <w:t>21-22, 13 mai 2014</w:t>
      </w:r>
      <w:r w:rsidR="003719E7" w:rsidRPr="0070292F">
        <w:rPr>
          <w:lang w:val="fr-FR"/>
        </w:rPr>
        <w:t xml:space="preserve">, </w:t>
      </w:r>
      <w:r w:rsidR="004C3009" w:rsidRPr="0070292F">
        <w:rPr>
          <w:i/>
          <w:iCs/>
          <w:lang w:val="fr-FR"/>
        </w:rPr>
        <w:t>Ramazan T</w:t>
      </w:r>
      <w:r w:rsidR="003719E7" w:rsidRPr="0070292F">
        <w:rPr>
          <w:i/>
          <w:iCs/>
          <w:lang w:val="fr-FR"/>
        </w:rPr>
        <w:t>aş</w:t>
      </w:r>
      <w:r w:rsidR="004C3009" w:rsidRPr="0070292F">
        <w:rPr>
          <w:i/>
          <w:iCs/>
          <w:lang w:val="fr-FR"/>
        </w:rPr>
        <w:t xml:space="preserve"> c. Turquie</w:t>
      </w:r>
      <w:r w:rsidR="004C3009" w:rsidRPr="0070292F">
        <w:rPr>
          <w:lang w:val="fr-FR"/>
        </w:rPr>
        <w:t xml:space="preserve"> (déc.), n</w:t>
      </w:r>
      <w:r w:rsidR="008C1E94" w:rsidRPr="0070292F">
        <w:rPr>
          <w:vertAlign w:val="superscript"/>
          <w:lang w:val="fr-FR"/>
        </w:rPr>
        <w:t>o</w:t>
      </w:r>
      <w:r w:rsidR="006E4F5B" w:rsidRPr="0070292F">
        <w:rPr>
          <w:lang w:val="fr-FR"/>
        </w:rPr>
        <w:t> </w:t>
      </w:r>
      <w:r w:rsidR="004C3009" w:rsidRPr="0070292F">
        <w:rPr>
          <w:lang w:val="fr-FR"/>
        </w:rPr>
        <w:t>5382/10</w:t>
      </w:r>
      <w:r w:rsidR="00E11B40" w:rsidRPr="0070292F">
        <w:rPr>
          <w:lang w:val="fr-FR"/>
        </w:rPr>
        <w:t>,</w:t>
      </w:r>
      <w:r w:rsidR="004C3009" w:rsidRPr="0070292F">
        <w:rPr>
          <w:lang w:val="fr-FR"/>
        </w:rPr>
        <w:t xml:space="preserve"> </w:t>
      </w:r>
      <w:r w:rsidR="00E11B40" w:rsidRPr="0070292F">
        <w:rPr>
          <w:lang w:val="fr-FR"/>
        </w:rPr>
        <w:t>14 octobre 2014</w:t>
      </w:r>
      <w:r w:rsidR="003719E7" w:rsidRPr="0070292F">
        <w:rPr>
          <w:lang w:val="fr-FR"/>
        </w:rPr>
        <w:t xml:space="preserve">, </w:t>
      </w:r>
      <w:r w:rsidR="004C3009" w:rsidRPr="0070292F">
        <w:rPr>
          <w:i/>
          <w:iCs/>
          <w:lang w:val="fr-FR"/>
        </w:rPr>
        <w:t>Pasquale Miele c. Italie</w:t>
      </w:r>
      <w:r w:rsidR="004C3009" w:rsidRPr="0070292F">
        <w:rPr>
          <w:lang w:val="fr-FR"/>
        </w:rPr>
        <w:t xml:space="preserve"> (déc.), n</w:t>
      </w:r>
      <w:r w:rsidR="008C1E94" w:rsidRPr="0070292F">
        <w:rPr>
          <w:vertAlign w:val="superscript"/>
          <w:lang w:val="fr-FR"/>
        </w:rPr>
        <w:t>o</w:t>
      </w:r>
      <w:r w:rsidR="00156556" w:rsidRPr="0070292F">
        <w:rPr>
          <w:lang w:val="fr-FR"/>
        </w:rPr>
        <w:t> </w:t>
      </w:r>
      <w:r w:rsidR="004C3009" w:rsidRPr="0070292F">
        <w:rPr>
          <w:lang w:val="fr-FR"/>
        </w:rPr>
        <w:t>37262/03</w:t>
      </w:r>
      <w:r w:rsidR="00F77D9D" w:rsidRPr="0070292F">
        <w:rPr>
          <w:lang w:val="fr-FR"/>
        </w:rPr>
        <w:t>, 16</w:t>
      </w:r>
      <w:r w:rsidR="006E67C3" w:rsidRPr="0070292F">
        <w:rPr>
          <w:lang w:val="fr-FR"/>
        </w:rPr>
        <w:t> </w:t>
      </w:r>
      <w:r w:rsidR="00F77D9D" w:rsidRPr="0070292F">
        <w:rPr>
          <w:lang w:val="fr-FR"/>
        </w:rPr>
        <w:t>septembre 2014</w:t>
      </w:r>
      <w:r w:rsidR="002C6521" w:rsidRPr="0070292F">
        <w:rPr>
          <w:lang w:val="fr-FR"/>
        </w:rPr>
        <w:t>,</w:t>
      </w:r>
      <w:r w:rsidR="004C3009" w:rsidRPr="0070292F">
        <w:rPr>
          <w:lang w:val="fr-FR"/>
        </w:rPr>
        <w:t xml:space="preserve"> </w:t>
      </w:r>
      <w:r w:rsidR="004C3009" w:rsidRPr="0070292F">
        <w:rPr>
          <w:i/>
          <w:iCs/>
          <w:lang w:val="fr-FR"/>
        </w:rPr>
        <w:t xml:space="preserve">Aleksandr Nikolayevich Dikiy c. Ukraine </w:t>
      </w:r>
      <w:r w:rsidR="004C3009" w:rsidRPr="0070292F">
        <w:rPr>
          <w:lang w:val="fr-FR"/>
        </w:rPr>
        <w:t>(déc.), n</w:t>
      </w:r>
      <w:r w:rsidR="008C1E94" w:rsidRPr="0070292F">
        <w:rPr>
          <w:vertAlign w:val="superscript"/>
          <w:lang w:val="fr-FR"/>
        </w:rPr>
        <w:t>o</w:t>
      </w:r>
      <w:r w:rsidR="00B96ACA" w:rsidRPr="0070292F">
        <w:rPr>
          <w:lang w:val="fr-FR"/>
        </w:rPr>
        <w:t> </w:t>
      </w:r>
      <w:r w:rsidR="004C3009" w:rsidRPr="0070292F">
        <w:rPr>
          <w:lang w:val="fr-FR"/>
        </w:rPr>
        <w:t>2399/12</w:t>
      </w:r>
      <w:r w:rsidR="00EB6328" w:rsidRPr="0070292F">
        <w:rPr>
          <w:lang w:val="fr-FR"/>
        </w:rPr>
        <w:t>,</w:t>
      </w:r>
      <w:r w:rsidR="004C3009" w:rsidRPr="0070292F">
        <w:rPr>
          <w:lang w:val="fr-FR"/>
        </w:rPr>
        <w:t> </w:t>
      </w:r>
      <w:r w:rsidR="00C343CF" w:rsidRPr="0070292F">
        <w:rPr>
          <w:lang w:val="fr-FR"/>
        </w:rPr>
        <w:t>16 d</w:t>
      </w:r>
      <w:r w:rsidR="00C343CF" w:rsidRPr="0070292F">
        <w:rPr>
          <w:rFonts w:cstheme="minorHAnsi"/>
          <w:lang w:val="fr-FR"/>
        </w:rPr>
        <w:t>é</w:t>
      </w:r>
      <w:r w:rsidR="00C343CF" w:rsidRPr="0070292F">
        <w:rPr>
          <w:lang w:val="fr-FR"/>
        </w:rPr>
        <w:t>cembre 2014</w:t>
      </w:r>
      <w:r w:rsidR="002C6521" w:rsidRPr="0070292F">
        <w:rPr>
          <w:lang w:val="fr-FR"/>
        </w:rPr>
        <w:t xml:space="preserve">, et </w:t>
      </w:r>
      <w:r w:rsidR="004C3009" w:rsidRPr="0070292F">
        <w:rPr>
          <w:i/>
          <w:iCs/>
          <w:lang w:val="fr-FR"/>
        </w:rPr>
        <w:t xml:space="preserve">Ielcean c. Roumanie </w:t>
      </w:r>
      <w:r w:rsidR="004C3009" w:rsidRPr="0070292F">
        <w:rPr>
          <w:lang w:val="fr-FR"/>
        </w:rPr>
        <w:t>(déc.) , n</w:t>
      </w:r>
      <w:r w:rsidR="008C1E94" w:rsidRPr="0070292F">
        <w:rPr>
          <w:vertAlign w:val="superscript"/>
          <w:lang w:val="fr-FR"/>
        </w:rPr>
        <w:t>o</w:t>
      </w:r>
      <w:r w:rsidR="00B96ACA" w:rsidRPr="0070292F">
        <w:rPr>
          <w:lang w:val="fr-FR"/>
        </w:rPr>
        <w:t> </w:t>
      </w:r>
      <w:r w:rsidR="004C3009" w:rsidRPr="0070292F">
        <w:rPr>
          <w:lang w:val="fr-FR"/>
        </w:rPr>
        <w:t>76048/11</w:t>
      </w:r>
      <w:r w:rsidR="00C343CF" w:rsidRPr="0070292F">
        <w:rPr>
          <w:lang w:val="fr-FR"/>
        </w:rPr>
        <w:t xml:space="preserve">, </w:t>
      </w:r>
      <w:r w:rsidR="00C343CF" w:rsidRPr="0070292F">
        <w:rPr>
          <w:rFonts w:cstheme="minorHAnsi"/>
          <w:lang w:val="fr-FR"/>
        </w:rPr>
        <w:t>§§</w:t>
      </w:r>
      <w:r w:rsidR="006E67C3" w:rsidRPr="0070292F">
        <w:rPr>
          <w:rFonts w:cstheme="minorHAnsi"/>
          <w:lang w:val="fr-FR"/>
        </w:rPr>
        <w:t> </w:t>
      </w:r>
      <w:r w:rsidR="00C343CF" w:rsidRPr="0070292F">
        <w:rPr>
          <w:lang w:val="fr-FR"/>
        </w:rPr>
        <w:t>1</w:t>
      </w:r>
      <w:r w:rsidR="00242BD6" w:rsidRPr="0070292F">
        <w:rPr>
          <w:lang w:val="fr-FR"/>
        </w:rPr>
        <w:t>8</w:t>
      </w:r>
      <w:r w:rsidR="00C343CF" w:rsidRPr="0070292F">
        <w:rPr>
          <w:lang w:val="fr-FR"/>
        </w:rPr>
        <w:t>-1</w:t>
      </w:r>
      <w:r w:rsidR="00242BD6" w:rsidRPr="0070292F">
        <w:rPr>
          <w:lang w:val="fr-FR"/>
        </w:rPr>
        <w:t>9</w:t>
      </w:r>
      <w:r w:rsidR="00C343CF" w:rsidRPr="0070292F">
        <w:rPr>
          <w:lang w:val="fr-FR"/>
        </w:rPr>
        <w:t xml:space="preserve">, </w:t>
      </w:r>
      <w:r w:rsidR="002C6521" w:rsidRPr="0070292F">
        <w:rPr>
          <w:lang w:val="fr-FR"/>
        </w:rPr>
        <w:t>7 octobre</w:t>
      </w:r>
      <w:r w:rsidR="00C343CF" w:rsidRPr="0070292F">
        <w:rPr>
          <w:lang w:val="fr-FR"/>
        </w:rPr>
        <w:t xml:space="preserve"> 2014</w:t>
      </w:r>
      <w:r w:rsidR="004C3009" w:rsidRPr="0070292F">
        <w:rPr>
          <w:lang w:val="fr-FR"/>
        </w:rPr>
        <w:t>).</w:t>
      </w:r>
    </w:p>
    <w:p w:rsidR="004C3009" w:rsidRPr="0070292F" w:rsidRDefault="0062593E" w:rsidP="0070292F">
      <w:pPr>
        <w:pStyle w:val="ECHRPara"/>
        <w:rPr>
          <w:i/>
          <w:szCs w:val="24"/>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134</w:t>
      </w:r>
      <w:r w:rsidRPr="0070292F">
        <w:rPr>
          <w:lang w:val="fr-FR"/>
        </w:rPr>
        <w:fldChar w:fldCharType="end"/>
      </w:r>
      <w:r w:rsidRPr="0070292F">
        <w:rPr>
          <w:lang w:val="fr-FR"/>
        </w:rPr>
        <w:t>.  </w:t>
      </w:r>
      <w:r w:rsidR="00F2527B" w:rsidRPr="0070292F">
        <w:rPr>
          <w:lang w:val="fr-FR"/>
        </w:rPr>
        <w:t>La Cour</w:t>
      </w:r>
      <w:r w:rsidR="00F9295F" w:rsidRPr="0070292F">
        <w:rPr>
          <w:lang w:val="fr-FR"/>
        </w:rPr>
        <w:t xml:space="preserve"> </w:t>
      </w:r>
      <w:r w:rsidR="004C3009" w:rsidRPr="0070292F">
        <w:rPr>
          <w:lang w:val="fr-FR"/>
        </w:rPr>
        <w:t>rappelle que</w:t>
      </w:r>
      <w:r w:rsidR="002C6521" w:rsidRPr="0070292F">
        <w:rPr>
          <w:lang w:val="fr-FR"/>
        </w:rPr>
        <w:t>,</w:t>
      </w:r>
      <w:r w:rsidR="004C3009" w:rsidRPr="0070292F">
        <w:rPr>
          <w:lang w:val="fr-FR"/>
        </w:rPr>
        <w:t xml:space="preserve"> dans certaines circonstances, il peut être indiqué de rayer une requête du rôle en vertu de l</w:t>
      </w:r>
      <w:r w:rsidR="0070292F" w:rsidRPr="0070292F">
        <w:rPr>
          <w:lang w:val="fr-FR"/>
        </w:rPr>
        <w:t>’</w:t>
      </w:r>
      <w:r w:rsidR="004C3009" w:rsidRPr="0070292F">
        <w:rPr>
          <w:lang w:val="fr-FR"/>
        </w:rPr>
        <w:t xml:space="preserve">article 37 § 1 c) de la </w:t>
      </w:r>
      <w:r w:rsidR="004C3009" w:rsidRPr="0070292F">
        <w:rPr>
          <w:lang w:val="fr-FR"/>
        </w:rPr>
        <w:lastRenderedPageBreak/>
        <w:t>Convention sur la base d</w:t>
      </w:r>
      <w:r w:rsidR="0070292F" w:rsidRPr="0070292F">
        <w:rPr>
          <w:lang w:val="fr-FR"/>
        </w:rPr>
        <w:t>’</w:t>
      </w:r>
      <w:r w:rsidR="00183C6D" w:rsidRPr="0070292F">
        <w:rPr>
          <w:lang w:val="fr-FR"/>
        </w:rPr>
        <w:t xml:space="preserve">une déclaration unilatérale du </w:t>
      </w:r>
      <w:r w:rsidR="002C6521" w:rsidRPr="0070292F">
        <w:rPr>
          <w:lang w:val="fr-FR"/>
        </w:rPr>
        <w:t>g</w:t>
      </w:r>
      <w:r w:rsidR="004C3009" w:rsidRPr="0070292F">
        <w:rPr>
          <w:lang w:val="fr-FR"/>
        </w:rPr>
        <w:t>ouvernement défendeur</w:t>
      </w:r>
      <w:r w:rsidR="006B30F5" w:rsidRPr="0070292F">
        <w:rPr>
          <w:lang w:val="fr-FR"/>
        </w:rPr>
        <w:t>,</w:t>
      </w:r>
      <w:r w:rsidR="004C3009" w:rsidRPr="0070292F">
        <w:rPr>
          <w:lang w:val="fr-FR"/>
        </w:rPr>
        <w:t xml:space="preserve"> même si le requérant souhaite que l</w:t>
      </w:r>
      <w:r w:rsidR="0070292F" w:rsidRPr="0070292F">
        <w:rPr>
          <w:lang w:val="fr-FR"/>
        </w:rPr>
        <w:t>’</w:t>
      </w:r>
      <w:r w:rsidR="004C3009" w:rsidRPr="0070292F">
        <w:rPr>
          <w:lang w:val="fr-FR"/>
        </w:rPr>
        <w:t>examen de l</w:t>
      </w:r>
      <w:r w:rsidR="0070292F" w:rsidRPr="0070292F">
        <w:rPr>
          <w:lang w:val="fr-FR"/>
        </w:rPr>
        <w:t>’</w:t>
      </w:r>
      <w:r w:rsidR="004C3009" w:rsidRPr="0070292F">
        <w:rPr>
          <w:lang w:val="fr-FR"/>
        </w:rPr>
        <w:t xml:space="preserve">affaire se poursuive. </w:t>
      </w:r>
      <w:r w:rsidR="002C6521" w:rsidRPr="0070292F">
        <w:rPr>
          <w:lang w:val="fr-FR"/>
        </w:rPr>
        <w:t xml:space="preserve">Elle </w:t>
      </w:r>
      <w:r w:rsidR="004C3009" w:rsidRPr="0070292F">
        <w:rPr>
          <w:lang w:val="fr-FR"/>
        </w:rPr>
        <w:t xml:space="preserve">a </w:t>
      </w:r>
      <w:r w:rsidR="00F2527B" w:rsidRPr="0070292F">
        <w:rPr>
          <w:lang w:val="fr-FR"/>
        </w:rPr>
        <w:t xml:space="preserve">déjà </w:t>
      </w:r>
      <w:r w:rsidR="004C3009" w:rsidRPr="0070292F">
        <w:rPr>
          <w:lang w:val="fr-FR"/>
        </w:rPr>
        <w:t xml:space="preserve">souligné à cet égard </w:t>
      </w:r>
      <w:r w:rsidR="00142754" w:rsidRPr="0070292F">
        <w:rPr>
          <w:lang w:val="fr-FR"/>
        </w:rPr>
        <w:t>qu</w:t>
      </w:r>
      <w:r w:rsidR="0070292F" w:rsidRPr="0070292F">
        <w:rPr>
          <w:lang w:val="fr-FR"/>
        </w:rPr>
        <w:t>’</w:t>
      </w:r>
      <w:r w:rsidR="00142754" w:rsidRPr="0070292F">
        <w:rPr>
          <w:lang w:val="fr-FR"/>
        </w:rPr>
        <w:t>une</w:t>
      </w:r>
      <w:r w:rsidR="004C3009" w:rsidRPr="0070292F">
        <w:rPr>
          <w:lang w:val="fr-FR"/>
        </w:rPr>
        <w:t xml:space="preserve"> telle procédure ne vise pas, en soi, à contourner </w:t>
      </w:r>
      <w:r w:rsidR="00142754" w:rsidRPr="0070292F">
        <w:rPr>
          <w:lang w:val="fr-FR"/>
        </w:rPr>
        <w:t>l</w:t>
      </w:r>
      <w:r w:rsidR="0070292F" w:rsidRPr="0070292F">
        <w:rPr>
          <w:lang w:val="fr-FR"/>
        </w:rPr>
        <w:t>’</w:t>
      </w:r>
      <w:r w:rsidR="00142754" w:rsidRPr="0070292F">
        <w:rPr>
          <w:lang w:val="fr-FR"/>
        </w:rPr>
        <w:t>opposition</w:t>
      </w:r>
      <w:r w:rsidR="004C3009" w:rsidRPr="0070292F">
        <w:rPr>
          <w:lang w:val="fr-FR"/>
        </w:rPr>
        <w:t xml:space="preserve"> de la partie requérante à un règlement amiable. Ce seront en effet les circonstances particulières de la cause qui permettront de déterminer si la déclaration unilatérale offre une base suffisante pour que la Cour conclue que le respect des droits de </w:t>
      </w:r>
      <w:r w:rsidR="00F2527B" w:rsidRPr="0070292F">
        <w:rPr>
          <w:lang w:val="fr-FR"/>
        </w:rPr>
        <w:t>l</w:t>
      </w:r>
      <w:r w:rsidR="0070292F" w:rsidRPr="0070292F">
        <w:rPr>
          <w:lang w:val="fr-FR"/>
        </w:rPr>
        <w:t>’</w:t>
      </w:r>
      <w:r w:rsidR="00F2527B" w:rsidRPr="0070292F">
        <w:rPr>
          <w:lang w:val="fr-FR"/>
        </w:rPr>
        <w:t>homme</w:t>
      </w:r>
      <w:r w:rsidR="004C3009" w:rsidRPr="0070292F">
        <w:rPr>
          <w:lang w:val="fr-FR"/>
        </w:rPr>
        <w:t xml:space="preserve"> garantis par la Convention </w:t>
      </w:r>
      <w:r w:rsidR="00142754" w:rsidRPr="0070292F">
        <w:rPr>
          <w:lang w:val="fr-FR"/>
        </w:rPr>
        <w:t>n</w:t>
      </w:r>
      <w:r w:rsidR="0070292F" w:rsidRPr="0070292F">
        <w:rPr>
          <w:lang w:val="fr-FR"/>
        </w:rPr>
        <w:t>’</w:t>
      </w:r>
      <w:r w:rsidR="00142754" w:rsidRPr="0070292F">
        <w:rPr>
          <w:lang w:val="fr-FR"/>
        </w:rPr>
        <w:t>exige</w:t>
      </w:r>
      <w:r w:rsidR="004C3009" w:rsidRPr="0070292F">
        <w:rPr>
          <w:lang w:val="fr-FR"/>
        </w:rPr>
        <w:t xml:space="preserve"> pas </w:t>
      </w:r>
      <w:r w:rsidR="008B454B" w:rsidRPr="0070292F">
        <w:rPr>
          <w:lang w:val="fr-FR"/>
        </w:rPr>
        <w:t>qu</w:t>
      </w:r>
      <w:r w:rsidR="0070292F" w:rsidRPr="0070292F">
        <w:rPr>
          <w:lang w:val="fr-FR"/>
        </w:rPr>
        <w:t>’</w:t>
      </w:r>
      <w:r w:rsidR="008B454B" w:rsidRPr="0070292F">
        <w:rPr>
          <w:lang w:val="fr-FR"/>
        </w:rPr>
        <w:t>elle</w:t>
      </w:r>
      <w:r w:rsidR="004C3009" w:rsidRPr="0070292F">
        <w:rPr>
          <w:lang w:val="fr-FR"/>
        </w:rPr>
        <w:t xml:space="preserve"> poursuive </w:t>
      </w:r>
      <w:r w:rsidR="008B454B" w:rsidRPr="0070292F">
        <w:rPr>
          <w:lang w:val="fr-FR"/>
        </w:rPr>
        <w:t>l</w:t>
      </w:r>
      <w:r w:rsidR="0070292F" w:rsidRPr="0070292F">
        <w:rPr>
          <w:lang w:val="fr-FR"/>
        </w:rPr>
        <w:t>’</w:t>
      </w:r>
      <w:r w:rsidR="008B454B" w:rsidRPr="0070292F">
        <w:rPr>
          <w:lang w:val="fr-FR"/>
        </w:rPr>
        <w:t>examen</w:t>
      </w:r>
      <w:r w:rsidR="004C3009" w:rsidRPr="0070292F">
        <w:rPr>
          <w:lang w:val="fr-FR"/>
        </w:rPr>
        <w:t xml:space="preserve"> de </w:t>
      </w:r>
      <w:r w:rsidR="001D0B42" w:rsidRPr="0070292F">
        <w:rPr>
          <w:lang w:val="fr-FR"/>
        </w:rPr>
        <w:t>l</w:t>
      </w:r>
      <w:r w:rsidR="0070292F" w:rsidRPr="0070292F">
        <w:rPr>
          <w:lang w:val="fr-FR"/>
        </w:rPr>
        <w:t>’</w:t>
      </w:r>
      <w:r w:rsidR="001D0B42" w:rsidRPr="0070292F">
        <w:rPr>
          <w:lang w:val="fr-FR"/>
        </w:rPr>
        <w:t xml:space="preserve">affaire </w:t>
      </w:r>
      <w:r w:rsidR="00EB6328" w:rsidRPr="0070292F">
        <w:rPr>
          <w:lang w:val="fr-FR"/>
        </w:rPr>
        <w:t>(</w:t>
      </w:r>
      <w:r w:rsidR="001D0B42" w:rsidRPr="0070292F">
        <w:rPr>
          <w:i/>
          <w:lang w:val="fr-FR"/>
        </w:rPr>
        <w:t>Baudoin c. France</w:t>
      </w:r>
      <w:r w:rsidR="001D0B42" w:rsidRPr="0070292F">
        <w:rPr>
          <w:lang w:val="fr-FR"/>
        </w:rPr>
        <w:t>, n</w:t>
      </w:r>
      <w:r w:rsidR="001D0B42" w:rsidRPr="0070292F">
        <w:rPr>
          <w:vertAlign w:val="superscript"/>
          <w:lang w:val="fr-FR"/>
        </w:rPr>
        <w:t>o</w:t>
      </w:r>
      <w:r w:rsidR="001D0B42" w:rsidRPr="0070292F">
        <w:rPr>
          <w:lang w:val="fr-FR"/>
        </w:rPr>
        <w:t xml:space="preserve"> 35935/03</w:t>
      </w:r>
      <w:r w:rsidR="001D0B42" w:rsidRPr="0070292F">
        <w:rPr>
          <w:snapToGrid w:val="0"/>
          <w:szCs w:val="24"/>
          <w:lang w:val="fr-FR"/>
        </w:rPr>
        <w:t xml:space="preserve">, § 78, </w:t>
      </w:r>
      <w:r w:rsidR="001D0B42" w:rsidRPr="0070292F">
        <w:rPr>
          <w:szCs w:val="24"/>
          <w:lang w:val="fr-FR"/>
        </w:rPr>
        <w:t>18</w:t>
      </w:r>
      <w:r w:rsidR="001D0B42" w:rsidRPr="0070292F">
        <w:rPr>
          <w:snapToGrid w:val="0"/>
          <w:szCs w:val="24"/>
          <w:lang w:val="fr-FR"/>
        </w:rPr>
        <w:t xml:space="preserve"> novembre 2010).</w:t>
      </w:r>
    </w:p>
    <w:p w:rsidR="004C3009" w:rsidRPr="0070292F" w:rsidRDefault="0062593E"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135</w:t>
      </w:r>
      <w:r w:rsidRPr="0070292F">
        <w:rPr>
          <w:lang w:val="fr-FR"/>
        </w:rPr>
        <w:fldChar w:fldCharType="end"/>
      </w:r>
      <w:r w:rsidRPr="0070292F">
        <w:rPr>
          <w:lang w:val="fr-FR"/>
        </w:rPr>
        <w:t>.  </w:t>
      </w:r>
      <w:r w:rsidR="004C3009" w:rsidRPr="0070292F">
        <w:rPr>
          <w:lang w:val="fr-FR"/>
        </w:rPr>
        <w:t>Parmi les facteurs à prendre en compte à cet égard figurent la nature des griefs formulés, le point de savoir si les questions soulevées sont analogues à celles déjà tranchées par la Cour dans des affaires précédentes, la nature et la portée des mesures éventuellement prises par le gouvernement défendeur dans le cadre de l</w:t>
      </w:r>
      <w:r w:rsidR="0070292F" w:rsidRPr="0070292F">
        <w:rPr>
          <w:lang w:val="fr-FR"/>
        </w:rPr>
        <w:t>’</w:t>
      </w:r>
      <w:r w:rsidR="004C3009" w:rsidRPr="0070292F">
        <w:rPr>
          <w:lang w:val="fr-FR"/>
        </w:rPr>
        <w:t>exécution des arrêts rendus par la Cour dans ces affaires, et l</w:t>
      </w:r>
      <w:r w:rsidR="0070292F" w:rsidRPr="0070292F">
        <w:rPr>
          <w:lang w:val="fr-FR"/>
        </w:rPr>
        <w:t>’</w:t>
      </w:r>
      <w:r w:rsidR="004C3009" w:rsidRPr="0070292F">
        <w:rPr>
          <w:lang w:val="fr-FR"/>
        </w:rPr>
        <w:t xml:space="preserve">incidence de </w:t>
      </w:r>
      <w:r w:rsidR="0088757F" w:rsidRPr="0070292F">
        <w:rPr>
          <w:lang w:val="fr-FR"/>
        </w:rPr>
        <w:t>ces mesures sur l</w:t>
      </w:r>
      <w:r w:rsidR="0070292F" w:rsidRPr="0070292F">
        <w:rPr>
          <w:lang w:val="fr-FR"/>
        </w:rPr>
        <w:t>’</w:t>
      </w:r>
      <w:r w:rsidR="0088757F" w:rsidRPr="0070292F">
        <w:rPr>
          <w:lang w:val="fr-FR"/>
        </w:rPr>
        <w:t>affaire à l</w:t>
      </w:r>
      <w:r w:rsidR="0070292F" w:rsidRPr="0070292F">
        <w:rPr>
          <w:lang w:val="fr-FR"/>
        </w:rPr>
        <w:t>’</w:t>
      </w:r>
      <w:r w:rsidR="004C3009" w:rsidRPr="0070292F">
        <w:rPr>
          <w:lang w:val="fr-FR"/>
        </w:rPr>
        <w:t>examen</w:t>
      </w:r>
      <w:r w:rsidR="001D0B42" w:rsidRPr="0070292F">
        <w:rPr>
          <w:rFonts w:ascii="Arial" w:eastAsiaTheme="minorHAnsi" w:hAnsi="Arial" w:cs="Arial"/>
          <w:i/>
          <w:iCs/>
          <w:szCs w:val="24"/>
          <w:lang w:val="fr-FR"/>
        </w:rPr>
        <w:t xml:space="preserve"> (</w:t>
      </w:r>
      <w:r w:rsidR="001D0B42" w:rsidRPr="0070292F">
        <w:rPr>
          <w:i/>
          <w:iCs/>
          <w:lang w:val="fr-FR"/>
        </w:rPr>
        <w:t xml:space="preserve">Tahsin Acar c. Turquie </w:t>
      </w:r>
      <w:r w:rsidR="001D0B42" w:rsidRPr="0070292F">
        <w:rPr>
          <w:iCs/>
          <w:lang w:val="fr-FR"/>
        </w:rPr>
        <w:t>(</w:t>
      </w:r>
      <w:r w:rsidR="002C6521" w:rsidRPr="0070292F">
        <w:rPr>
          <w:iCs/>
          <w:lang w:val="fr-FR"/>
        </w:rPr>
        <w:t xml:space="preserve">exceptions </w:t>
      </w:r>
      <w:r w:rsidR="001D0B42" w:rsidRPr="0070292F">
        <w:rPr>
          <w:iCs/>
          <w:lang w:val="fr-FR"/>
        </w:rPr>
        <w:t>préliminaire</w:t>
      </w:r>
      <w:r w:rsidR="002C6521" w:rsidRPr="0070292F">
        <w:rPr>
          <w:iCs/>
          <w:lang w:val="fr-FR"/>
        </w:rPr>
        <w:t>s</w:t>
      </w:r>
      <w:r w:rsidR="001D0B42" w:rsidRPr="0070292F">
        <w:rPr>
          <w:iCs/>
          <w:lang w:val="fr-FR"/>
        </w:rPr>
        <w:t>)</w:t>
      </w:r>
      <w:r w:rsidR="002C6521" w:rsidRPr="0070292F">
        <w:rPr>
          <w:i/>
          <w:iCs/>
          <w:lang w:val="fr-FR"/>
        </w:rPr>
        <w:t xml:space="preserve"> </w:t>
      </w:r>
      <w:r w:rsidR="002C6521" w:rsidRPr="0070292F">
        <w:rPr>
          <w:iCs/>
          <w:lang w:val="fr-FR"/>
        </w:rPr>
        <w:t>[GC]</w:t>
      </w:r>
      <w:r w:rsidR="001D0B42" w:rsidRPr="0070292F">
        <w:rPr>
          <w:iCs/>
          <w:lang w:val="fr-FR"/>
        </w:rPr>
        <w:t>,</w:t>
      </w:r>
      <w:r w:rsidR="001D0B42" w:rsidRPr="0070292F">
        <w:rPr>
          <w:lang w:val="fr-FR"/>
        </w:rPr>
        <w:t xml:space="preserve"> n</w:t>
      </w:r>
      <w:r w:rsidR="008C1E94" w:rsidRPr="0070292F">
        <w:rPr>
          <w:vertAlign w:val="superscript"/>
          <w:lang w:val="fr-FR"/>
        </w:rPr>
        <w:t>o</w:t>
      </w:r>
      <w:r w:rsidR="001D0B42" w:rsidRPr="0070292F">
        <w:rPr>
          <w:lang w:val="fr-FR"/>
        </w:rPr>
        <w:t> 26307/95, § 7</w:t>
      </w:r>
      <w:r w:rsidR="0056075E" w:rsidRPr="0070292F">
        <w:rPr>
          <w:lang w:val="fr-FR"/>
        </w:rPr>
        <w:t>6</w:t>
      </w:r>
      <w:r w:rsidR="0070292F" w:rsidRPr="0070292F">
        <w:rPr>
          <w:lang w:val="fr-FR"/>
        </w:rPr>
        <w:t>, CEDH</w:t>
      </w:r>
      <w:r w:rsidR="001D0B42" w:rsidRPr="0070292F">
        <w:rPr>
          <w:lang w:val="fr-FR"/>
        </w:rPr>
        <w:t>2003-VI</w:t>
      </w:r>
      <w:r w:rsidR="00982E81" w:rsidRPr="0070292F">
        <w:rPr>
          <w:lang w:val="fr-FR"/>
        </w:rPr>
        <w:t>)</w:t>
      </w:r>
      <w:r w:rsidR="004C3009" w:rsidRPr="0070292F">
        <w:rPr>
          <w:lang w:val="fr-FR"/>
        </w:rPr>
        <w:t>.</w:t>
      </w:r>
    </w:p>
    <w:p w:rsidR="004C3009" w:rsidRPr="0070292F" w:rsidRDefault="0062593E"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136</w:t>
      </w:r>
      <w:r w:rsidRPr="0070292F">
        <w:rPr>
          <w:lang w:val="fr-FR"/>
        </w:rPr>
        <w:fldChar w:fldCharType="end"/>
      </w:r>
      <w:r w:rsidRPr="0070292F">
        <w:rPr>
          <w:lang w:val="fr-FR"/>
        </w:rPr>
        <w:t>.  </w:t>
      </w:r>
      <w:r w:rsidR="00142754" w:rsidRPr="0070292F">
        <w:rPr>
          <w:lang w:val="fr-FR"/>
        </w:rPr>
        <w:t>D</w:t>
      </w:r>
      <w:r w:rsidR="0070292F" w:rsidRPr="0070292F">
        <w:rPr>
          <w:lang w:val="fr-FR"/>
        </w:rPr>
        <w:t>’</w:t>
      </w:r>
      <w:r w:rsidR="00142754" w:rsidRPr="0070292F">
        <w:rPr>
          <w:lang w:val="fr-FR"/>
        </w:rPr>
        <w:t>autres</w:t>
      </w:r>
      <w:r w:rsidR="004C3009" w:rsidRPr="0070292F">
        <w:rPr>
          <w:lang w:val="fr-FR"/>
        </w:rPr>
        <w:t xml:space="preserve"> éléments ont leur importance</w:t>
      </w:r>
      <w:r w:rsidR="006B30F5" w:rsidRPr="0070292F">
        <w:rPr>
          <w:lang w:val="fr-FR"/>
        </w:rPr>
        <w:t xml:space="preserve"> également</w:t>
      </w:r>
      <w:r w:rsidR="004C3009" w:rsidRPr="0070292F">
        <w:rPr>
          <w:lang w:val="fr-FR"/>
        </w:rPr>
        <w:t>.</w:t>
      </w:r>
      <w:r w:rsidR="00183C6D" w:rsidRPr="0070292F">
        <w:rPr>
          <w:lang w:val="fr-FR"/>
        </w:rPr>
        <w:t xml:space="preserve"> La déclaration unilatérale du </w:t>
      </w:r>
      <w:r w:rsidR="0056075E" w:rsidRPr="0070292F">
        <w:rPr>
          <w:lang w:val="fr-FR"/>
        </w:rPr>
        <w:t>g</w:t>
      </w:r>
      <w:r w:rsidR="004C3009" w:rsidRPr="0070292F">
        <w:rPr>
          <w:lang w:val="fr-FR"/>
        </w:rPr>
        <w:t>ouvernement défendeur doit notamment renfermer, selon les griefs soulevés, un aveu de responsabilité en ce qui concerne les allégations de violation</w:t>
      </w:r>
      <w:r w:rsidR="004C3009" w:rsidRPr="0070292F">
        <w:rPr>
          <w:vanish/>
          <w:lang w:val="fr-FR"/>
        </w:rPr>
        <w:t>s</w:t>
      </w:r>
      <w:r w:rsidR="004C3009" w:rsidRPr="0070292F">
        <w:rPr>
          <w:lang w:val="fr-FR"/>
        </w:rPr>
        <w:t xml:space="preserve"> de la Convention ou, à tout le moins, une concession en ce sens. Dans cette hypothèse, il faut alors déterminer quelle est </w:t>
      </w:r>
      <w:r w:rsidR="00F2527B" w:rsidRPr="0070292F">
        <w:rPr>
          <w:lang w:val="fr-FR"/>
        </w:rPr>
        <w:t>l</w:t>
      </w:r>
      <w:r w:rsidR="0070292F" w:rsidRPr="0070292F">
        <w:rPr>
          <w:lang w:val="fr-FR"/>
        </w:rPr>
        <w:t>’</w:t>
      </w:r>
      <w:r w:rsidR="00F2527B" w:rsidRPr="0070292F">
        <w:rPr>
          <w:lang w:val="fr-FR"/>
        </w:rPr>
        <w:t>ampleur</w:t>
      </w:r>
      <w:r w:rsidR="004C3009" w:rsidRPr="0070292F">
        <w:rPr>
          <w:lang w:val="fr-FR"/>
        </w:rPr>
        <w:t xml:space="preserve"> de ces concessions et les modalités du redressement </w:t>
      </w:r>
      <w:r w:rsidR="00F2527B" w:rsidRPr="0070292F">
        <w:rPr>
          <w:lang w:val="fr-FR"/>
        </w:rPr>
        <w:t>que</w:t>
      </w:r>
      <w:r w:rsidR="004C3009" w:rsidRPr="0070292F">
        <w:rPr>
          <w:lang w:val="fr-FR"/>
        </w:rPr>
        <w:t xml:space="preserve"> le Gouvernement entend fournir au requérant (voir, entre autres, </w:t>
      </w:r>
      <w:r w:rsidR="004C3009" w:rsidRPr="0070292F">
        <w:rPr>
          <w:i/>
          <w:iCs/>
          <w:lang w:val="fr-FR"/>
        </w:rPr>
        <w:t>Tahsin Acar</w:t>
      </w:r>
      <w:r w:rsidR="001D0B42" w:rsidRPr="0070292F">
        <w:rPr>
          <w:i/>
          <w:iCs/>
          <w:lang w:val="fr-FR"/>
        </w:rPr>
        <w:t>,</w:t>
      </w:r>
      <w:r w:rsidR="004C3009" w:rsidRPr="0070292F">
        <w:rPr>
          <w:i/>
          <w:iCs/>
          <w:lang w:val="fr-FR"/>
        </w:rPr>
        <w:t xml:space="preserve"> </w:t>
      </w:r>
      <w:r w:rsidR="001D0B42" w:rsidRPr="0070292F">
        <w:rPr>
          <w:iCs/>
          <w:lang w:val="fr-FR"/>
        </w:rPr>
        <w:t>précité</w:t>
      </w:r>
      <w:r w:rsidR="00F24E36" w:rsidRPr="0070292F">
        <w:rPr>
          <w:lang w:val="fr-FR"/>
        </w:rPr>
        <w:t>,</w:t>
      </w:r>
      <w:r w:rsidR="00142754" w:rsidRPr="0070292F">
        <w:rPr>
          <w:lang w:val="fr-FR"/>
        </w:rPr>
        <w:t xml:space="preserve"> </w:t>
      </w:r>
      <w:r w:rsidR="004C3009" w:rsidRPr="0070292F">
        <w:rPr>
          <w:lang w:val="fr-FR"/>
        </w:rPr>
        <w:t>§§</w:t>
      </w:r>
      <w:r w:rsidR="006E67C3" w:rsidRPr="0070292F">
        <w:rPr>
          <w:lang w:val="fr-FR"/>
        </w:rPr>
        <w:t> </w:t>
      </w:r>
      <w:r w:rsidR="0070292F" w:rsidRPr="0070292F">
        <w:rPr>
          <w:lang w:val="fr-FR"/>
        </w:rPr>
        <w:t>76</w:t>
      </w:r>
      <w:r w:rsidR="0070292F" w:rsidRPr="0070292F">
        <w:rPr>
          <w:lang w:val="fr-FR"/>
        </w:rPr>
        <w:noBreakHyphen/>
      </w:r>
      <w:r w:rsidR="004C3009" w:rsidRPr="0070292F">
        <w:rPr>
          <w:lang w:val="fr-FR"/>
        </w:rPr>
        <w:t xml:space="preserve">82, et </w:t>
      </w:r>
      <w:r w:rsidR="004C3009" w:rsidRPr="0070292F">
        <w:rPr>
          <w:i/>
          <w:iCs/>
          <w:lang w:val="fr-FR"/>
        </w:rPr>
        <w:t>Prencipe c. Monaco</w:t>
      </w:r>
      <w:r w:rsidR="004C3009" w:rsidRPr="0070292F">
        <w:rPr>
          <w:lang w:val="fr-FR"/>
        </w:rPr>
        <w:t xml:space="preserve">, </w:t>
      </w:r>
      <w:r w:rsidR="00156556" w:rsidRPr="0070292F">
        <w:rPr>
          <w:lang w:val="fr-FR"/>
        </w:rPr>
        <w:t>n</w:t>
      </w:r>
      <w:r w:rsidR="008C1E94" w:rsidRPr="0070292F">
        <w:rPr>
          <w:vertAlign w:val="superscript"/>
          <w:lang w:val="fr-FR"/>
        </w:rPr>
        <w:t>o</w:t>
      </w:r>
      <w:r w:rsidR="00156556" w:rsidRPr="0070292F">
        <w:rPr>
          <w:lang w:val="fr-FR"/>
        </w:rPr>
        <w:t> </w:t>
      </w:r>
      <w:r w:rsidR="00142754" w:rsidRPr="0070292F">
        <w:rPr>
          <w:lang w:val="fr-FR"/>
        </w:rPr>
        <w:t>43376/06</w:t>
      </w:r>
      <w:r w:rsidR="00F24E36" w:rsidRPr="0070292F">
        <w:rPr>
          <w:lang w:val="fr-FR"/>
        </w:rPr>
        <w:t>,</w:t>
      </w:r>
      <w:r w:rsidR="00142754" w:rsidRPr="0070292F">
        <w:rPr>
          <w:lang w:val="fr-FR"/>
        </w:rPr>
        <w:t xml:space="preserve"> </w:t>
      </w:r>
      <w:r w:rsidR="00183C6D" w:rsidRPr="0070292F">
        <w:rPr>
          <w:lang w:val="fr-FR"/>
        </w:rPr>
        <w:t>§§ 57-</w:t>
      </w:r>
      <w:r w:rsidR="004C3009" w:rsidRPr="0070292F">
        <w:rPr>
          <w:lang w:val="fr-FR"/>
        </w:rPr>
        <w:t>62, 16 juillet 2009).</w:t>
      </w:r>
    </w:p>
    <w:p w:rsidR="00F2527B" w:rsidRPr="0070292F" w:rsidRDefault="0062593E"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137</w:t>
      </w:r>
      <w:r w:rsidRPr="0070292F">
        <w:rPr>
          <w:lang w:val="fr-FR"/>
        </w:rPr>
        <w:fldChar w:fldCharType="end"/>
      </w:r>
      <w:r w:rsidRPr="0070292F">
        <w:rPr>
          <w:lang w:val="fr-FR"/>
        </w:rPr>
        <w:t>.  </w:t>
      </w:r>
      <w:r w:rsidR="00F2527B" w:rsidRPr="0070292F">
        <w:rPr>
          <w:lang w:val="fr-FR"/>
        </w:rPr>
        <w:t xml:space="preserve">Pour ce qui est de la présente affaire, </w:t>
      </w:r>
      <w:r w:rsidR="00142754" w:rsidRPr="0070292F">
        <w:rPr>
          <w:lang w:val="fr-FR"/>
        </w:rPr>
        <w:t>l</w:t>
      </w:r>
      <w:r w:rsidR="00CA5F08" w:rsidRPr="0070292F">
        <w:rPr>
          <w:lang w:val="fr-FR"/>
        </w:rPr>
        <w:t>a Cour</w:t>
      </w:r>
      <w:r w:rsidR="00F2527B" w:rsidRPr="0070292F">
        <w:rPr>
          <w:lang w:val="fr-FR"/>
        </w:rPr>
        <w:t xml:space="preserve"> observe que le Gouvernement reconnaît dans sa déclaration unilatérale que le requérant a subi une violation de </w:t>
      </w:r>
      <w:r w:rsidR="00142754" w:rsidRPr="0070292F">
        <w:rPr>
          <w:lang w:val="fr-FR"/>
        </w:rPr>
        <w:t>l</w:t>
      </w:r>
      <w:r w:rsidR="0070292F" w:rsidRPr="0070292F">
        <w:rPr>
          <w:lang w:val="fr-FR"/>
        </w:rPr>
        <w:t>’</w:t>
      </w:r>
      <w:r w:rsidR="00142754" w:rsidRPr="0070292F">
        <w:rPr>
          <w:lang w:val="fr-FR"/>
        </w:rPr>
        <w:t>article</w:t>
      </w:r>
      <w:r w:rsidR="00F2527B" w:rsidRPr="0070292F">
        <w:rPr>
          <w:lang w:val="fr-FR"/>
        </w:rPr>
        <w:t xml:space="preserve"> 6 § 1 de la Convention </w:t>
      </w:r>
      <w:r w:rsidR="006B30F5" w:rsidRPr="0070292F">
        <w:rPr>
          <w:lang w:val="fr-FR"/>
        </w:rPr>
        <w:t>en raison du</w:t>
      </w:r>
      <w:r w:rsidR="00F2527B" w:rsidRPr="0070292F">
        <w:rPr>
          <w:lang w:val="fr-FR"/>
        </w:rPr>
        <w:t xml:space="preserve"> défaut de publicité des audiences</w:t>
      </w:r>
      <w:r w:rsidR="006B30F5" w:rsidRPr="0070292F">
        <w:rPr>
          <w:lang w:val="fr-FR"/>
        </w:rPr>
        <w:t>,</w:t>
      </w:r>
      <w:r w:rsidR="00F2527B" w:rsidRPr="0070292F">
        <w:rPr>
          <w:lang w:val="fr-FR"/>
        </w:rPr>
        <w:t xml:space="preserve"> et </w:t>
      </w:r>
      <w:r w:rsidR="00142754" w:rsidRPr="0070292F">
        <w:rPr>
          <w:lang w:val="fr-FR"/>
        </w:rPr>
        <w:t>qu</w:t>
      </w:r>
      <w:r w:rsidR="0070292F" w:rsidRPr="0070292F">
        <w:rPr>
          <w:lang w:val="fr-FR"/>
        </w:rPr>
        <w:t>’</w:t>
      </w:r>
      <w:r w:rsidR="00142754" w:rsidRPr="0070292F">
        <w:rPr>
          <w:lang w:val="fr-FR"/>
        </w:rPr>
        <w:t>il</w:t>
      </w:r>
      <w:r w:rsidR="00F2527B" w:rsidRPr="0070292F">
        <w:rPr>
          <w:lang w:val="fr-FR"/>
        </w:rPr>
        <w:t xml:space="preserve"> </w:t>
      </w:r>
      <w:r w:rsidR="006C0A76" w:rsidRPr="0070292F">
        <w:rPr>
          <w:lang w:val="fr-FR"/>
        </w:rPr>
        <w:t>s</w:t>
      </w:r>
      <w:r w:rsidR="0070292F" w:rsidRPr="0070292F">
        <w:rPr>
          <w:lang w:val="fr-FR"/>
        </w:rPr>
        <w:t>’</w:t>
      </w:r>
      <w:r w:rsidR="006C0A76" w:rsidRPr="0070292F">
        <w:rPr>
          <w:lang w:val="fr-FR"/>
        </w:rPr>
        <w:t>engage</w:t>
      </w:r>
      <w:r w:rsidR="00F2527B" w:rsidRPr="0070292F">
        <w:rPr>
          <w:lang w:val="fr-FR"/>
        </w:rPr>
        <w:t xml:space="preserve"> à lui verser une </w:t>
      </w:r>
      <w:r w:rsidR="00600D75" w:rsidRPr="0070292F">
        <w:rPr>
          <w:lang w:val="fr-FR"/>
        </w:rPr>
        <w:t xml:space="preserve">certaine </w:t>
      </w:r>
      <w:r w:rsidR="00F2527B" w:rsidRPr="0070292F">
        <w:rPr>
          <w:lang w:val="fr-FR"/>
        </w:rPr>
        <w:t xml:space="preserve">somme </w:t>
      </w:r>
      <w:r w:rsidR="00600D75" w:rsidRPr="0070292F">
        <w:rPr>
          <w:lang w:val="fr-FR"/>
        </w:rPr>
        <w:t>au</w:t>
      </w:r>
      <w:r w:rsidR="00F2527B" w:rsidRPr="0070292F">
        <w:rPr>
          <w:lang w:val="fr-FR"/>
        </w:rPr>
        <w:t xml:space="preserve"> titre </w:t>
      </w:r>
      <w:r w:rsidR="00CA5F08" w:rsidRPr="0070292F">
        <w:rPr>
          <w:lang w:val="fr-FR"/>
        </w:rPr>
        <w:t>de</w:t>
      </w:r>
      <w:r w:rsidR="00600D75" w:rsidRPr="0070292F">
        <w:rPr>
          <w:lang w:val="fr-FR"/>
        </w:rPr>
        <w:t>s</w:t>
      </w:r>
      <w:r w:rsidR="00CA5F08" w:rsidRPr="0070292F">
        <w:rPr>
          <w:lang w:val="fr-FR"/>
        </w:rPr>
        <w:t xml:space="preserve"> frais de procédure.</w:t>
      </w:r>
      <w:r w:rsidR="00600D75" w:rsidRPr="0070292F">
        <w:rPr>
          <w:lang w:val="fr-FR"/>
        </w:rPr>
        <w:t xml:space="preserve"> Concernant les</w:t>
      </w:r>
      <w:r w:rsidR="00F2527B" w:rsidRPr="0070292F">
        <w:rPr>
          <w:lang w:val="fr-FR"/>
        </w:rPr>
        <w:t xml:space="preserve"> modalités du redressement</w:t>
      </w:r>
      <w:r w:rsidR="00183C6D" w:rsidRPr="0070292F">
        <w:rPr>
          <w:lang w:val="fr-FR"/>
        </w:rPr>
        <w:t>,</w:t>
      </w:r>
      <w:r w:rsidR="00CA5F08" w:rsidRPr="0070292F">
        <w:rPr>
          <w:lang w:val="fr-FR"/>
        </w:rPr>
        <w:t xml:space="preserve"> elle relève que</w:t>
      </w:r>
      <w:r w:rsidR="00F2527B" w:rsidRPr="0070292F">
        <w:rPr>
          <w:lang w:val="fr-FR"/>
        </w:rPr>
        <w:t xml:space="preserve"> le Gouvernement ne propose aucun</w:t>
      </w:r>
      <w:r w:rsidR="00600D75" w:rsidRPr="0070292F">
        <w:rPr>
          <w:lang w:val="fr-FR"/>
        </w:rPr>
        <w:t xml:space="preserve"> montant pour</w:t>
      </w:r>
      <w:r w:rsidR="00156556" w:rsidRPr="0070292F">
        <w:rPr>
          <w:lang w:val="fr-FR"/>
        </w:rPr>
        <w:t xml:space="preserve"> préjudice moral</w:t>
      </w:r>
      <w:r w:rsidR="00235CBF" w:rsidRPr="0070292F">
        <w:rPr>
          <w:lang w:val="fr-FR"/>
        </w:rPr>
        <w:t>.</w:t>
      </w:r>
    </w:p>
    <w:p w:rsidR="00F2527B" w:rsidRPr="0070292F" w:rsidRDefault="0062593E"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138</w:t>
      </w:r>
      <w:r w:rsidRPr="0070292F">
        <w:rPr>
          <w:lang w:val="fr-FR"/>
        </w:rPr>
        <w:fldChar w:fldCharType="end"/>
      </w:r>
      <w:r w:rsidRPr="0070292F">
        <w:rPr>
          <w:lang w:val="fr-FR"/>
        </w:rPr>
        <w:t>.  </w:t>
      </w:r>
      <w:r w:rsidR="00CA5F08" w:rsidRPr="0070292F">
        <w:rPr>
          <w:lang w:val="fr-FR"/>
        </w:rPr>
        <w:t>La Cour</w:t>
      </w:r>
      <w:r w:rsidR="000252A7" w:rsidRPr="0070292F">
        <w:rPr>
          <w:lang w:val="fr-FR"/>
        </w:rPr>
        <w:t xml:space="preserve"> rappelle que</w:t>
      </w:r>
      <w:r w:rsidR="00600D75" w:rsidRPr="0070292F">
        <w:rPr>
          <w:lang w:val="fr-FR"/>
        </w:rPr>
        <w:t>,</w:t>
      </w:r>
      <w:r w:rsidR="000252A7" w:rsidRPr="0070292F">
        <w:rPr>
          <w:lang w:val="fr-FR"/>
        </w:rPr>
        <w:t xml:space="preserve"> </w:t>
      </w:r>
      <w:r w:rsidR="006B30F5" w:rsidRPr="0070292F">
        <w:rPr>
          <w:lang w:val="fr-FR"/>
        </w:rPr>
        <w:t xml:space="preserve">selon </w:t>
      </w:r>
      <w:r w:rsidR="00477F01" w:rsidRPr="0070292F">
        <w:rPr>
          <w:lang w:val="fr-FR"/>
        </w:rPr>
        <w:t>s</w:t>
      </w:r>
      <w:r w:rsidR="00F2527B" w:rsidRPr="0070292F">
        <w:rPr>
          <w:lang w:val="fr-FR"/>
        </w:rPr>
        <w:t>a jurisprudence constante</w:t>
      </w:r>
      <w:r w:rsidR="00414043" w:rsidRPr="0070292F">
        <w:rPr>
          <w:lang w:val="fr-FR"/>
        </w:rPr>
        <w:t>,</w:t>
      </w:r>
      <w:r w:rsidR="00F2527B" w:rsidRPr="0070292F">
        <w:rPr>
          <w:lang w:val="fr-FR"/>
        </w:rPr>
        <w:t xml:space="preserve"> le défaut de publicité des audiences da</w:t>
      </w:r>
      <w:r w:rsidR="00235CBF" w:rsidRPr="0070292F">
        <w:rPr>
          <w:lang w:val="fr-FR"/>
        </w:rPr>
        <w:t xml:space="preserve">ns les procédures </w:t>
      </w:r>
      <w:r w:rsidR="00600D75" w:rsidRPr="0070292F">
        <w:rPr>
          <w:lang w:val="fr-FR"/>
        </w:rPr>
        <w:t xml:space="preserve">relatives à </w:t>
      </w:r>
      <w:r w:rsidR="00235CBF" w:rsidRPr="0070292F">
        <w:rPr>
          <w:lang w:val="fr-FR"/>
        </w:rPr>
        <w:t>l</w:t>
      </w:r>
      <w:r w:rsidR="0070292F" w:rsidRPr="0070292F">
        <w:rPr>
          <w:lang w:val="fr-FR"/>
        </w:rPr>
        <w:t>’</w:t>
      </w:r>
      <w:r w:rsidR="00F2527B" w:rsidRPr="0070292F">
        <w:rPr>
          <w:lang w:val="fr-FR"/>
        </w:rPr>
        <w:t>application de mesu</w:t>
      </w:r>
      <w:r w:rsidR="00235CBF" w:rsidRPr="0070292F">
        <w:rPr>
          <w:lang w:val="fr-FR"/>
        </w:rPr>
        <w:t xml:space="preserve">res de prévention patrimoniales </w:t>
      </w:r>
      <w:r w:rsidR="00600D75" w:rsidRPr="0070292F">
        <w:rPr>
          <w:lang w:val="fr-FR"/>
        </w:rPr>
        <w:t xml:space="preserve">emporte </w:t>
      </w:r>
      <w:r w:rsidR="0088757F" w:rsidRPr="0070292F">
        <w:rPr>
          <w:lang w:val="fr-FR"/>
        </w:rPr>
        <w:t>viol</w:t>
      </w:r>
      <w:r w:rsidR="00600D75" w:rsidRPr="0070292F">
        <w:rPr>
          <w:lang w:val="fr-FR"/>
        </w:rPr>
        <w:t>ation de</w:t>
      </w:r>
      <w:r w:rsidR="00F2527B" w:rsidRPr="0070292F">
        <w:rPr>
          <w:lang w:val="fr-FR"/>
        </w:rPr>
        <w:t xml:space="preserve"> </w:t>
      </w:r>
      <w:r w:rsidR="00235CBF" w:rsidRPr="0070292F">
        <w:rPr>
          <w:lang w:val="fr-FR"/>
        </w:rPr>
        <w:t>l</w:t>
      </w:r>
      <w:r w:rsidR="0070292F" w:rsidRPr="0070292F">
        <w:rPr>
          <w:lang w:val="fr-FR"/>
        </w:rPr>
        <w:t>’</w:t>
      </w:r>
      <w:r w:rsidR="00F2527B" w:rsidRPr="0070292F">
        <w:rPr>
          <w:lang w:val="fr-FR"/>
        </w:rPr>
        <w:t>article 6 § 1 (</w:t>
      </w:r>
      <w:r w:rsidR="00F2527B" w:rsidRPr="0070292F">
        <w:rPr>
          <w:i/>
          <w:iCs/>
          <w:lang w:val="fr-FR"/>
        </w:rPr>
        <w:t>Bocellari et Rizza</w:t>
      </w:r>
      <w:r w:rsidR="00235CBF" w:rsidRPr="0070292F">
        <w:rPr>
          <w:iCs/>
          <w:lang w:val="fr-FR"/>
        </w:rPr>
        <w:t>, précité</w:t>
      </w:r>
      <w:r w:rsidR="00F2527B" w:rsidRPr="0070292F">
        <w:rPr>
          <w:lang w:val="fr-FR"/>
        </w:rPr>
        <w:t>, §§ 34-41</w:t>
      </w:r>
      <w:r w:rsidR="00600D75" w:rsidRPr="0070292F">
        <w:rPr>
          <w:lang w:val="fr-FR"/>
        </w:rPr>
        <w:t xml:space="preserve">, </w:t>
      </w:r>
      <w:r w:rsidR="00600D75" w:rsidRPr="0070292F">
        <w:rPr>
          <w:i/>
          <w:lang w:val="fr-FR"/>
        </w:rPr>
        <w:t>Perre et autres</w:t>
      </w:r>
      <w:r w:rsidR="00004524" w:rsidRPr="0070292F">
        <w:rPr>
          <w:i/>
          <w:lang w:val="fr-FR"/>
        </w:rPr>
        <w:t xml:space="preserve">, </w:t>
      </w:r>
      <w:r w:rsidR="00004524" w:rsidRPr="0070292F">
        <w:rPr>
          <w:lang w:val="fr-FR"/>
        </w:rPr>
        <w:t>précité,</w:t>
      </w:r>
      <w:r w:rsidR="00600D75" w:rsidRPr="0070292F">
        <w:rPr>
          <w:lang w:val="fr-FR"/>
        </w:rPr>
        <w:t xml:space="preserve"> §§ 23-26</w:t>
      </w:r>
      <w:r w:rsidR="00004524" w:rsidRPr="0070292F">
        <w:rPr>
          <w:lang w:val="fr-FR"/>
        </w:rPr>
        <w:t>,</w:t>
      </w:r>
      <w:r w:rsidR="00F2527B" w:rsidRPr="0070292F">
        <w:rPr>
          <w:lang w:val="fr-FR"/>
        </w:rPr>
        <w:t xml:space="preserve"> </w:t>
      </w:r>
      <w:r w:rsidR="00600D75" w:rsidRPr="0070292F">
        <w:rPr>
          <w:i/>
          <w:lang w:val="fr-FR"/>
        </w:rPr>
        <w:t>Bongiorno et autres</w:t>
      </w:r>
      <w:r w:rsidR="00004524" w:rsidRPr="0070292F">
        <w:rPr>
          <w:i/>
          <w:lang w:val="fr-FR"/>
        </w:rPr>
        <w:t>,</w:t>
      </w:r>
      <w:r w:rsidR="00600D75" w:rsidRPr="0070292F">
        <w:rPr>
          <w:i/>
          <w:lang w:val="fr-FR"/>
        </w:rPr>
        <w:t xml:space="preserve"> </w:t>
      </w:r>
      <w:r w:rsidR="00004524" w:rsidRPr="0070292F">
        <w:rPr>
          <w:lang w:val="fr-FR"/>
        </w:rPr>
        <w:t>précité,</w:t>
      </w:r>
      <w:r w:rsidR="00600D75" w:rsidRPr="0070292F">
        <w:rPr>
          <w:lang w:val="fr-FR"/>
        </w:rPr>
        <w:t xml:space="preserve"> §§ 27-30</w:t>
      </w:r>
      <w:r w:rsidR="00004524" w:rsidRPr="0070292F">
        <w:rPr>
          <w:lang w:val="fr-FR"/>
        </w:rPr>
        <w:t>,</w:t>
      </w:r>
      <w:r w:rsidR="00F2527B" w:rsidRPr="0070292F">
        <w:rPr>
          <w:lang w:val="fr-FR"/>
        </w:rPr>
        <w:t xml:space="preserve"> </w:t>
      </w:r>
      <w:r w:rsidR="00600D75" w:rsidRPr="0070292F">
        <w:rPr>
          <w:i/>
          <w:lang w:val="fr-FR"/>
        </w:rPr>
        <w:t>Leone c. Italie</w:t>
      </w:r>
      <w:r w:rsidR="00600D75" w:rsidRPr="0070292F">
        <w:rPr>
          <w:lang w:val="fr-FR"/>
        </w:rPr>
        <w:t>, n</w:t>
      </w:r>
      <w:r w:rsidR="00600D75" w:rsidRPr="0070292F">
        <w:rPr>
          <w:vertAlign w:val="superscript"/>
          <w:lang w:val="fr-FR"/>
        </w:rPr>
        <w:t>o</w:t>
      </w:r>
      <w:r w:rsidR="00600D75" w:rsidRPr="0070292F">
        <w:rPr>
          <w:lang w:val="fr-FR"/>
        </w:rPr>
        <w:t xml:space="preserve"> 30506/07,</w:t>
      </w:r>
      <w:r w:rsidR="00687D65" w:rsidRPr="0070292F">
        <w:rPr>
          <w:lang w:val="fr-FR"/>
        </w:rPr>
        <w:t xml:space="preserve"> </w:t>
      </w:r>
      <w:r w:rsidR="00600D75" w:rsidRPr="0070292F">
        <w:rPr>
          <w:lang w:val="fr-FR"/>
        </w:rPr>
        <w:t>§§</w:t>
      </w:r>
      <w:r w:rsidR="00004524" w:rsidRPr="0070292F">
        <w:rPr>
          <w:lang w:val="fr-FR"/>
        </w:rPr>
        <w:t> </w:t>
      </w:r>
      <w:r w:rsidR="00600D75" w:rsidRPr="0070292F">
        <w:rPr>
          <w:lang w:val="fr-FR"/>
        </w:rPr>
        <w:t>26</w:t>
      </w:r>
      <w:r w:rsidR="00687D65" w:rsidRPr="0070292F">
        <w:rPr>
          <w:lang w:val="fr-FR"/>
        </w:rPr>
        <w:noBreakHyphen/>
      </w:r>
      <w:r w:rsidR="00600D75" w:rsidRPr="0070292F">
        <w:rPr>
          <w:lang w:val="fr-FR"/>
        </w:rPr>
        <w:t>29, 2 février 2010</w:t>
      </w:r>
      <w:r w:rsidR="00183C6D" w:rsidRPr="0070292F">
        <w:rPr>
          <w:lang w:val="fr-FR"/>
        </w:rPr>
        <w:t>,</w:t>
      </w:r>
      <w:r w:rsidR="00F2527B" w:rsidRPr="0070292F">
        <w:rPr>
          <w:lang w:val="fr-FR"/>
        </w:rPr>
        <w:t xml:space="preserve"> </w:t>
      </w:r>
      <w:r w:rsidR="00600D75" w:rsidRPr="0070292F">
        <w:rPr>
          <w:lang w:val="fr-FR"/>
        </w:rPr>
        <w:t xml:space="preserve">et </w:t>
      </w:r>
      <w:r w:rsidR="00F2527B" w:rsidRPr="0070292F">
        <w:rPr>
          <w:i/>
          <w:iCs/>
          <w:lang w:val="fr-FR"/>
        </w:rPr>
        <w:t>Capitani et Campanella c. Italie</w:t>
      </w:r>
      <w:r w:rsidR="00F2527B" w:rsidRPr="0070292F">
        <w:rPr>
          <w:lang w:val="fr-FR"/>
        </w:rPr>
        <w:t xml:space="preserve">, </w:t>
      </w:r>
      <w:r w:rsidR="001D0B42" w:rsidRPr="0070292F">
        <w:rPr>
          <w:iCs/>
          <w:lang w:val="fr-FR"/>
        </w:rPr>
        <w:t>n</w:t>
      </w:r>
      <w:r w:rsidR="008C1E94" w:rsidRPr="0070292F">
        <w:rPr>
          <w:iCs/>
          <w:vertAlign w:val="superscript"/>
          <w:lang w:val="fr-FR"/>
        </w:rPr>
        <w:t>o</w:t>
      </w:r>
      <w:r w:rsidR="001D0B42" w:rsidRPr="0070292F">
        <w:rPr>
          <w:iCs/>
          <w:lang w:val="fr-FR"/>
        </w:rPr>
        <w:t xml:space="preserve"> 24920/07,</w:t>
      </w:r>
      <w:r w:rsidR="00235CBF" w:rsidRPr="0070292F">
        <w:rPr>
          <w:lang w:val="fr-FR"/>
        </w:rPr>
        <w:t xml:space="preserve"> §§</w:t>
      </w:r>
      <w:r w:rsidR="00004524" w:rsidRPr="0070292F">
        <w:rPr>
          <w:lang w:val="fr-FR"/>
        </w:rPr>
        <w:t> </w:t>
      </w:r>
      <w:r w:rsidR="00235CBF" w:rsidRPr="0070292F">
        <w:rPr>
          <w:lang w:val="fr-FR"/>
        </w:rPr>
        <w:t>26-29</w:t>
      </w:r>
      <w:r w:rsidR="00575C18" w:rsidRPr="0070292F">
        <w:rPr>
          <w:lang w:val="fr-FR"/>
        </w:rPr>
        <w:t>, 17 mai 2011</w:t>
      </w:r>
      <w:r w:rsidR="00F2527B" w:rsidRPr="0070292F">
        <w:rPr>
          <w:iCs/>
          <w:lang w:val="fr-FR"/>
        </w:rPr>
        <w:t>).</w:t>
      </w:r>
      <w:r w:rsidR="00600D75" w:rsidRPr="0070292F">
        <w:rPr>
          <w:lang w:val="fr-FR"/>
        </w:rPr>
        <w:t xml:space="preserve"> E</w:t>
      </w:r>
      <w:r w:rsidR="002F06A5" w:rsidRPr="0070292F">
        <w:rPr>
          <w:lang w:val="fr-FR"/>
        </w:rPr>
        <w:t xml:space="preserve">lle note </w:t>
      </w:r>
      <w:r w:rsidR="00600D75" w:rsidRPr="0070292F">
        <w:rPr>
          <w:lang w:val="fr-FR"/>
        </w:rPr>
        <w:t xml:space="preserve">toutefois </w:t>
      </w:r>
      <w:r w:rsidR="006C0A76" w:rsidRPr="0070292F">
        <w:rPr>
          <w:lang w:val="fr-FR"/>
        </w:rPr>
        <w:t>qu</w:t>
      </w:r>
      <w:r w:rsidR="0070292F" w:rsidRPr="0070292F">
        <w:rPr>
          <w:lang w:val="fr-FR"/>
        </w:rPr>
        <w:t>’</w:t>
      </w:r>
      <w:r w:rsidR="006C0A76" w:rsidRPr="0070292F">
        <w:rPr>
          <w:lang w:val="fr-FR"/>
        </w:rPr>
        <w:t>il</w:t>
      </w:r>
      <w:r w:rsidR="00F2527B" w:rsidRPr="0070292F">
        <w:rPr>
          <w:lang w:val="fr-FR"/>
        </w:rPr>
        <w:t xml:space="preserve"> </w:t>
      </w:r>
      <w:r w:rsidR="00175E1C" w:rsidRPr="0070292F">
        <w:rPr>
          <w:lang w:val="fr-FR"/>
        </w:rPr>
        <w:t>n</w:t>
      </w:r>
      <w:r w:rsidR="0070292F" w:rsidRPr="0070292F">
        <w:rPr>
          <w:lang w:val="fr-FR"/>
        </w:rPr>
        <w:t>’</w:t>
      </w:r>
      <w:r w:rsidR="00175E1C" w:rsidRPr="0070292F">
        <w:rPr>
          <w:lang w:val="fr-FR"/>
        </w:rPr>
        <w:t>existe</w:t>
      </w:r>
      <w:r w:rsidR="00F2527B" w:rsidRPr="0070292F">
        <w:rPr>
          <w:lang w:val="fr-FR"/>
        </w:rPr>
        <w:t xml:space="preserve"> pas de jurisprudence </w:t>
      </w:r>
      <w:r w:rsidR="00EF76B5" w:rsidRPr="0070292F">
        <w:rPr>
          <w:lang w:val="fr-FR"/>
        </w:rPr>
        <w:t>sur la question de l</w:t>
      </w:r>
      <w:r w:rsidR="0070292F" w:rsidRPr="0070292F">
        <w:rPr>
          <w:lang w:val="fr-FR"/>
        </w:rPr>
        <w:t>’</w:t>
      </w:r>
      <w:r w:rsidR="00EF76B5" w:rsidRPr="0070292F">
        <w:rPr>
          <w:lang w:val="fr-FR"/>
        </w:rPr>
        <w:t>applicabilit</w:t>
      </w:r>
      <w:r w:rsidR="00EF76B5" w:rsidRPr="0070292F">
        <w:rPr>
          <w:rFonts w:cstheme="minorHAnsi"/>
          <w:lang w:val="fr-FR"/>
        </w:rPr>
        <w:t>é</w:t>
      </w:r>
      <w:r w:rsidR="00EF76B5" w:rsidRPr="0070292F">
        <w:rPr>
          <w:lang w:val="fr-FR"/>
        </w:rPr>
        <w:t xml:space="preserve"> de l</w:t>
      </w:r>
      <w:r w:rsidR="0070292F" w:rsidRPr="0070292F">
        <w:rPr>
          <w:lang w:val="fr-FR"/>
        </w:rPr>
        <w:t>’</w:t>
      </w:r>
      <w:r w:rsidR="00EF76B5" w:rsidRPr="0070292F">
        <w:rPr>
          <w:lang w:val="fr-FR"/>
        </w:rPr>
        <w:t xml:space="preserve">article 6 </w:t>
      </w:r>
      <w:r w:rsidR="00EF76B5" w:rsidRPr="0070292F">
        <w:rPr>
          <w:rFonts w:cstheme="minorHAnsi"/>
          <w:lang w:val="fr-FR"/>
        </w:rPr>
        <w:t>§</w:t>
      </w:r>
      <w:r w:rsidR="00EF76B5" w:rsidRPr="0070292F">
        <w:rPr>
          <w:lang w:val="fr-FR"/>
        </w:rPr>
        <w:t xml:space="preserve"> 1 aux procédures concernant les mesures de prévention personnelles</w:t>
      </w:r>
      <w:r w:rsidR="006E4F5B" w:rsidRPr="0070292F">
        <w:rPr>
          <w:lang w:val="fr-FR"/>
        </w:rPr>
        <w:t>,</w:t>
      </w:r>
      <w:r w:rsidR="00EF76B5" w:rsidRPr="0070292F">
        <w:rPr>
          <w:lang w:val="fr-FR"/>
        </w:rPr>
        <w:t xml:space="preserve"> et par conséquent sur la question de la </w:t>
      </w:r>
      <w:r w:rsidR="00926173" w:rsidRPr="0070292F">
        <w:rPr>
          <w:lang w:val="fr-FR"/>
        </w:rPr>
        <w:t>publicité</w:t>
      </w:r>
      <w:r w:rsidR="00EF76B5" w:rsidRPr="0070292F">
        <w:rPr>
          <w:lang w:val="fr-FR"/>
        </w:rPr>
        <w:t xml:space="preserve"> des audiences dans ces </w:t>
      </w:r>
      <w:r w:rsidR="000761D8" w:rsidRPr="0070292F">
        <w:rPr>
          <w:lang w:val="fr-FR"/>
        </w:rPr>
        <w:t xml:space="preserve">dernières </w:t>
      </w:r>
      <w:r w:rsidR="00EF76B5" w:rsidRPr="0070292F">
        <w:rPr>
          <w:lang w:val="fr-FR"/>
        </w:rPr>
        <w:t>procédures qui</w:t>
      </w:r>
      <w:r w:rsidR="002F06A5" w:rsidRPr="0070292F">
        <w:rPr>
          <w:lang w:val="fr-FR"/>
        </w:rPr>
        <w:t>, par ailleurs,</w:t>
      </w:r>
      <w:r w:rsidR="00EF76B5" w:rsidRPr="0070292F">
        <w:rPr>
          <w:lang w:val="fr-FR"/>
        </w:rPr>
        <w:t xml:space="preserve"> sont les mêmes que celles </w:t>
      </w:r>
      <w:r w:rsidR="00600D75" w:rsidRPr="0070292F">
        <w:rPr>
          <w:lang w:val="fr-FR"/>
        </w:rPr>
        <w:t>relatives aux</w:t>
      </w:r>
      <w:r w:rsidR="00F2527B" w:rsidRPr="0070292F">
        <w:rPr>
          <w:lang w:val="fr-FR"/>
        </w:rPr>
        <w:t xml:space="preserve"> mesures de prévention </w:t>
      </w:r>
      <w:r w:rsidR="002F06A5" w:rsidRPr="0070292F">
        <w:rPr>
          <w:lang w:val="fr-FR"/>
        </w:rPr>
        <w:t>patrimoniales</w:t>
      </w:r>
      <w:r w:rsidR="00F2527B" w:rsidRPr="0070292F">
        <w:rPr>
          <w:lang w:val="fr-FR"/>
        </w:rPr>
        <w:t>.</w:t>
      </w:r>
    </w:p>
    <w:p w:rsidR="004C3009" w:rsidRPr="0070292F" w:rsidRDefault="0062593E" w:rsidP="0070292F">
      <w:pPr>
        <w:pStyle w:val="ECHRPara"/>
        <w:rPr>
          <w:lang w:val="fr-FR"/>
        </w:rPr>
      </w:pPr>
      <w:r w:rsidRPr="0070292F">
        <w:rPr>
          <w:rFonts w:cstheme="minorHAnsi"/>
          <w:lang w:val="fr-FR"/>
        </w:rPr>
        <w:lastRenderedPageBreak/>
        <w:fldChar w:fldCharType="begin"/>
      </w:r>
      <w:r w:rsidRPr="0070292F">
        <w:rPr>
          <w:rFonts w:cstheme="minorHAnsi"/>
          <w:lang w:val="fr-FR"/>
        </w:rPr>
        <w:instrText xml:space="preserve"> SEQ level0 \*arabic </w:instrText>
      </w:r>
      <w:r w:rsidRPr="0070292F">
        <w:rPr>
          <w:rFonts w:cstheme="minorHAnsi"/>
          <w:lang w:val="fr-FR"/>
        </w:rPr>
        <w:fldChar w:fldCharType="separate"/>
      </w:r>
      <w:r w:rsidR="0070292F" w:rsidRPr="0070292F">
        <w:rPr>
          <w:rFonts w:cstheme="minorHAnsi"/>
          <w:noProof/>
          <w:lang w:val="fr-FR"/>
        </w:rPr>
        <w:t>139</w:t>
      </w:r>
      <w:r w:rsidRPr="0070292F">
        <w:rPr>
          <w:rFonts w:cstheme="minorHAnsi"/>
          <w:lang w:val="fr-FR"/>
        </w:rPr>
        <w:fldChar w:fldCharType="end"/>
      </w:r>
      <w:r w:rsidRPr="0070292F">
        <w:rPr>
          <w:rFonts w:cstheme="minorHAnsi"/>
          <w:lang w:val="fr-FR"/>
        </w:rPr>
        <w:t>.  </w:t>
      </w:r>
      <w:r w:rsidR="00600D75" w:rsidRPr="0070292F">
        <w:rPr>
          <w:rFonts w:cstheme="minorHAnsi"/>
          <w:lang w:val="fr-FR"/>
        </w:rPr>
        <w:t>À</w:t>
      </w:r>
      <w:r w:rsidR="00AD7C7F" w:rsidRPr="0070292F">
        <w:rPr>
          <w:lang w:val="fr-FR"/>
        </w:rPr>
        <w:t xml:space="preserve"> la lumière de ce qui précède </w:t>
      </w:r>
      <w:r w:rsidR="00F9295F" w:rsidRPr="0070292F">
        <w:rPr>
          <w:lang w:val="fr-FR"/>
        </w:rPr>
        <w:t>et eu égard à l</w:t>
      </w:r>
      <w:r w:rsidR="0070292F" w:rsidRPr="0070292F">
        <w:rPr>
          <w:lang w:val="fr-FR"/>
        </w:rPr>
        <w:t>’</w:t>
      </w:r>
      <w:r w:rsidR="00F9295F" w:rsidRPr="0070292F">
        <w:rPr>
          <w:lang w:val="fr-FR"/>
        </w:rPr>
        <w:t>ensemble des circonstances de l</w:t>
      </w:r>
      <w:r w:rsidR="0070292F" w:rsidRPr="0070292F">
        <w:rPr>
          <w:lang w:val="fr-FR"/>
        </w:rPr>
        <w:t>’</w:t>
      </w:r>
      <w:r w:rsidR="00F9295F" w:rsidRPr="0070292F">
        <w:rPr>
          <w:lang w:val="fr-FR"/>
        </w:rPr>
        <w:t xml:space="preserve">espèce, </w:t>
      </w:r>
      <w:r w:rsidR="00575C18" w:rsidRPr="0070292F">
        <w:rPr>
          <w:lang w:val="fr-FR"/>
        </w:rPr>
        <w:t xml:space="preserve">la Cour considère que les conditions </w:t>
      </w:r>
      <w:r w:rsidR="00600D75" w:rsidRPr="0070292F">
        <w:rPr>
          <w:lang w:val="fr-FR"/>
        </w:rPr>
        <w:t xml:space="preserve">permettant de </w:t>
      </w:r>
      <w:r w:rsidR="00575C18" w:rsidRPr="0070292F">
        <w:rPr>
          <w:lang w:val="fr-FR"/>
        </w:rPr>
        <w:t>procéder à une radiation partielle ne se trouvent pas remplies</w:t>
      </w:r>
      <w:r w:rsidR="00F9295F" w:rsidRPr="0070292F">
        <w:rPr>
          <w:lang w:val="fr-FR"/>
        </w:rPr>
        <w:t>.</w:t>
      </w:r>
    </w:p>
    <w:p w:rsidR="006C0A76" w:rsidRPr="0070292F" w:rsidRDefault="0062593E"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140</w:t>
      </w:r>
      <w:r w:rsidRPr="0070292F">
        <w:rPr>
          <w:lang w:val="fr-FR"/>
        </w:rPr>
        <w:fldChar w:fldCharType="end"/>
      </w:r>
      <w:r w:rsidRPr="0070292F">
        <w:rPr>
          <w:lang w:val="fr-FR"/>
        </w:rPr>
        <w:t>.  </w:t>
      </w:r>
      <w:r w:rsidR="00F9295F" w:rsidRPr="0070292F">
        <w:rPr>
          <w:lang w:val="fr-FR"/>
        </w:rPr>
        <w:t xml:space="preserve">Partant, </w:t>
      </w:r>
      <w:r w:rsidR="00156556" w:rsidRPr="0070292F">
        <w:rPr>
          <w:lang w:val="fr-FR"/>
        </w:rPr>
        <w:t>elle</w:t>
      </w:r>
      <w:r w:rsidR="006C0A76" w:rsidRPr="0070292F">
        <w:rPr>
          <w:lang w:val="fr-FR"/>
        </w:rPr>
        <w:t xml:space="preserve"> rejette la demande du Gouvernement tendant à la radiation partielle de la requête du rôle </w:t>
      </w:r>
      <w:r w:rsidR="006E4F5B" w:rsidRPr="0070292F">
        <w:rPr>
          <w:lang w:val="fr-FR"/>
        </w:rPr>
        <w:t>sur le fondement</w:t>
      </w:r>
      <w:r w:rsidR="006C0A76" w:rsidRPr="0070292F">
        <w:rPr>
          <w:lang w:val="fr-FR"/>
        </w:rPr>
        <w:t xml:space="preserve"> de l</w:t>
      </w:r>
      <w:r w:rsidR="0070292F" w:rsidRPr="0070292F">
        <w:rPr>
          <w:lang w:val="fr-FR"/>
        </w:rPr>
        <w:t>’</w:t>
      </w:r>
      <w:r w:rsidR="006C0A76" w:rsidRPr="0070292F">
        <w:rPr>
          <w:lang w:val="fr-FR"/>
        </w:rPr>
        <w:t>art</w:t>
      </w:r>
      <w:r w:rsidR="00CC4FCD" w:rsidRPr="0070292F">
        <w:rPr>
          <w:lang w:val="fr-FR"/>
        </w:rPr>
        <w:t>icle 37 § 1 c) de la Convention.</w:t>
      </w:r>
    </w:p>
    <w:p w:rsidR="00187450" w:rsidRPr="0070292F" w:rsidRDefault="00DC1AC5" w:rsidP="0070292F">
      <w:pPr>
        <w:pStyle w:val="ECHRHeading2"/>
        <w:rPr>
          <w:lang w:val="fr-FR"/>
        </w:rPr>
      </w:pPr>
      <w:bookmarkStart w:id="45" w:name="_Toc475451854"/>
      <w:r w:rsidRPr="0070292F">
        <w:rPr>
          <w:lang w:val="fr-FR"/>
        </w:rPr>
        <w:t>B</w:t>
      </w:r>
      <w:r w:rsidR="00BC1AB7" w:rsidRPr="0070292F">
        <w:rPr>
          <w:lang w:val="fr-FR"/>
        </w:rPr>
        <w:t>.</w:t>
      </w:r>
      <w:r w:rsidR="00B96ACA" w:rsidRPr="0070292F">
        <w:rPr>
          <w:lang w:val="fr-FR"/>
        </w:rPr>
        <w:t>  </w:t>
      </w:r>
      <w:r w:rsidR="00BC1AB7" w:rsidRPr="0070292F">
        <w:rPr>
          <w:lang w:val="fr-FR"/>
        </w:rPr>
        <w:t>Sur la recevabilité</w:t>
      </w:r>
      <w:bookmarkEnd w:id="45"/>
    </w:p>
    <w:p w:rsidR="00187450" w:rsidRPr="0070292F" w:rsidRDefault="00B96ACA" w:rsidP="0070292F">
      <w:pPr>
        <w:pStyle w:val="ECHRHeading3"/>
        <w:rPr>
          <w:lang w:val="fr-FR"/>
        </w:rPr>
      </w:pPr>
      <w:bookmarkStart w:id="46" w:name="_Toc475451855"/>
      <w:r w:rsidRPr="0070292F">
        <w:rPr>
          <w:lang w:val="fr-FR"/>
        </w:rPr>
        <w:t>1.  </w:t>
      </w:r>
      <w:r w:rsidR="00187450" w:rsidRPr="0070292F">
        <w:rPr>
          <w:lang w:val="fr-FR"/>
        </w:rPr>
        <w:t>Thèse</w:t>
      </w:r>
      <w:r w:rsidR="00C03AFB" w:rsidRPr="0070292F">
        <w:rPr>
          <w:lang w:val="fr-FR"/>
        </w:rPr>
        <w:t>s</w:t>
      </w:r>
      <w:r w:rsidR="00187450" w:rsidRPr="0070292F">
        <w:rPr>
          <w:lang w:val="fr-FR"/>
        </w:rPr>
        <w:t xml:space="preserve"> des parties</w:t>
      </w:r>
      <w:bookmarkEnd w:id="46"/>
    </w:p>
    <w:p w:rsidR="00187450" w:rsidRPr="0070292F" w:rsidRDefault="00187450" w:rsidP="0070292F">
      <w:pPr>
        <w:pStyle w:val="ECHRHeading4"/>
        <w:rPr>
          <w:lang w:val="fr-FR"/>
        </w:rPr>
      </w:pPr>
      <w:r w:rsidRPr="0070292F">
        <w:rPr>
          <w:lang w:val="fr-FR"/>
        </w:rPr>
        <w:t>a)</w:t>
      </w:r>
      <w:r w:rsidR="00B96ACA" w:rsidRPr="0070292F">
        <w:rPr>
          <w:lang w:val="fr-FR"/>
        </w:rPr>
        <w:t>  </w:t>
      </w:r>
      <w:r w:rsidRPr="0070292F">
        <w:rPr>
          <w:lang w:val="fr-FR"/>
        </w:rPr>
        <w:t>Le requérant</w:t>
      </w:r>
    </w:p>
    <w:p w:rsidR="00187450" w:rsidRPr="0070292F" w:rsidRDefault="0062593E"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141</w:t>
      </w:r>
      <w:r w:rsidRPr="0070292F">
        <w:rPr>
          <w:lang w:val="fr-FR"/>
        </w:rPr>
        <w:fldChar w:fldCharType="end"/>
      </w:r>
      <w:r w:rsidRPr="0070292F">
        <w:rPr>
          <w:lang w:val="fr-FR"/>
        </w:rPr>
        <w:t>.  </w:t>
      </w:r>
      <w:r w:rsidR="00187450" w:rsidRPr="0070292F">
        <w:rPr>
          <w:lang w:val="fr-FR"/>
        </w:rPr>
        <w:t xml:space="preserve">Le requérant </w:t>
      </w:r>
      <w:r w:rsidR="0098370D" w:rsidRPr="0070292F">
        <w:rPr>
          <w:lang w:val="fr-FR"/>
        </w:rPr>
        <w:t>soutient</w:t>
      </w:r>
      <w:r w:rsidR="00187450" w:rsidRPr="0070292F">
        <w:rPr>
          <w:lang w:val="fr-FR"/>
        </w:rPr>
        <w:t xml:space="preserve"> que l</w:t>
      </w:r>
      <w:r w:rsidR="0070292F" w:rsidRPr="0070292F">
        <w:rPr>
          <w:lang w:val="fr-FR"/>
        </w:rPr>
        <w:t>’</w:t>
      </w:r>
      <w:r w:rsidR="00187450" w:rsidRPr="0070292F">
        <w:rPr>
          <w:lang w:val="fr-FR"/>
        </w:rPr>
        <w:t>article 6 §</w:t>
      </w:r>
      <w:r w:rsidR="0098370D" w:rsidRPr="0070292F">
        <w:rPr>
          <w:lang w:val="fr-FR"/>
        </w:rPr>
        <w:t xml:space="preserve"> </w:t>
      </w:r>
      <w:r w:rsidR="00EF76B5" w:rsidRPr="0070292F">
        <w:rPr>
          <w:lang w:val="fr-FR"/>
        </w:rPr>
        <w:t xml:space="preserve">1 </w:t>
      </w:r>
      <w:r w:rsidR="00F23CC3" w:rsidRPr="0070292F">
        <w:rPr>
          <w:lang w:val="fr-FR"/>
        </w:rPr>
        <w:t xml:space="preserve">sous </w:t>
      </w:r>
      <w:r w:rsidR="00EF76B5" w:rsidRPr="0070292F">
        <w:rPr>
          <w:lang w:val="fr-FR"/>
        </w:rPr>
        <w:t xml:space="preserve">son volet pénal </w:t>
      </w:r>
      <w:r w:rsidR="00187450" w:rsidRPr="0070292F">
        <w:rPr>
          <w:lang w:val="fr-FR"/>
        </w:rPr>
        <w:t xml:space="preserve">est applicable aux procédures </w:t>
      </w:r>
      <w:r w:rsidR="00F23CC3" w:rsidRPr="0070292F">
        <w:rPr>
          <w:lang w:val="fr-FR"/>
        </w:rPr>
        <w:t xml:space="preserve">relatives à </w:t>
      </w:r>
      <w:r w:rsidR="00187450" w:rsidRPr="0070292F">
        <w:rPr>
          <w:lang w:val="fr-FR"/>
        </w:rPr>
        <w:t>l</w:t>
      </w:r>
      <w:r w:rsidR="0070292F" w:rsidRPr="0070292F">
        <w:rPr>
          <w:lang w:val="fr-FR"/>
        </w:rPr>
        <w:t>’</w:t>
      </w:r>
      <w:r w:rsidR="00187450" w:rsidRPr="0070292F">
        <w:rPr>
          <w:lang w:val="fr-FR"/>
        </w:rPr>
        <w:t xml:space="preserve">application des mesures de prévention personnelles </w:t>
      </w:r>
      <w:r w:rsidR="003F7A1B" w:rsidRPr="0070292F">
        <w:rPr>
          <w:lang w:val="fr-FR"/>
        </w:rPr>
        <w:t xml:space="preserve">en ce </w:t>
      </w:r>
      <w:r w:rsidR="00CB0F37" w:rsidRPr="0070292F">
        <w:rPr>
          <w:lang w:val="fr-FR"/>
        </w:rPr>
        <w:t>qu</w:t>
      </w:r>
      <w:r w:rsidR="0070292F" w:rsidRPr="0070292F">
        <w:rPr>
          <w:lang w:val="fr-FR"/>
        </w:rPr>
        <w:t>’</w:t>
      </w:r>
      <w:r w:rsidR="00CB0F37" w:rsidRPr="0070292F">
        <w:rPr>
          <w:lang w:val="fr-FR"/>
        </w:rPr>
        <w:t>elles</w:t>
      </w:r>
      <w:r w:rsidR="00187450" w:rsidRPr="0070292F">
        <w:rPr>
          <w:lang w:val="fr-FR"/>
        </w:rPr>
        <w:t xml:space="preserve"> concernent la liberté </w:t>
      </w:r>
      <w:r w:rsidR="00CB0F37" w:rsidRPr="0070292F">
        <w:rPr>
          <w:lang w:val="fr-FR"/>
        </w:rPr>
        <w:t>personnelle</w:t>
      </w:r>
      <w:r w:rsidR="00187450" w:rsidRPr="0070292F">
        <w:rPr>
          <w:lang w:val="fr-FR"/>
        </w:rPr>
        <w:t xml:space="preserve"> du citoyen et sont </w:t>
      </w:r>
      <w:r w:rsidR="00CB0F37" w:rsidRPr="0070292F">
        <w:rPr>
          <w:lang w:val="fr-FR"/>
        </w:rPr>
        <w:t>régies</w:t>
      </w:r>
      <w:r w:rsidR="00187450" w:rsidRPr="0070292F">
        <w:rPr>
          <w:lang w:val="fr-FR"/>
        </w:rPr>
        <w:t xml:space="preserve"> par </w:t>
      </w:r>
      <w:r w:rsidR="007054D1" w:rsidRPr="0070292F">
        <w:rPr>
          <w:lang w:val="fr-FR"/>
        </w:rPr>
        <w:t xml:space="preserve">les dispositions du code </w:t>
      </w:r>
      <w:r w:rsidR="00183C6D" w:rsidRPr="0070292F">
        <w:rPr>
          <w:lang w:val="fr-FR"/>
        </w:rPr>
        <w:t>de procédure pénale</w:t>
      </w:r>
      <w:r w:rsidR="00187450" w:rsidRPr="0070292F">
        <w:rPr>
          <w:lang w:val="fr-FR"/>
        </w:rPr>
        <w:t xml:space="preserve">. Il </w:t>
      </w:r>
      <w:r w:rsidR="00F23CC3" w:rsidRPr="0070292F">
        <w:rPr>
          <w:lang w:val="fr-FR"/>
        </w:rPr>
        <w:t>ajoute</w:t>
      </w:r>
      <w:r w:rsidR="00187450" w:rsidRPr="0070292F">
        <w:rPr>
          <w:lang w:val="fr-FR"/>
        </w:rPr>
        <w:t xml:space="preserve"> que l</w:t>
      </w:r>
      <w:r w:rsidR="0070292F" w:rsidRPr="0070292F">
        <w:rPr>
          <w:lang w:val="fr-FR"/>
        </w:rPr>
        <w:t>’</w:t>
      </w:r>
      <w:r w:rsidR="00187450" w:rsidRPr="0070292F">
        <w:rPr>
          <w:lang w:val="fr-FR"/>
        </w:rPr>
        <w:t>article 6 §</w:t>
      </w:r>
      <w:r w:rsidR="00183C6D" w:rsidRPr="0070292F">
        <w:rPr>
          <w:lang w:val="fr-FR"/>
        </w:rPr>
        <w:t xml:space="preserve"> </w:t>
      </w:r>
      <w:r w:rsidR="00187450" w:rsidRPr="0070292F">
        <w:rPr>
          <w:lang w:val="fr-FR"/>
        </w:rPr>
        <w:t xml:space="preserve">1 est applicable </w:t>
      </w:r>
      <w:r w:rsidR="003F7A1B" w:rsidRPr="0070292F">
        <w:rPr>
          <w:lang w:val="fr-FR"/>
        </w:rPr>
        <w:t>dès lors</w:t>
      </w:r>
      <w:r w:rsidR="00187450" w:rsidRPr="0070292F">
        <w:rPr>
          <w:lang w:val="fr-FR"/>
        </w:rPr>
        <w:t xml:space="preserve"> que la Cour a conclu que l</w:t>
      </w:r>
      <w:r w:rsidR="0070292F" w:rsidRPr="0070292F">
        <w:rPr>
          <w:lang w:val="fr-FR"/>
        </w:rPr>
        <w:t>’</w:t>
      </w:r>
      <w:r w:rsidR="00187450" w:rsidRPr="0070292F">
        <w:rPr>
          <w:lang w:val="fr-FR"/>
        </w:rPr>
        <w:t>article 6 trouve à s</w:t>
      </w:r>
      <w:r w:rsidR="0070292F" w:rsidRPr="0070292F">
        <w:rPr>
          <w:lang w:val="fr-FR"/>
        </w:rPr>
        <w:t>’</w:t>
      </w:r>
      <w:r w:rsidR="00187450" w:rsidRPr="0070292F">
        <w:rPr>
          <w:lang w:val="fr-FR"/>
        </w:rPr>
        <w:t xml:space="preserve">appliquer </w:t>
      </w:r>
      <w:r w:rsidR="00F23CC3" w:rsidRPr="0070292F">
        <w:rPr>
          <w:lang w:val="fr-FR"/>
        </w:rPr>
        <w:t xml:space="preserve">sous </w:t>
      </w:r>
      <w:r w:rsidR="00187450" w:rsidRPr="0070292F">
        <w:rPr>
          <w:lang w:val="fr-FR"/>
        </w:rPr>
        <w:t xml:space="preserve">son volet civil aux procédures </w:t>
      </w:r>
      <w:r w:rsidR="00F23CC3" w:rsidRPr="0070292F">
        <w:rPr>
          <w:lang w:val="fr-FR"/>
        </w:rPr>
        <w:t xml:space="preserve">relatives à </w:t>
      </w:r>
      <w:r w:rsidR="00187450" w:rsidRPr="0070292F">
        <w:rPr>
          <w:lang w:val="fr-FR"/>
        </w:rPr>
        <w:t>l</w:t>
      </w:r>
      <w:r w:rsidR="0070292F" w:rsidRPr="0070292F">
        <w:rPr>
          <w:lang w:val="fr-FR"/>
        </w:rPr>
        <w:t>’</w:t>
      </w:r>
      <w:r w:rsidR="00187450" w:rsidRPr="0070292F">
        <w:rPr>
          <w:lang w:val="fr-FR"/>
        </w:rPr>
        <w:t xml:space="preserve">application </w:t>
      </w:r>
      <w:r w:rsidR="00EF76B5" w:rsidRPr="0070292F">
        <w:rPr>
          <w:lang w:val="fr-FR"/>
        </w:rPr>
        <w:t>des mesures de prévention patrimoniales.</w:t>
      </w:r>
    </w:p>
    <w:p w:rsidR="00187450" w:rsidRPr="0070292F" w:rsidRDefault="005D086F" w:rsidP="0070292F">
      <w:pPr>
        <w:pStyle w:val="ECHRHeading4"/>
        <w:rPr>
          <w:lang w:val="fr-FR"/>
        </w:rPr>
      </w:pPr>
      <w:r w:rsidRPr="0070292F">
        <w:rPr>
          <w:lang w:val="fr-FR"/>
        </w:rPr>
        <w:t>b)</w:t>
      </w:r>
      <w:r w:rsidR="00B96ACA" w:rsidRPr="0070292F">
        <w:rPr>
          <w:lang w:val="fr-FR"/>
        </w:rPr>
        <w:t>  </w:t>
      </w:r>
      <w:r w:rsidRPr="0070292F">
        <w:rPr>
          <w:lang w:val="fr-FR"/>
        </w:rPr>
        <w:t>Le G</w:t>
      </w:r>
      <w:r w:rsidR="00187450" w:rsidRPr="0070292F">
        <w:rPr>
          <w:lang w:val="fr-FR"/>
        </w:rPr>
        <w:t>ouvernement</w:t>
      </w:r>
    </w:p>
    <w:p w:rsidR="00187450" w:rsidRPr="0070292F" w:rsidRDefault="0062593E"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142</w:t>
      </w:r>
      <w:r w:rsidRPr="0070292F">
        <w:rPr>
          <w:lang w:val="fr-FR"/>
        </w:rPr>
        <w:fldChar w:fldCharType="end"/>
      </w:r>
      <w:r w:rsidRPr="0070292F">
        <w:rPr>
          <w:lang w:val="fr-FR"/>
        </w:rPr>
        <w:t>.  </w:t>
      </w:r>
      <w:r w:rsidR="00187450" w:rsidRPr="0070292F">
        <w:rPr>
          <w:lang w:val="fr-FR"/>
        </w:rPr>
        <w:t>Le Gouvernement n</w:t>
      </w:r>
      <w:r w:rsidR="0070292F" w:rsidRPr="0070292F">
        <w:rPr>
          <w:lang w:val="fr-FR"/>
        </w:rPr>
        <w:t>’</w:t>
      </w:r>
      <w:r w:rsidR="00187450" w:rsidRPr="0070292F">
        <w:rPr>
          <w:lang w:val="fr-FR"/>
        </w:rPr>
        <w:t>a pas présenté d</w:t>
      </w:r>
      <w:r w:rsidR="0070292F" w:rsidRPr="0070292F">
        <w:rPr>
          <w:lang w:val="fr-FR"/>
        </w:rPr>
        <w:t>’</w:t>
      </w:r>
      <w:r w:rsidR="00187450" w:rsidRPr="0070292F">
        <w:rPr>
          <w:lang w:val="fr-FR"/>
        </w:rPr>
        <w:t>observation</w:t>
      </w:r>
      <w:r w:rsidR="003F7A1B" w:rsidRPr="0070292F">
        <w:rPr>
          <w:lang w:val="fr-FR"/>
        </w:rPr>
        <w:t>s</w:t>
      </w:r>
      <w:r w:rsidR="00187450" w:rsidRPr="0070292F">
        <w:rPr>
          <w:lang w:val="fr-FR"/>
        </w:rPr>
        <w:t xml:space="preserve"> à </w:t>
      </w:r>
      <w:r w:rsidR="00F23CC3" w:rsidRPr="0070292F">
        <w:rPr>
          <w:lang w:val="fr-FR"/>
        </w:rPr>
        <w:t>ce sujet</w:t>
      </w:r>
      <w:r w:rsidR="00187450" w:rsidRPr="0070292F">
        <w:rPr>
          <w:lang w:val="fr-FR"/>
        </w:rPr>
        <w:t>.</w:t>
      </w:r>
    </w:p>
    <w:p w:rsidR="00187450" w:rsidRPr="0070292F" w:rsidRDefault="00187450" w:rsidP="0070292F">
      <w:pPr>
        <w:pStyle w:val="ECHRHeading3"/>
        <w:rPr>
          <w:lang w:val="fr-FR"/>
        </w:rPr>
      </w:pPr>
      <w:bookmarkStart w:id="47" w:name="_Toc475451856"/>
      <w:r w:rsidRPr="0070292F">
        <w:rPr>
          <w:lang w:val="fr-FR"/>
        </w:rPr>
        <w:t>2.</w:t>
      </w:r>
      <w:r w:rsidR="00B96ACA" w:rsidRPr="0070292F">
        <w:rPr>
          <w:lang w:val="fr-FR"/>
        </w:rPr>
        <w:t>  </w:t>
      </w:r>
      <w:r w:rsidRPr="0070292F">
        <w:rPr>
          <w:lang w:val="fr-FR"/>
        </w:rPr>
        <w:t>Appréciation de la Cour</w:t>
      </w:r>
      <w:bookmarkEnd w:id="47"/>
    </w:p>
    <w:p w:rsidR="00932BD9" w:rsidRPr="0070292F" w:rsidRDefault="0062593E"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143</w:t>
      </w:r>
      <w:r w:rsidRPr="0070292F">
        <w:rPr>
          <w:lang w:val="fr-FR"/>
        </w:rPr>
        <w:fldChar w:fldCharType="end"/>
      </w:r>
      <w:r w:rsidRPr="0070292F">
        <w:rPr>
          <w:lang w:val="fr-FR"/>
        </w:rPr>
        <w:t>.  </w:t>
      </w:r>
      <w:r w:rsidR="00932BD9" w:rsidRPr="0070292F">
        <w:rPr>
          <w:lang w:val="fr-FR"/>
        </w:rPr>
        <w:t>La Cour estime tout d</w:t>
      </w:r>
      <w:r w:rsidR="0070292F" w:rsidRPr="0070292F">
        <w:rPr>
          <w:lang w:val="fr-FR"/>
        </w:rPr>
        <w:t>’</w:t>
      </w:r>
      <w:r w:rsidR="00932BD9" w:rsidRPr="0070292F">
        <w:rPr>
          <w:lang w:val="fr-FR"/>
        </w:rPr>
        <w:t>abord que le volet pénal de l</w:t>
      </w:r>
      <w:r w:rsidR="0070292F" w:rsidRPr="0070292F">
        <w:rPr>
          <w:lang w:val="fr-FR"/>
        </w:rPr>
        <w:t>’</w:t>
      </w:r>
      <w:r w:rsidR="00932BD9" w:rsidRPr="0070292F">
        <w:rPr>
          <w:lang w:val="fr-FR"/>
        </w:rPr>
        <w:t>article 6 § 1 de la Conv</w:t>
      </w:r>
      <w:r w:rsidR="00477F01" w:rsidRPr="0070292F">
        <w:rPr>
          <w:lang w:val="fr-FR"/>
        </w:rPr>
        <w:t>ention n</w:t>
      </w:r>
      <w:r w:rsidR="0070292F" w:rsidRPr="0070292F">
        <w:rPr>
          <w:lang w:val="fr-FR"/>
        </w:rPr>
        <w:t>’</w:t>
      </w:r>
      <w:r w:rsidR="00477F01" w:rsidRPr="0070292F">
        <w:rPr>
          <w:lang w:val="fr-FR"/>
        </w:rPr>
        <w:t>entre pas en jeu, car</w:t>
      </w:r>
      <w:r w:rsidR="00932BD9" w:rsidRPr="0070292F">
        <w:rPr>
          <w:lang w:val="fr-FR"/>
        </w:rPr>
        <w:t xml:space="preserve"> la surveillance spéciale ne saurait se comparer à une peine </w:t>
      </w:r>
      <w:r w:rsidR="00AA5F81" w:rsidRPr="0070292F">
        <w:rPr>
          <w:lang w:val="fr-FR"/>
        </w:rPr>
        <w:t>d</w:t>
      </w:r>
      <w:r w:rsidR="00F23CC3" w:rsidRPr="0070292F">
        <w:rPr>
          <w:lang w:val="fr-FR"/>
        </w:rPr>
        <w:t>è</w:t>
      </w:r>
      <w:r w:rsidR="00AA5F81" w:rsidRPr="0070292F">
        <w:rPr>
          <w:lang w:val="fr-FR"/>
        </w:rPr>
        <w:t>s</w:t>
      </w:r>
      <w:r w:rsidR="00477F01" w:rsidRPr="0070292F">
        <w:rPr>
          <w:lang w:val="fr-FR"/>
        </w:rPr>
        <w:t xml:space="preserve"> lors que </w:t>
      </w:r>
      <w:r w:rsidR="003B2708" w:rsidRPr="0070292F">
        <w:rPr>
          <w:lang w:val="fr-FR"/>
        </w:rPr>
        <w:t>la procédure dont le requérant a fait l</w:t>
      </w:r>
      <w:r w:rsidR="0070292F" w:rsidRPr="0070292F">
        <w:rPr>
          <w:lang w:val="fr-FR"/>
        </w:rPr>
        <w:t>’</w:t>
      </w:r>
      <w:r w:rsidR="003B2708" w:rsidRPr="0070292F">
        <w:rPr>
          <w:lang w:val="fr-FR"/>
        </w:rPr>
        <w:t xml:space="preserve">objet </w:t>
      </w:r>
      <w:r w:rsidR="00932BD9" w:rsidRPr="0070292F">
        <w:rPr>
          <w:lang w:val="fr-FR"/>
        </w:rPr>
        <w:t>ne concerna</w:t>
      </w:r>
      <w:r w:rsidR="00A600F4" w:rsidRPr="0070292F">
        <w:rPr>
          <w:lang w:val="fr-FR"/>
        </w:rPr>
        <w:t>i</w:t>
      </w:r>
      <w:r w:rsidR="00932BD9" w:rsidRPr="0070292F">
        <w:rPr>
          <w:lang w:val="fr-FR"/>
        </w:rPr>
        <w:t>t pas le bien-fondé d</w:t>
      </w:r>
      <w:r w:rsidR="0070292F" w:rsidRPr="0070292F">
        <w:rPr>
          <w:lang w:val="fr-FR"/>
        </w:rPr>
        <w:t>’</w:t>
      </w:r>
      <w:r w:rsidR="00932BD9" w:rsidRPr="0070292F">
        <w:rPr>
          <w:lang w:val="fr-FR"/>
        </w:rPr>
        <w:t>une «</w:t>
      </w:r>
      <w:r w:rsidR="00A600F4" w:rsidRPr="0070292F">
        <w:rPr>
          <w:lang w:val="fr-FR"/>
        </w:rPr>
        <w:t> </w:t>
      </w:r>
      <w:r w:rsidR="00932BD9" w:rsidRPr="0070292F">
        <w:rPr>
          <w:lang w:val="fr-FR"/>
        </w:rPr>
        <w:t>a</w:t>
      </w:r>
      <w:r w:rsidR="00477F01" w:rsidRPr="0070292F">
        <w:rPr>
          <w:lang w:val="fr-FR"/>
        </w:rPr>
        <w:t>ccusation en matière pénale</w:t>
      </w:r>
      <w:r w:rsidR="00A600F4" w:rsidRPr="0070292F">
        <w:rPr>
          <w:lang w:val="fr-FR"/>
        </w:rPr>
        <w:t> </w:t>
      </w:r>
      <w:r w:rsidR="00932BD9" w:rsidRPr="0070292F">
        <w:rPr>
          <w:lang w:val="fr-FR"/>
        </w:rPr>
        <w:t>»</w:t>
      </w:r>
      <w:r w:rsidR="003B2708" w:rsidRPr="0070292F">
        <w:rPr>
          <w:lang w:val="fr-FR"/>
        </w:rPr>
        <w:t xml:space="preserve"> </w:t>
      </w:r>
      <w:r w:rsidR="00CB0F37" w:rsidRPr="0070292F">
        <w:rPr>
          <w:lang w:val="fr-FR"/>
        </w:rPr>
        <w:t>au sens de l</w:t>
      </w:r>
      <w:r w:rsidR="0070292F" w:rsidRPr="0070292F">
        <w:rPr>
          <w:lang w:val="fr-FR"/>
        </w:rPr>
        <w:t>’</w:t>
      </w:r>
      <w:r w:rsidR="00CB0F37" w:rsidRPr="0070292F">
        <w:rPr>
          <w:lang w:val="fr-FR"/>
        </w:rPr>
        <w:t xml:space="preserve">article 6 de la Convention </w:t>
      </w:r>
      <w:r w:rsidR="00932BD9" w:rsidRPr="0070292F">
        <w:rPr>
          <w:lang w:val="fr-FR"/>
        </w:rPr>
        <w:t>(</w:t>
      </w:r>
      <w:r w:rsidR="00932BD9" w:rsidRPr="0070292F">
        <w:rPr>
          <w:i/>
          <w:lang w:val="fr-FR"/>
        </w:rPr>
        <w:t>Guzzardi</w:t>
      </w:r>
      <w:r w:rsidR="00A600F4" w:rsidRPr="0070292F">
        <w:rPr>
          <w:lang w:val="fr-FR"/>
        </w:rPr>
        <w:t>,</w:t>
      </w:r>
      <w:r w:rsidR="00932BD9" w:rsidRPr="0070292F">
        <w:rPr>
          <w:i/>
          <w:lang w:val="fr-FR"/>
        </w:rPr>
        <w:t xml:space="preserve"> </w:t>
      </w:r>
      <w:r w:rsidR="00932BD9" w:rsidRPr="0070292F">
        <w:rPr>
          <w:lang w:val="fr-FR"/>
        </w:rPr>
        <w:t xml:space="preserve">précité, </w:t>
      </w:r>
      <w:r w:rsidR="006C12B0" w:rsidRPr="0070292F">
        <w:rPr>
          <w:lang w:val="fr-FR"/>
        </w:rPr>
        <w:t>§</w:t>
      </w:r>
      <w:r w:rsidR="00932BD9" w:rsidRPr="0070292F">
        <w:rPr>
          <w:lang w:val="fr-FR"/>
        </w:rPr>
        <w:t xml:space="preserve"> 108, </w:t>
      </w:r>
      <w:r w:rsidR="006C12B0" w:rsidRPr="0070292F">
        <w:rPr>
          <w:i/>
          <w:lang w:val="fr-FR"/>
        </w:rPr>
        <w:t>Raimondo</w:t>
      </w:r>
      <w:r w:rsidR="006C12B0" w:rsidRPr="0070292F">
        <w:rPr>
          <w:lang w:val="fr-FR"/>
        </w:rPr>
        <w:t>,</w:t>
      </w:r>
      <w:r w:rsidR="00F24E36" w:rsidRPr="0070292F">
        <w:rPr>
          <w:lang w:val="fr-FR"/>
        </w:rPr>
        <w:t xml:space="preserve"> pr</w:t>
      </w:r>
      <w:r w:rsidR="00F24E36" w:rsidRPr="0070292F">
        <w:rPr>
          <w:rFonts w:cstheme="minorHAnsi"/>
          <w:lang w:val="fr-FR"/>
        </w:rPr>
        <w:t>écité,</w:t>
      </w:r>
      <w:r w:rsidR="006C12B0" w:rsidRPr="0070292F">
        <w:rPr>
          <w:lang w:val="fr-FR"/>
        </w:rPr>
        <w:t xml:space="preserve"> § 43</w:t>
      </w:r>
      <w:r w:rsidR="00932BD9" w:rsidRPr="0070292F">
        <w:rPr>
          <w:lang w:val="fr-FR"/>
        </w:rPr>
        <w:t>)</w:t>
      </w:r>
      <w:r w:rsidR="00CB0F37" w:rsidRPr="0070292F">
        <w:rPr>
          <w:lang w:val="fr-FR"/>
        </w:rPr>
        <w:t>.</w:t>
      </w:r>
      <w:r w:rsidR="00850024" w:rsidRPr="0070292F">
        <w:rPr>
          <w:lang w:val="fr-FR"/>
        </w:rPr>
        <w:t xml:space="preserve"> </w:t>
      </w:r>
      <w:r w:rsidR="00932BD9" w:rsidRPr="0070292F">
        <w:rPr>
          <w:lang w:val="fr-FR"/>
        </w:rPr>
        <w:t>Reste à savoir si l</w:t>
      </w:r>
      <w:r w:rsidR="0070292F" w:rsidRPr="0070292F">
        <w:rPr>
          <w:lang w:val="fr-FR"/>
        </w:rPr>
        <w:t>’</w:t>
      </w:r>
      <w:r w:rsidR="00932BD9" w:rsidRPr="0070292F">
        <w:rPr>
          <w:lang w:val="fr-FR"/>
        </w:rPr>
        <w:t>article 6 § 1 de la Convention trouve à s</w:t>
      </w:r>
      <w:r w:rsidR="0070292F" w:rsidRPr="0070292F">
        <w:rPr>
          <w:lang w:val="fr-FR"/>
        </w:rPr>
        <w:t>’</w:t>
      </w:r>
      <w:r w:rsidR="00932BD9" w:rsidRPr="0070292F">
        <w:rPr>
          <w:lang w:val="fr-FR"/>
        </w:rPr>
        <w:t xml:space="preserve">appliquer </w:t>
      </w:r>
      <w:r w:rsidR="00A600F4" w:rsidRPr="0070292F">
        <w:rPr>
          <w:lang w:val="fr-FR"/>
        </w:rPr>
        <w:t xml:space="preserve">sous </w:t>
      </w:r>
      <w:r w:rsidR="00932BD9" w:rsidRPr="0070292F">
        <w:rPr>
          <w:lang w:val="fr-FR"/>
        </w:rPr>
        <w:t xml:space="preserve">son volet </w:t>
      </w:r>
      <w:r w:rsidR="008B1A33" w:rsidRPr="0070292F">
        <w:rPr>
          <w:lang w:val="fr-FR"/>
        </w:rPr>
        <w:t>civil</w:t>
      </w:r>
      <w:r w:rsidR="00932BD9" w:rsidRPr="0070292F">
        <w:rPr>
          <w:lang w:val="fr-FR"/>
        </w:rPr>
        <w:t>.</w:t>
      </w:r>
    </w:p>
    <w:p w:rsidR="00F051F7" w:rsidRPr="0070292F" w:rsidRDefault="0062593E"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144</w:t>
      </w:r>
      <w:r w:rsidRPr="0070292F">
        <w:rPr>
          <w:lang w:val="fr-FR"/>
        </w:rPr>
        <w:fldChar w:fldCharType="end"/>
      </w:r>
      <w:r w:rsidRPr="0070292F">
        <w:rPr>
          <w:lang w:val="fr-FR"/>
        </w:rPr>
        <w:t>.  </w:t>
      </w:r>
      <w:r w:rsidR="00F051F7" w:rsidRPr="0070292F">
        <w:rPr>
          <w:lang w:val="fr-FR"/>
        </w:rPr>
        <w:t>La Cour rappelle que, pour que l</w:t>
      </w:r>
      <w:r w:rsidR="0070292F" w:rsidRPr="0070292F">
        <w:rPr>
          <w:lang w:val="fr-FR"/>
        </w:rPr>
        <w:t>’</w:t>
      </w:r>
      <w:r w:rsidR="00F051F7" w:rsidRPr="0070292F">
        <w:rPr>
          <w:lang w:val="fr-FR"/>
        </w:rPr>
        <w:t>artic</w:t>
      </w:r>
      <w:r w:rsidR="00A2286E" w:rsidRPr="0070292F">
        <w:rPr>
          <w:lang w:val="fr-FR"/>
        </w:rPr>
        <w:t>le 6 § 1 sous son volet «</w:t>
      </w:r>
      <w:r w:rsidR="00B96ACA" w:rsidRPr="0070292F">
        <w:rPr>
          <w:lang w:val="fr-FR"/>
        </w:rPr>
        <w:t> </w:t>
      </w:r>
      <w:r w:rsidR="00A2286E" w:rsidRPr="0070292F">
        <w:rPr>
          <w:lang w:val="fr-FR"/>
        </w:rPr>
        <w:t>civil</w:t>
      </w:r>
      <w:r w:rsidR="00B96ACA" w:rsidRPr="0070292F">
        <w:rPr>
          <w:lang w:val="fr-FR"/>
        </w:rPr>
        <w:t> </w:t>
      </w:r>
      <w:r w:rsidR="00F051F7" w:rsidRPr="0070292F">
        <w:rPr>
          <w:lang w:val="fr-FR"/>
        </w:rPr>
        <w:t>» trouve à s</w:t>
      </w:r>
      <w:r w:rsidR="0070292F" w:rsidRPr="0070292F">
        <w:rPr>
          <w:lang w:val="fr-FR"/>
        </w:rPr>
        <w:t>’</w:t>
      </w:r>
      <w:r w:rsidR="00F051F7" w:rsidRPr="0070292F">
        <w:rPr>
          <w:lang w:val="fr-FR"/>
        </w:rPr>
        <w:t>appliquer, il faut qu</w:t>
      </w:r>
      <w:r w:rsidR="0070292F" w:rsidRPr="0070292F">
        <w:rPr>
          <w:lang w:val="fr-FR"/>
        </w:rPr>
        <w:t>’</w:t>
      </w:r>
      <w:r w:rsidR="00F051F7" w:rsidRPr="0070292F">
        <w:rPr>
          <w:lang w:val="fr-FR"/>
        </w:rPr>
        <w:t>il y ait «</w:t>
      </w:r>
      <w:r w:rsidR="00475551" w:rsidRPr="0070292F">
        <w:rPr>
          <w:lang w:val="fr-FR"/>
        </w:rPr>
        <w:t> </w:t>
      </w:r>
      <w:r w:rsidR="00F051F7" w:rsidRPr="0070292F">
        <w:rPr>
          <w:lang w:val="fr-FR"/>
        </w:rPr>
        <w:t>contestation</w:t>
      </w:r>
      <w:r w:rsidR="00475551" w:rsidRPr="0070292F">
        <w:rPr>
          <w:lang w:val="fr-FR"/>
        </w:rPr>
        <w:t> </w:t>
      </w:r>
      <w:r w:rsidR="00F051F7" w:rsidRPr="0070292F">
        <w:rPr>
          <w:lang w:val="fr-FR"/>
        </w:rPr>
        <w:t>» sur un «</w:t>
      </w:r>
      <w:r w:rsidR="00B96ACA" w:rsidRPr="0070292F">
        <w:rPr>
          <w:lang w:val="fr-FR"/>
        </w:rPr>
        <w:t> </w:t>
      </w:r>
      <w:r w:rsidR="00F051F7" w:rsidRPr="0070292F">
        <w:rPr>
          <w:lang w:val="fr-FR"/>
        </w:rPr>
        <w:t>droit</w:t>
      </w:r>
      <w:r w:rsidR="00B96ACA" w:rsidRPr="0070292F">
        <w:rPr>
          <w:lang w:val="fr-FR"/>
        </w:rPr>
        <w:t> </w:t>
      </w:r>
      <w:r w:rsidR="00F051F7" w:rsidRPr="0070292F">
        <w:rPr>
          <w:lang w:val="fr-FR"/>
        </w:rPr>
        <w:t>» que l</w:t>
      </w:r>
      <w:r w:rsidR="0070292F" w:rsidRPr="0070292F">
        <w:rPr>
          <w:lang w:val="fr-FR"/>
        </w:rPr>
        <w:t>’</w:t>
      </w:r>
      <w:r w:rsidR="00F051F7" w:rsidRPr="0070292F">
        <w:rPr>
          <w:lang w:val="fr-FR"/>
        </w:rPr>
        <w:t>on peut prétendre, au moins de manière défendable, reconnu en droit interne, et ce qu</w:t>
      </w:r>
      <w:r w:rsidR="0070292F" w:rsidRPr="0070292F">
        <w:rPr>
          <w:lang w:val="fr-FR"/>
        </w:rPr>
        <w:t>’</w:t>
      </w:r>
      <w:r w:rsidR="00F051F7" w:rsidRPr="0070292F">
        <w:rPr>
          <w:lang w:val="fr-FR"/>
        </w:rPr>
        <w:t>il soit protégé par la Convention ou non. Il doit s</w:t>
      </w:r>
      <w:r w:rsidR="0070292F" w:rsidRPr="0070292F">
        <w:rPr>
          <w:lang w:val="fr-FR"/>
        </w:rPr>
        <w:t>’</w:t>
      </w:r>
      <w:r w:rsidR="00F051F7" w:rsidRPr="0070292F">
        <w:rPr>
          <w:lang w:val="fr-FR"/>
        </w:rPr>
        <w:t>agir d</w:t>
      </w:r>
      <w:r w:rsidR="0070292F" w:rsidRPr="0070292F">
        <w:rPr>
          <w:lang w:val="fr-FR"/>
        </w:rPr>
        <w:t>’</w:t>
      </w:r>
      <w:r w:rsidR="00F051F7" w:rsidRPr="0070292F">
        <w:rPr>
          <w:lang w:val="fr-FR"/>
        </w:rPr>
        <w:t>une contestation réelle et sérieuse</w:t>
      </w:r>
      <w:r w:rsidR="00A600F4" w:rsidRPr="0070292F">
        <w:rPr>
          <w:lang w:val="fr-FR"/>
        </w:rPr>
        <w:t> </w:t>
      </w:r>
      <w:r w:rsidR="00F051F7" w:rsidRPr="0070292F">
        <w:rPr>
          <w:lang w:val="fr-FR"/>
        </w:rPr>
        <w:t>; elle peut concerner aussi bien l</w:t>
      </w:r>
      <w:r w:rsidR="0070292F" w:rsidRPr="0070292F">
        <w:rPr>
          <w:lang w:val="fr-FR"/>
        </w:rPr>
        <w:t>’</w:t>
      </w:r>
      <w:r w:rsidR="00F051F7" w:rsidRPr="0070292F">
        <w:rPr>
          <w:lang w:val="fr-FR"/>
        </w:rPr>
        <w:t>existence même d</w:t>
      </w:r>
      <w:r w:rsidR="0070292F" w:rsidRPr="0070292F">
        <w:rPr>
          <w:lang w:val="fr-FR"/>
        </w:rPr>
        <w:t>’</w:t>
      </w:r>
      <w:r w:rsidR="00F051F7" w:rsidRPr="0070292F">
        <w:rPr>
          <w:lang w:val="fr-FR"/>
        </w:rPr>
        <w:t>un droit que son étendue ou ses modalités d</w:t>
      </w:r>
      <w:r w:rsidR="0070292F" w:rsidRPr="0070292F">
        <w:rPr>
          <w:lang w:val="fr-FR"/>
        </w:rPr>
        <w:t>’</w:t>
      </w:r>
      <w:r w:rsidR="00F051F7" w:rsidRPr="0070292F">
        <w:rPr>
          <w:lang w:val="fr-FR"/>
        </w:rPr>
        <w:t>exercice</w:t>
      </w:r>
      <w:r w:rsidR="00A600F4" w:rsidRPr="0070292F">
        <w:rPr>
          <w:lang w:val="fr-FR"/>
        </w:rPr>
        <w:t> </w:t>
      </w:r>
      <w:r w:rsidR="00F051F7" w:rsidRPr="0070292F">
        <w:rPr>
          <w:lang w:val="fr-FR"/>
        </w:rPr>
        <w:t>; enfin, l</w:t>
      </w:r>
      <w:r w:rsidR="0070292F" w:rsidRPr="0070292F">
        <w:rPr>
          <w:lang w:val="fr-FR"/>
        </w:rPr>
        <w:t>’</w:t>
      </w:r>
      <w:r w:rsidR="00F051F7" w:rsidRPr="0070292F">
        <w:rPr>
          <w:lang w:val="fr-FR"/>
        </w:rPr>
        <w:t>issue de la procédure doit être directement déterminante pour le droit en question, un lien ténu ou des répercussions lointaines ne suffisant pas à faire entrer en jeu l</w:t>
      </w:r>
      <w:r w:rsidR="0070292F" w:rsidRPr="0070292F">
        <w:rPr>
          <w:lang w:val="fr-FR"/>
        </w:rPr>
        <w:t>’</w:t>
      </w:r>
      <w:r w:rsidR="00F051F7" w:rsidRPr="0070292F">
        <w:rPr>
          <w:lang w:val="fr-FR"/>
        </w:rPr>
        <w:t>article 6 § 1 (voir, parmi bien d</w:t>
      </w:r>
      <w:r w:rsidR="0070292F" w:rsidRPr="0070292F">
        <w:rPr>
          <w:lang w:val="fr-FR"/>
        </w:rPr>
        <w:t>’</w:t>
      </w:r>
      <w:r w:rsidR="00F051F7" w:rsidRPr="0070292F">
        <w:rPr>
          <w:lang w:val="fr-FR"/>
        </w:rPr>
        <w:t xml:space="preserve">autres, </w:t>
      </w:r>
      <w:r w:rsidR="00C83AAC" w:rsidRPr="0070292F">
        <w:rPr>
          <w:i/>
          <w:lang w:val="fr-FR"/>
        </w:rPr>
        <w:t>Mennitto c.</w:t>
      </w:r>
      <w:r w:rsidR="00766937" w:rsidRPr="0070292F">
        <w:rPr>
          <w:i/>
          <w:lang w:val="fr-FR"/>
        </w:rPr>
        <w:t> </w:t>
      </w:r>
      <w:r w:rsidR="00C83AAC" w:rsidRPr="0070292F">
        <w:rPr>
          <w:i/>
          <w:lang w:val="fr-FR"/>
        </w:rPr>
        <w:t>Italie</w:t>
      </w:r>
      <w:r w:rsidR="00C83AAC" w:rsidRPr="0070292F">
        <w:rPr>
          <w:lang w:val="fr-FR"/>
        </w:rPr>
        <w:t xml:space="preserve"> [GC], n</w:t>
      </w:r>
      <w:r w:rsidR="00C83AAC" w:rsidRPr="0070292F">
        <w:rPr>
          <w:vertAlign w:val="superscript"/>
          <w:lang w:val="fr-FR"/>
        </w:rPr>
        <w:t>o</w:t>
      </w:r>
      <w:r w:rsidR="0070292F" w:rsidRPr="0070292F">
        <w:rPr>
          <w:lang w:val="fr-FR"/>
        </w:rPr>
        <w:t> </w:t>
      </w:r>
      <w:r w:rsidR="00C83AAC" w:rsidRPr="0070292F">
        <w:rPr>
          <w:lang w:val="fr-FR"/>
        </w:rPr>
        <w:t>33804/96, § 23, CEDH 2000</w:t>
      </w:r>
      <w:r w:rsidR="00C83AAC" w:rsidRPr="0070292F">
        <w:rPr>
          <w:lang w:val="fr-FR"/>
        </w:rPr>
        <w:noBreakHyphen/>
        <w:t xml:space="preserve">X, </w:t>
      </w:r>
      <w:r w:rsidR="00F051F7" w:rsidRPr="0070292F">
        <w:rPr>
          <w:i/>
          <w:lang w:val="fr-FR"/>
        </w:rPr>
        <w:t>Micallef c.</w:t>
      </w:r>
      <w:r w:rsidR="00A600F4" w:rsidRPr="0070292F">
        <w:rPr>
          <w:i/>
          <w:lang w:val="fr-FR"/>
        </w:rPr>
        <w:t> </w:t>
      </w:r>
      <w:r w:rsidR="00F051F7" w:rsidRPr="0070292F">
        <w:rPr>
          <w:i/>
          <w:lang w:val="fr-FR"/>
        </w:rPr>
        <w:t>Malte</w:t>
      </w:r>
      <w:r w:rsidR="00F051F7" w:rsidRPr="0070292F">
        <w:rPr>
          <w:lang w:val="fr-FR"/>
        </w:rPr>
        <w:t xml:space="preserve"> [GC], n</w:t>
      </w:r>
      <w:r w:rsidR="008C1E94" w:rsidRPr="0070292F">
        <w:rPr>
          <w:vertAlign w:val="superscript"/>
          <w:lang w:val="fr-FR"/>
        </w:rPr>
        <w:t>o</w:t>
      </w:r>
      <w:r w:rsidR="00C83AAC" w:rsidRPr="0070292F">
        <w:rPr>
          <w:lang w:val="fr-FR"/>
        </w:rPr>
        <w:t> </w:t>
      </w:r>
      <w:hyperlink r:id="rId25" w:anchor="{&quot;appno&quot;:[&quot;17056/06&quot;]}" w:tgtFrame="_blank" w:history="1">
        <w:r w:rsidR="00F051F7" w:rsidRPr="0070292F">
          <w:rPr>
            <w:rStyle w:val="Collegamentoipertestuale"/>
            <w:color w:val="auto"/>
            <w:u w:val="none"/>
            <w:lang w:val="fr-FR"/>
          </w:rPr>
          <w:t>17056/06</w:t>
        </w:r>
      </w:hyperlink>
      <w:r w:rsidR="0070292F" w:rsidRPr="0070292F">
        <w:rPr>
          <w:lang w:val="fr-FR"/>
        </w:rPr>
        <w:t>, § </w:t>
      </w:r>
      <w:r w:rsidR="00F051F7" w:rsidRPr="0070292F">
        <w:rPr>
          <w:lang w:val="fr-FR"/>
        </w:rPr>
        <w:t xml:space="preserve">74, CEDH 2009, et </w:t>
      </w:r>
      <w:r w:rsidR="00F051F7" w:rsidRPr="0070292F">
        <w:rPr>
          <w:i/>
          <w:lang w:val="fr-FR"/>
        </w:rPr>
        <w:t>Boulois c. Luxembourg</w:t>
      </w:r>
      <w:r w:rsidR="00F051F7" w:rsidRPr="0070292F">
        <w:rPr>
          <w:lang w:val="fr-FR"/>
        </w:rPr>
        <w:t xml:space="preserve"> [GC], n</w:t>
      </w:r>
      <w:r w:rsidR="008C1E94" w:rsidRPr="0070292F">
        <w:rPr>
          <w:vertAlign w:val="superscript"/>
          <w:lang w:val="fr-FR"/>
        </w:rPr>
        <w:t>o</w:t>
      </w:r>
      <w:r w:rsidR="00C83AAC" w:rsidRPr="0070292F">
        <w:rPr>
          <w:lang w:val="fr-FR"/>
        </w:rPr>
        <w:t> </w:t>
      </w:r>
      <w:hyperlink r:id="rId26" w:anchor="{&quot;appno&quot;:[&quot;37575/04&quot;]}" w:tgtFrame="_blank" w:history="1">
        <w:r w:rsidR="00F051F7" w:rsidRPr="0070292F">
          <w:rPr>
            <w:rStyle w:val="Collegamentoipertestuale"/>
            <w:color w:val="auto"/>
            <w:u w:val="none"/>
            <w:lang w:val="fr-FR"/>
          </w:rPr>
          <w:t>37575/04</w:t>
        </w:r>
      </w:hyperlink>
      <w:r w:rsidR="0070292F" w:rsidRPr="0070292F">
        <w:rPr>
          <w:lang w:val="fr-FR"/>
        </w:rPr>
        <w:t>, § 90, CEDH </w:t>
      </w:r>
      <w:r w:rsidR="00F051F7" w:rsidRPr="0070292F">
        <w:rPr>
          <w:lang w:val="fr-FR"/>
        </w:rPr>
        <w:t>2012).</w:t>
      </w:r>
    </w:p>
    <w:p w:rsidR="005356FD" w:rsidRPr="0070292F" w:rsidRDefault="0062593E" w:rsidP="0070292F">
      <w:pPr>
        <w:pStyle w:val="ECHRPara"/>
        <w:rPr>
          <w:lang w:val="fr-FR"/>
        </w:rPr>
      </w:pPr>
      <w:r w:rsidRPr="0070292F">
        <w:rPr>
          <w:lang w:val="fr-FR"/>
        </w:rPr>
        <w:lastRenderedPageBreak/>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145</w:t>
      </w:r>
      <w:r w:rsidRPr="0070292F">
        <w:rPr>
          <w:lang w:val="fr-FR"/>
        </w:rPr>
        <w:fldChar w:fldCharType="end"/>
      </w:r>
      <w:r w:rsidRPr="0070292F">
        <w:rPr>
          <w:lang w:val="fr-FR"/>
        </w:rPr>
        <w:t>.  </w:t>
      </w:r>
      <w:r w:rsidR="00F051F7" w:rsidRPr="0070292F">
        <w:rPr>
          <w:lang w:val="fr-FR"/>
        </w:rPr>
        <w:t>À cet égard, la nature de la loi suivant laquelle la contestation doit être tranchée (loi civile, commerciale, administrative, etc.) et celle de l</w:t>
      </w:r>
      <w:r w:rsidR="0070292F" w:rsidRPr="0070292F">
        <w:rPr>
          <w:lang w:val="fr-FR"/>
        </w:rPr>
        <w:t>’</w:t>
      </w:r>
      <w:r w:rsidR="00F051F7" w:rsidRPr="0070292F">
        <w:rPr>
          <w:lang w:val="fr-FR"/>
        </w:rPr>
        <w:t>autorité compétente en la matière (juridiction de droit commun, organe administratif, etc.) ne revêtent pas une importance déterminante (</w:t>
      </w:r>
      <w:r w:rsidR="00F051F7" w:rsidRPr="0070292F">
        <w:rPr>
          <w:i/>
          <w:lang w:val="fr-FR"/>
        </w:rPr>
        <w:t>Micallef,</w:t>
      </w:r>
      <w:r w:rsidR="00F051F7" w:rsidRPr="0070292F">
        <w:rPr>
          <w:lang w:val="fr-FR"/>
        </w:rPr>
        <w:t xml:space="preserve"> précité, § 74).</w:t>
      </w:r>
    </w:p>
    <w:p w:rsidR="00CE4A17" w:rsidRPr="0070292F" w:rsidRDefault="0062593E" w:rsidP="0070292F">
      <w:pPr>
        <w:pStyle w:val="ECHRPara"/>
        <w:rPr>
          <w:iCs/>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146</w:t>
      </w:r>
      <w:r w:rsidRPr="0070292F">
        <w:rPr>
          <w:lang w:val="fr-FR"/>
        </w:rPr>
        <w:fldChar w:fldCharType="end"/>
      </w:r>
      <w:r w:rsidRPr="0070292F">
        <w:rPr>
          <w:lang w:val="fr-FR"/>
        </w:rPr>
        <w:t>.  </w:t>
      </w:r>
      <w:r w:rsidR="00E64347" w:rsidRPr="0070292F">
        <w:rPr>
          <w:lang w:val="fr-FR"/>
        </w:rPr>
        <w:t>L</w:t>
      </w:r>
      <w:r w:rsidR="00CE4A17" w:rsidRPr="0070292F">
        <w:rPr>
          <w:lang w:val="fr-FR"/>
        </w:rPr>
        <w:t>a Cour note qu</w:t>
      </w:r>
      <w:r w:rsidR="0070292F" w:rsidRPr="0070292F">
        <w:rPr>
          <w:lang w:val="fr-FR"/>
        </w:rPr>
        <w:t>’</w:t>
      </w:r>
      <w:r w:rsidR="00CE4A17" w:rsidRPr="0070292F">
        <w:rPr>
          <w:lang w:val="fr-FR"/>
        </w:rPr>
        <w:t>à la différence de l</w:t>
      </w:r>
      <w:r w:rsidR="0070292F" w:rsidRPr="0070292F">
        <w:rPr>
          <w:lang w:val="fr-FR"/>
        </w:rPr>
        <w:t>’</w:t>
      </w:r>
      <w:r w:rsidR="00CE4A17" w:rsidRPr="0070292F">
        <w:rPr>
          <w:lang w:val="fr-FR"/>
        </w:rPr>
        <w:t xml:space="preserve">affaire </w:t>
      </w:r>
      <w:r w:rsidR="00CE4A17" w:rsidRPr="0070292F">
        <w:rPr>
          <w:i/>
          <w:lang w:val="fr-FR"/>
        </w:rPr>
        <w:t>Guzzardi</w:t>
      </w:r>
      <w:r w:rsidR="00CE4A17" w:rsidRPr="0070292F">
        <w:rPr>
          <w:lang w:val="fr-FR"/>
        </w:rPr>
        <w:t xml:space="preserve">, </w:t>
      </w:r>
      <w:r w:rsidR="00A600F4" w:rsidRPr="0070292F">
        <w:rPr>
          <w:lang w:val="fr-FR"/>
        </w:rPr>
        <w:t>l</w:t>
      </w:r>
      <w:r w:rsidR="0070292F" w:rsidRPr="0070292F">
        <w:rPr>
          <w:lang w:val="fr-FR"/>
        </w:rPr>
        <w:t>’</w:t>
      </w:r>
      <w:r w:rsidR="00A600F4" w:rsidRPr="0070292F">
        <w:rPr>
          <w:lang w:val="fr-FR"/>
        </w:rPr>
        <w:t>espèce se caractérise par le fait que</w:t>
      </w:r>
      <w:r w:rsidR="00CE4A17" w:rsidRPr="0070292F">
        <w:rPr>
          <w:lang w:val="fr-FR"/>
        </w:rPr>
        <w:t xml:space="preserve"> les mesures de prévention appliquées au requérant ne </w:t>
      </w:r>
      <w:r w:rsidR="00C83AAC" w:rsidRPr="0070292F">
        <w:rPr>
          <w:lang w:val="fr-FR"/>
        </w:rPr>
        <w:t>s</w:t>
      </w:r>
      <w:r w:rsidR="0070292F" w:rsidRPr="0070292F">
        <w:rPr>
          <w:lang w:val="fr-FR"/>
        </w:rPr>
        <w:t>’</w:t>
      </w:r>
      <w:r w:rsidR="00C83AAC" w:rsidRPr="0070292F">
        <w:rPr>
          <w:lang w:val="fr-FR"/>
        </w:rPr>
        <w:t>analysent pas en une privation de lib</w:t>
      </w:r>
      <w:r w:rsidR="00766937" w:rsidRPr="0070292F">
        <w:rPr>
          <w:lang w:val="fr-FR"/>
        </w:rPr>
        <w:t>e</w:t>
      </w:r>
      <w:r w:rsidR="00C83AAC" w:rsidRPr="0070292F">
        <w:rPr>
          <w:lang w:val="fr-FR"/>
        </w:rPr>
        <w:t>rté au sens de l</w:t>
      </w:r>
      <w:r w:rsidR="0070292F" w:rsidRPr="0070292F">
        <w:rPr>
          <w:lang w:val="fr-FR"/>
        </w:rPr>
        <w:t>’</w:t>
      </w:r>
      <w:r w:rsidR="00C83AAC" w:rsidRPr="0070292F">
        <w:rPr>
          <w:lang w:val="fr-FR"/>
        </w:rPr>
        <w:t xml:space="preserve">article 5 § 1 de la Convention mais en </w:t>
      </w:r>
      <w:r w:rsidR="00CE4A17" w:rsidRPr="0070292F">
        <w:rPr>
          <w:iCs/>
          <w:lang w:val="fr-FR"/>
        </w:rPr>
        <w:t xml:space="preserve">des restrictions à sa liberté de circulation. </w:t>
      </w:r>
      <w:r w:rsidR="00A600F4" w:rsidRPr="0070292F">
        <w:rPr>
          <w:iCs/>
          <w:lang w:val="fr-FR"/>
        </w:rPr>
        <w:t xml:space="preserve">En </w:t>
      </w:r>
      <w:r w:rsidR="00CE4A17" w:rsidRPr="0070292F">
        <w:rPr>
          <w:iCs/>
          <w:lang w:val="fr-FR"/>
        </w:rPr>
        <w:t>conséquen</w:t>
      </w:r>
      <w:r w:rsidR="00A600F4" w:rsidRPr="0070292F">
        <w:rPr>
          <w:iCs/>
          <w:lang w:val="fr-FR"/>
        </w:rPr>
        <w:t>ce</w:t>
      </w:r>
      <w:r w:rsidR="00CE4A17" w:rsidRPr="0070292F">
        <w:rPr>
          <w:iCs/>
          <w:lang w:val="fr-FR"/>
        </w:rPr>
        <w:t xml:space="preserve">, la question de savoir si le droit à la liberté </w:t>
      </w:r>
      <w:r w:rsidR="003454E1" w:rsidRPr="0070292F">
        <w:rPr>
          <w:iCs/>
          <w:lang w:val="fr-FR"/>
        </w:rPr>
        <w:t xml:space="preserve">a </w:t>
      </w:r>
      <w:r w:rsidR="00CE4A17" w:rsidRPr="0070292F">
        <w:rPr>
          <w:iCs/>
          <w:lang w:val="fr-FR"/>
        </w:rPr>
        <w:t>un « caractère civil » ne se pose pas en l</w:t>
      </w:r>
      <w:r w:rsidR="0070292F" w:rsidRPr="0070292F">
        <w:rPr>
          <w:iCs/>
          <w:lang w:val="fr-FR"/>
        </w:rPr>
        <w:t>’</w:t>
      </w:r>
      <w:r w:rsidR="00CE4A17" w:rsidRPr="0070292F">
        <w:rPr>
          <w:iCs/>
          <w:lang w:val="fr-FR"/>
        </w:rPr>
        <w:t>espèce (</w:t>
      </w:r>
      <w:r w:rsidR="00CE4A17" w:rsidRPr="0070292F">
        <w:rPr>
          <w:i/>
          <w:iCs/>
          <w:lang w:val="fr-FR"/>
        </w:rPr>
        <w:t>Guzzardi</w:t>
      </w:r>
      <w:r w:rsidR="00CE4A17" w:rsidRPr="0070292F">
        <w:rPr>
          <w:iCs/>
          <w:lang w:val="fr-FR"/>
        </w:rPr>
        <w:t xml:space="preserve">, précité, § 108 ; voir aussi </w:t>
      </w:r>
      <w:r w:rsidR="00CE4A17" w:rsidRPr="0070292F">
        <w:rPr>
          <w:i/>
          <w:iCs/>
          <w:lang w:val="fr-FR"/>
        </w:rPr>
        <w:t>Aerts c. Belgique</w:t>
      </w:r>
      <w:r w:rsidR="00CE4A17" w:rsidRPr="0070292F">
        <w:rPr>
          <w:iCs/>
          <w:lang w:val="fr-FR"/>
        </w:rPr>
        <w:t>,</w:t>
      </w:r>
      <w:r w:rsidR="00CE4A17" w:rsidRPr="0070292F">
        <w:rPr>
          <w:i/>
          <w:iCs/>
          <w:lang w:val="fr-FR"/>
        </w:rPr>
        <w:t xml:space="preserve"> </w:t>
      </w:r>
      <w:r w:rsidR="00CE4A17" w:rsidRPr="0070292F">
        <w:rPr>
          <w:iCs/>
          <w:lang w:val="fr-FR"/>
        </w:rPr>
        <w:t xml:space="preserve">30 juillet 1998, § 59, </w:t>
      </w:r>
      <w:r w:rsidR="00CE4A17" w:rsidRPr="0070292F">
        <w:rPr>
          <w:i/>
          <w:iCs/>
          <w:lang w:val="fr-FR"/>
        </w:rPr>
        <w:t xml:space="preserve">Recueil </w:t>
      </w:r>
      <w:r w:rsidR="0098583C" w:rsidRPr="0070292F">
        <w:rPr>
          <w:i/>
          <w:iCs/>
          <w:lang w:val="fr-FR"/>
        </w:rPr>
        <w:t>des arrêts et décisions</w:t>
      </w:r>
      <w:r w:rsidR="0098583C" w:rsidRPr="0070292F">
        <w:rPr>
          <w:iCs/>
          <w:lang w:val="fr-FR"/>
        </w:rPr>
        <w:t xml:space="preserve"> 1998</w:t>
      </w:r>
      <w:r w:rsidR="0098583C" w:rsidRPr="0070292F">
        <w:rPr>
          <w:iCs/>
          <w:lang w:val="fr-FR"/>
        </w:rPr>
        <w:noBreakHyphen/>
        <w:t>V,</w:t>
      </w:r>
      <w:r w:rsidR="00CE4A17" w:rsidRPr="0070292F">
        <w:rPr>
          <w:i/>
          <w:iCs/>
          <w:lang w:val="fr-FR"/>
        </w:rPr>
        <w:t xml:space="preserve"> Laidin c. France </w:t>
      </w:r>
      <w:r w:rsidR="006C6B38" w:rsidRPr="0070292F">
        <w:rPr>
          <w:i/>
          <w:iCs/>
          <w:lang w:val="fr-FR"/>
        </w:rPr>
        <w:t>(</w:t>
      </w:r>
      <w:r w:rsidR="00CE4A17" w:rsidRPr="0070292F">
        <w:rPr>
          <w:i/>
          <w:iCs/>
          <w:lang w:val="fr-FR"/>
        </w:rPr>
        <w:t>n</w:t>
      </w:r>
      <w:r w:rsidR="00CE4A17" w:rsidRPr="0070292F">
        <w:rPr>
          <w:i/>
          <w:iCs/>
          <w:vertAlign w:val="superscript"/>
          <w:lang w:val="fr-FR"/>
        </w:rPr>
        <w:t>o</w:t>
      </w:r>
      <w:r w:rsidR="00CE4A17" w:rsidRPr="0070292F">
        <w:rPr>
          <w:i/>
          <w:iCs/>
          <w:lang w:val="fr-FR"/>
        </w:rPr>
        <w:t xml:space="preserve"> 2), </w:t>
      </w:r>
      <w:r w:rsidR="00CE4A17" w:rsidRPr="0070292F">
        <w:rPr>
          <w:iCs/>
          <w:lang w:val="fr-FR"/>
        </w:rPr>
        <w:t>n</w:t>
      </w:r>
      <w:r w:rsidR="00CE4A17" w:rsidRPr="0070292F">
        <w:rPr>
          <w:iCs/>
          <w:vertAlign w:val="superscript"/>
          <w:lang w:val="fr-FR"/>
        </w:rPr>
        <w:t>o</w:t>
      </w:r>
      <w:r w:rsidR="00CE4A17" w:rsidRPr="0070292F">
        <w:rPr>
          <w:iCs/>
          <w:lang w:val="fr-FR"/>
        </w:rPr>
        <w:t xml:space="preserve"> 39282/98, § 76, 7 janvier 2003).</w:t>
      </w:r>
    </w:p>
    <w:p w:rsidR="0070292F" w:rsidRPr="0070292F" w:rsidRDefault="0062593E" w:rsidP="0070292F">
      <w:pPr>
        <w:pStyle w:val="ECHRPara"/>
        <w:rPr>
          <w:lang w:val="fr-FR"/>
        </w:rPr>
      </w:pPr>
      <w:r w:rsidRPr="0070292F">
        <w:rPr>
          <w:iCs/>
          <w:lang w:val="fr-FR"/>
        </w:rPr>
        <w:fldChar w:fldCharType="begin"/>
      </w:r>
      <w:r w:rsidRPr="0070292F">
        <w:rPr>
          <w:iCs/>
          <w:lang w:val="fr-FR"/>
        </w:rPr>
        <w:instrText xml:space="preserve"> SEQ level0 \*arabic </w:instrText>
      </w:r>
      <w:r w:rsidRPr="0070292F">
        <w:rPr>
          <w:iCs/>
          <w:lang w:val="fr-FR"/>
        </w:rPr>
        <w:fldChar w:fldCharType="separate"/>
      </w:r>
      <w:r w:rsidR="0070292F" w:rsidRPr="0070292F">
        <w:rPr>
          <w:iCs/>
          <w:noProof/>
          <w:lang w:val="fr-FR"/>
        </w:rPr>
        <w:t>147</w:t>
      </w:r>
      <w:r w:rsidRPr="0070292F">
        <w:rPr>
          <w:iCs/>
          <w:lang w:val="fr-FR"/>
        </w:rPr>
        <w:fldChar w:fldCharType="end"/>
      </w:r>
      <w:r w:rsidRPr="0070292F">
        <w:rPr>
          <w:iCs/>
          <w:lang w:val="fr-FR"/>
        </w:rPr>
        <w:t>.  </w:t>
      </w:r>
      <w:r w:rsidR="001965E3" w:rsidRPr="0070292F">
        <w:rPr>
          <w:iCs/>
          <w:lang w:val="fr-FR"/>
        </w:rPr>
        <w:t>En revanche, la question de l</w:t>
      </w:r>
      <w:r w:rsidR="0070292F" w:rsidRPr="0070292F">
        <w:rPr>
          <w:iCs/>
          <w:lang w:val="fr-FR"/>
        </w:rPr>
        <w:t>’</w:t>
      </w:r>
      <w:r w:rsidR="001965E3" w:rsidRPr="0070292F">
        <w:rPr>
          <w:iCs/>
          <w:lang w:val="fr-FR"/>
        </w:rPr>
        <w:t>applicabilité de l</w:t>
      </w:r>
      <w:r w:rsidR="0070292F" w:rsidRPr="0070292F">
        <w:rPr>
          <w:iCs/>
          <w:lang w:val="fr-FR"/>
        </w:rPr>
        <w:t>’</w:t>
      </w:r>
      <w:r w:rsidR="00142A8F" w:rsidRPr="0070292F">
        <w:rPr>
          <w:iCs/>
          <w:lang w:val="fr-FR"/>
        </w:rPr>
        <w:t xml:space="preserve">article 6 </w:t>
      </w:r>
      <w:r w:rsidR="00A600F4" w:rsidRPr="0070292F">
        <w:rPr>
          <w:iCs/>
          <w:lang w:val="fr-FR"/>
        </w:rPr>
        <w:t xml:space="preserve">sous </w:t>
      </w:r>
      <w:r w:rsidR="00142A8F" w:rsidRPr="0070292F">
        <w:rPr>
          <w:iCs/>
          <w:lang w:val="fr-FR"/>
        </w:rPr>
        <w:t>son volet civil s</w:t>
      </w:r>
      <w:r w:rsidR="001965E3" w:rsidRPr="0070292F">
        <w:rPr>
          <w:iCs/>
          <w:lang w:val="fr-FR"/>
        </w:rPr>
        <w:t>e</w:t>
      </w:r>
      <w:r w:rsidR="00142A8F" w:rsidRPr="0070292F">
        <w:rPr>
          <w:iCs/>
          <w:lang w:val="fr-FR"/>
        </w:rPr>
        <w:t xml:space="preserve"> </w:t>
      </w:r>
      <w:r w:rsidR="001965E3" w:rsidRPr="0070292F">
        <w:rPr>
          <w:iCs/>
          <w:lang w:val="fr-FR"/>
        </w:rPr>
        <w:t xml:space="preserve">pose sous un autre aspect. </w:t>
      </w:r>
      <w:r w:rsidR="00A74C9A" w:rsidRPr="0070292F">
        <w:rPr>
          <w:lang w:val="fr-FR"/>
        </w:rPr>
        <w:t xml:space="preserve">La </w:t>
      </w:r>
      <w:r w:rsidR="003B2708" w:rsidRPr="0070292F">
        <w:rPr>
          <w:lang w:val="fr-FR"/>
        </w:rPr>
        <w:t>Cour</w:t>
      </w:r>
      <w:r w:rsidR="00E64347" w:rsidRPr="0070292F">
        <w:rPr>
          <w:lang w:val="fr-FR"/>
        </w:rPr>
        <w:t xml:space="preserve"> a jugé</w:t>
      </w:r>
      <w:r w:rsidR="00006981" w:rsidRPr="0070292F">
        <w:rPr>
          <w:lang w:val="fr-FR"/>
        </w:rPr>
        <w:t xml:space="preserve"> </w:t>
      </w:r>
      <w:r w:rsidR="00A600F4" w:rsidRPr="0070292F">
        <w:rPr>
          <w:lang w:val="fr-FR"/>
        </w:rPr>
        <w:t>– </w:t>
      </w:r>
      <w:r w:rsidR="001965E3" w:rsidRPr="0070292F">
        <w:rPr>
          <w:lang w:val="fr-FR"/>
        </w:rPr>
        <w:t xml:space="preserve">dans le contexte </w:t>
      </w:r>
      <w:r w:rsidR="0053437D" w:rsidRPr="0070292F">
        <w:rPr>
          <w:lang w:val="fr-FR"/>
        </w:rPr>
        <w:t>carcéral</w:t>
      </w:r>
      <w:r w:rsidR="00006981" w:rsidRPr="0070292F">
        <w:rPr>
          <w:lang w:val="fr-FR"/>
        </w:rPr>
        <w:t> </w:t>
      </w:r>
      <w:r w:rsidR="00A600F4" w:rsidRPr="0070292F">
        <w:rPr>
          <w:lang w:val="fr-FR"/>
        </w:rPr>
        <w:t>–</w:t>
      </w:r>
      <w:r w:rsidR="00E64347" w:rsidRPr="0070292F">
        <w:rPr>
          <w:lang w:val="fr-FR"/>
        </w:rPr>
        <w:t xml:space="preserve"> que certaines limitations des droits des détenus, ainsi que les répercussions qu</w:t>
      </w:r>
      <w:r w:rsidR="0070292F" w:rsidRPr="0070292F">
        <w:rPr>
          <w:lang w:val="fr-FR"/>
        </w:rPr>
        <w:t>’</w:t>
      </w:r>
      <w:r w:rsidR="00E64347" w:rsidRPr="0070292F">
        <w:rPr>
          <w:lang w:val="fr-FR"/>
        </w:rPr>
        <w:t>elles peuvent entraîner, relèvent de la notion de «</w:t>
      </w:r>
      <w:r w:rsidR="00A600F4" w:rsidRPr="0070292F">
        <w:rPr>
          <w:lang w:val="fr-FR"/>
        </w:rPr>
        <w:t> </w:t>
      </w:r>
      <w:r w:rsidR="00E64347" w:rsidRPr="0070292F">
        <w:rPr>
          <w:lang w:val="fr-FR"/>
        </w:rPr>
        <w:t>droits de caractère civil</w:t>
      </w:r>
      <w:r w:rsidR="00A600F4" w:rsidRPr="0070292F">
        <w:rPr>
          <w:lang w:val="fr-FR"/>
        </w:rPr>
        <w:t> </w:t>
      </w:r>
      <w:r w:rsidR="00E64347" w:rsidRPr="0070292F">
        <w:rPr>
          <w:lang w:val="fr-FR"/>
        </w:rPr>
        <w:t xml:space="preserve">». </w:t>
      </w:r>
      <w:r w:rsidR="00A600F4" w:rsidRPr="0070292F">
        <w:rPr>
          <w:rFonts w:cstheme="minorHAnsi"/>
          <w:lang w:val="fr-FR"/>
        </w:rPr>
        <w:t>À</w:t>
      </w:r>
      <w:r w:rsidR="00E64347" w:rsidRPr="0070292F">
        <w:rPr>
          <w:lang w:val="fr-FR"/>
        </w:rPr>
        <w:t xml:space="preserve"> titre d</w:t>
      </w:r>
      <w:r w:rsidR="0070292F" w:rsidRPr="0070292F">
        <w:rPr>
          <w:lang w:val="fr-FR"/>
        </w:rPr>
        <w:t>’</w:t>
      </w:r>
      <w:r w:rsidR="00E64347" w:rsidRPr="0070292F">
        <w:rPr>
          <w:lang w:val="fr-FR"/>
        </w:rPr>
        <w:t>exemple, la Cour ra</w:t>
      </w:r>
      <w:r w:rsidR="003454E1" w:rsidRPr="0070292F">
        <w:rPr>
          <w:lang w:val="fr-FR"/>
        </w:rPr>
        <w:t>ppelle qu</w:t>
      </w:r>
      <w:r w:rsidR="0070292F" w:rsidRPr="0070292F">
        <w:rPr>
          <w:lang w:val="fr-FR"/>
        </w:rPr>
        <w:t>’</w:t>
      </w:r>
      <w:r w:rsidR="00E64347" w:rsidRPr="0070292F">
        <w:rPr>
          <w:lang w:val="fr-FR"/>
        </w:rPr>
        <w:t>elle a jugé cette disposition applicable à certaines procédures disciplinaires dans le cadre de l</w:t>
      </w:r>
      <w:r w:rsidR="0070292F" w:rsidRPr="0070292F">
        <w:rPr>
          <w:lang w:val="fr-FR"/>
        </w:rPr>
        <w:t>’</w:t>
      </w:r>
      <w:r w:rsidR="00E64347" w:rsidRPr="0070292F">
        <w:rPr>
          <w:lang w:val="fr-FR"/>
        </w:rPr>
        <w:t>exécution des peines de prison (</w:t>
      </w:r>
      <w:r w:rsidR="00E64347" w:rsidRPr="0070292F">
        <w:rPr>
          <w:i/>
          <w:iCs/>
          <w:lang w:val="fr-FR"/>
        </w:rPr>
        <w:t>Gülmez c. Turquie,</w:t>
      </w:r>
      <w:r w:rsidR="00E64347" w:rsidRPr="0070292F">
        <w:rPr>
          <w:lang w:val="fr-FR"/>
        </w:rPr>
        <w:t xml:space="preserve"> n</w:t>
      </w:r>
      <w:r w:rsidR="008C1E94" w:rsidRPr="0070292F">
        <w:rPr>
          <w:vertAlign w:val="superscript"/>
          <w:lang w:val="fr-FR"/>
        </w:rPr>
        <w:t>o</w:t>
      </w:r>
      <w:r w:rsidR="00E64347" w:rsidRPr="0070292F">
        <w:rPr>
          <w:lang w:val="fr-FR"/>
        </w:rPr>
        <w:t xml:space="preserve"> </w:t>
      </w:r>
      <w:hyperlink r:id="rId27" w:anchor="{" w:history="1">
        <w:r w:rsidR="00E64347" w:rsidRPr="0070292F">
          <w:rPr>
            <w:rStyle w:val="Collegamentoipertestuale"/>
            <w:color w:val="auto"/>
            <w:u w:val="none"/>
            <w:lang w:val="fr-FR"/>
          </w:rPr>
          <w:t>16330/02</w:t>
        </w:r>
      </w:hyperlink>
      <w:r w:rsidR="00E64347" w:rsidRPr="0070292F">
        <w:rPr>
          <w:lang w:val="fr-FR"/>
        </w:rPr>
        <w:t>, §§ 27-31, 20 mai 2008</w:t>
      </w:r>
      <w:r w:rsidR="00142A8F" w:rsidRPr="0070292F">
        <w:rPr>
          <w:lang w:val="fr-FR"/>
        </w:rPr>
        <w:t xml:space="preserve">, </w:t>
      </w:r>
      <w:r w:rsidR="00A600F4" w:rsidRPr="0070292F">
        <w:rPr>
          <w:lang w:val="fr-FR"/>
        </w:rPr>
        <w:t xml:space="preserve">affaire dans laquelle </w:t>
      </w:r>
      <w:r w:rsidR="00142A8F" w:rsidRPr="0070292F">
        <w:rPr>
          <w:lang w:val="fr-FR"/>
        </w:rPr>
        <w:t xml:space="preserve">le requérant </w:t>
      </w:r>
      <w:r w:rsidR="003F7A1B" w:rsidRPr="0070292F">
        <w:rPr>
          <w:lang w:val="fr-FR"/>
        </w:rPr>
        <w:t>s</w:t>
      </w:r>
      <w:r w:rsidR="0070292F" w:rsidRPr="0070292F">
        <w:rPr>
          <w:lang w:val="fr-FR"/>
        </w:rPr>
        <w:t>’</w:t>
      </w:r>
      <w:r w:rsidR="003F7A1B" w:rsidRPr="0070292F">
        <w:rPr>
          <w:lang w:val="fr-FR"/>
        </w:rPr>
        <w:t>était vu</w:t>
      </w:r>
      <w:r w:rsidR="00142A8F" w:rsidRPr="0070292F">
        <w:rPr>
          <w:lang w:val="fr-FR"/>
        </w:rPr>
        <w:t xml:space="preserve"> interdi</w:t>
      </w:r>
      <w:r w:rsidR="003F7A1B" w:rsidRPr="0070292F">
        <w:rPr>
          <w:lang w:val="fr-FR"/>
        </w:rPr>
        <w:t>re les</w:t>
      </w:r>
      <w:r w:rsidR="00142A8F" w:rsidRPr="0070292F">
        <w:rPr>
          <w:lang w:val="fr-FR"/>
        </w:rPr>
        <w:t xml:space="preserve"> visite</w:t>
      </w:r>
      <w:r w:rsidR="003F7A1B" w:rsidRPr="0070292F">
        <w:rPr>
          <w:lang w:val="fr-FR"/>
        </w:rPr>
        <w:t>s</w:t>
      </w:r>
      <w:r w:rsidR="00142A8F" w:rsidRPr="0070292F">
        <w:rPr>
          <w:lang w:val="fr-FR"/>
        </w:rPr>
        <w:t xml:space="preserve"> pendant un an</w:t>
      </w:r>
      <w:r w:rsidR="00E64347" w:rsidRPr="0070292F">
        <w:rPr>
          <w:lang w:val="fr-FR"/>
        </w:rPr>
        <w:t>).</w:t>
      </w:r>
    </w:p>
    <w:p w:rsidR="005717F7" w:rsidRPr="0070292F" w:rsidRDefault="0062593E"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148</w:t>
      </w:r>
      <w:r w:rsidRPr="0070292F">
        <w:rPr>
          <w:lang w:val="fr-FR"/>
        </w:rPr>
        <w:fldChar w:fldCharType="end"/>
      </w:r>
      <w:r w:rsidRPr="0070292F">
        <w:rPr>
          <w:lang w:val="fr-FR"/>
        </w:rPr>
        <w:t>.  </w:t>
      </w:r>
      <w:r w:rsidR="00E64347" w:rsidRPr="0070292F">
        <w:rPr>
          <w:lang w:val="fr-FR"/>
        </w:rPr>
        <w:t xml:space="preserve">Dans les affaires </w:t>
      </w:r>
      <w:r w:rsidR="00E64347" w:rsidRPr="0070292F">
        <w:rPr>
          <w:i/>
          <w:iCs/>
          <w:lang w:val="fr-FR"/>
        </w:rPr>
        <w:t>Ganci c. Italie</w:t>
      </w:r>
      <w:r w:rsidR="00AB0906" w:rsidRPr="0070292F">
        <w:rPr>
          <w:lang w:val="fr-FR"/>
        </w:rPr>
        <w:t xml:space="preserve"> </w:t>
      </w:r>
      <w:r w:rsidR="003B2708" w:rsidRPr="0070292F">
        <w:rPr>
          <w:lang w:val="fr-FR"/>
        </w:rPr>
        <w:t>(</w:t>
      </w:r>
      <w:r w:rsidR="00E64347" w:rsidRPr="0070292F">
        <w:rPr>
          <w:lang w:val="fr-FR"/>
        </w:rPr>
        <w:t>n</w:t>
      </w:r>
      <w:r w:rsidR="008C1E94" w:rsidRPr="0070292F">
        <w:rPr>
          <w:vertAlign w:val="superscript"/>
          <w:lang w:val="fr-FR"/>
        </w:rPr>
        <w:t>o</w:t>
      </w:r>
      <w:r w:rsidR="00E64347" w:rsidRPr="0070292F">
        <w:rPr>
          <w:lang w:val="fr-FR"/>
        </w:rPr>
        <w:t xml:space="preserve"> 41576/98, §§</w:t>
      </w:r>
      <w:r w:rsidR="007B09E2" w:rsidRPr="0070292F">
        <w:rPr>
          <w:lang w:val="fr-FR"/>
        </w:rPr>
        <w:t xml:space="preserve"> </w:t>
      </w:r>
      <w:r w:rsidR="00E64347" w:rsidRPr="0070292F">
        <w:rPr>
          <w:lang w:val="fr-FR"/>
        </w:rPr>
        <w:t>20-26</w:t>
      </w:r>
      <w:r w:rsidR="00A600F4" w:rsidRPr="0070292F">
        <w:rPr>
          <w:lang w:val="fr-FR"/>
        </w:rPr>
        <w:t>,</w:t>
      </w:r>
      <w:r w:rsidR="0070292F" w:rsidRPr="0070292F">
        <w:rPr>
          <w:lang w:val="fr-FR"/>
        </w:rPr>
        <w:t xml:space="preserve"> CEDH </w:t>
      </w:r>
      <w:r w:rsidR="00E64347" w:rsidRPr="0070292F">
        <w:rPr>
          <w:lang w:val="fr-FR"/>
        </w:rPr>
        <w:t>2003</w:t>
      </w:r>
      <w:r w:rsidR="00E64347" w:rsidRPr="0070292F">
        <w:rPr>
          <w:lang w:val="fr-FR"/>
        </w:rPr>
        <w:noBreakHyphen/>
        <w:t>XI</w:t>
      </w:r>
      <w:r w:rsidR="003B2708" w:rsidRPr="0070292F">
        <w:rPr>
          <w:lang w:val="fr-FR"/>
        </w:rPr>
        <w:t>)</w:t>
      </w:r>
      <w:r w:rsidR="00365304" w:rsidRPr="0070292F">
        <w:rPr>
          <w:lang w:val="fr-FR"/>
        </w:rPr>
        <w:t xml:space="preserve">, </w:t>
      </w:r>
      <w:r w:rsidR="00E64347" w:rsidRPr="0070292F">
        <w:rPr>
          <w:i/>
          <w:iCs/>
          <w:lang w:val="fr-FR"/>
        </w:rPr>
        <w:t>Musumeci c. Italie</w:t>
      </w:r>
      <w:r w:rsidR="00E64347" w:rsidRPr="0070292F">
        <w:rPr>
          <w:lang w:val="fr-FR"/>
        </w:rPr>
        <w:t xml:space="preserve"> </w:t>
      </w:r>
      <w:r w:rsidR="003B2708" w:rsidRPr="0070292F">
        <w:rPr>
          <w:lang w:val="fr-FR"/>
        </w:rPr>
        <w:t>(</w:t>
      </w:r>
      <w:r w:rsidR="00E64347" w:rsidRPr="0070292F">
        <w:rPr>
          <w:lang w:val="fr-FR"/>
        </w:rPr>
        <w:t>n</w:t>
      </w:r>
      <w:r w:rsidR="008C1E94" w:rsidRPr="0070292F">
        <w:rPr>
          <w:vertAlign w:val="superscript"/>
          <w:lang w:val="fr-FR"/>
        </w:rPr>
        <w:t>o</w:t>
      </w:r>
      <w:r w:rsidR="003A7E59" w:rsidRPr="0070292F">
        <w:rPr>
          <w:lang w:val="fr-FR"/>
        </w:rPr>
        <w:t> </w:t>
      </w:r>
      <w:r w:rsidR="00E64347" w:rsidRPr="0070292F">
        <w:rPr>
          <w:lang w:val="fr-FR"/>
        </w:rPr>
        <w:t>33695/96, § 36, 11 janvier 2005)</w:t>
      </w:r>
      <w:r w:rsidR="00F25F53" w:rsidRPr="0070292F">
        <w:rPr>
          <w:lang w:val="fr-FR"/>
        </w:rPr>
        <w:t xml:space="preserve"> et </w:t>
      </w:r>
      <w:r w:rsidR="00F25F53" w:rsidRPr="0070292F">
        <w:rPr>
          <w:i/>
          <w:iCs/>
          <w:lang w:val="fr-FR"/>
        </w:rPr>
        <w:t>Enea c.</w:t>
      </w:r>
      <w:r w:rsidR="006D56F5" w:rsidRPr="0070292F">
        <w:rPr>
          <w:i/>
          <w:iCs/>
          <w:lang w:val="fr-FR"/>
        </w:rPr>
        <w:t> </w:t>
      </w:r>
      <w:r w:rsidR="00F25F53" w:rsidRPr="0070292F">
        <w:rPr>
          <w:i/>
          <w:iCs/>
          <w:lang w:val="fr-FR"/>
        </w:rPr>
        <w:t>Italie</w:t>
      </w:r>
      <w:r w:rsidR="00F25F53" w:rsidRPr="0070292F">
        <w:rPr>
          <w:lang w:val="fr-FR"/>
        </w:rPr>
        <w:t xml:space="preserve"> [GC] (n</w:t>
      </w:r>
      <w:r w:rsidR="008C1E94" w:rsidRPr="0070292F">
        <w:rPr>
          <w:vertAlign w:val="superscript"/>
          <w:lang w:val="fr-FR"/>
        </w:rPr>
        <w:t>o</w:t>
      </w:r>
      <w:r w:rsidR="00F25F53" w:rsidRPr="0070292F">
        <w:rPr>
          <w:lang w:val="fr-FR"/>
        </w:rPr>
        <w:t xml:space="preserve"> 74912/01, § 107, CEDH 2009)</w:t>
      </w:r>
      <w:r w:rsidR="00E64347" w:rsidRPr="0070292F">
        <w:rPr>
          <w:lang w:val="fr-FR"/>
        </w:rPr>
        <w:t>, la Cour a estimé l</w:t>
      </w:r>
      <w:r w:rsidR="0070292F" w:rsidRPr="0070292F">
        <w:rPr>
          <w:lang w:val="fr-FR"/>
        </w:rPr>
        <w:t>’</w:t>
      </w:r>
      <w:r w:rsidR="00E64347" w:rsidRPr="0070292F">
        <w:rPr>
          <w:lang w:val="fr-FR"/>
        </w:rPr>
        <w:t>article</w:t>
      </w:r>
      <w:r w:rsidR="006E67C3" w:rsidRPr="0070292F">
        <w:rPr>
          <w:lang w:val="fr-FR"/>
        </w:rPr>
        <w:t> </w:t>
      </w:r>
      <w:r w:rsidR="00E64347" w:rsidRPr="0070292F">
        <w:rPr>
          <w:lang w:val="fr-FR"/>
        </w:rPr>
        <w:t>6</w:t>
      </w:r>
      <w:r w:rsidR="0070292F" w:rsidRPr="0070292F">
        <w:rPr>
          <w:lang w:val="fr-FR"/>
        </w:rPr>
        <w:t xml:space="preserve"> </w:t>
      </w:r>
      <w:r w:rsidR="00E64347" w:rsidRPr="0070292F">
        <w:rPr>
          <w:lang w:val="fr-FR"/>
        </w:rPr>
        <w:t>§</w:t>
      </w:r>
      <w:r w:rsidR="006E67C3" w:rsidRPr="0070292F">
        <w:rPr>
          <w:lang w:val="fr-FR"/>
        </w:rPr>
        <w:t> </w:t>
      </w:r>
      <w:r w:rsidR="00E64347" w:rsidRPr="0070292F">
        <w:rPr>
          <w:lang w:val="fr-FR"/>
        </w:rPr>
        <w:t xml:space="preserve">1 applicable </w:t>
      </w:r>
      <w:r w:rsidR="00A600F4" w:rsidRPr="0070292F">
        <w:rPr>
          <w:lang w:val="fr-FR"/>
        </w:rPr>
        <w:t>à la</w:t>
      </w:r>
      <w:r w:rsidR="00E64347" w:rsidRPr="0070292F">
        <w:rPr>
          <w:lang w:val="fr-FR"/>
        </w:rPr>
        <w:t xml:space="preserve"> surveillance </w:t>
      </w:r>
      <w:r w:rsidR="00A600F4" w:rsidRPr="0070292F">
        <w:rPr>
          <w:lang w:val="fr-FR"/>
        </w:rPr>
        <w:t xml:space="preserve">de niveau </w:t>
      </w:r>
      <w:r w:rsidR="00E64347" w:rsidRPr="0070292F">
        <w:rPr>
          <w:lang w:val="fr-FR"/>
        </w:rPr>
        <w:t>élevé dont peuvent faire l</w:t>
      </w:r>
      <w:r w:rsidR="0070292F" w:rsidRPr="0070292F">
        <w:rPr>
          <w:lang w:val="fr-FR"/>
        </w:rPr>
        <w:t>’</w:t>
      </w:r>
      <w:r w:rsidR="00E64347" w:rsidRPr="0070292F">
        <w:rPr>
          <w:lang w:val="fr-FR"/>
        </w:rPr>
        <w:t xml:space="preserve">objet certains détenus en Italie. </w:t>
      </w:r>
      <w:r w:rsidR="005717F7" w:rsidRPr="0070292F">
        <w:rPr>
          <w:lang w:val="fr-FR"/>
        </w:rPr>
        <w:t>Dans ces affaires</w:t>
      </w:r>
      <w:r w:rsidR="00477F01" w:rsidRPr="0070292F">
        <w:rPr>
          <w:lang w:val="fr-FR"/>
        </w:rPr>
        <w:t>,</w:t>
      </w:r>
      <w:r w:rsidR="005717F7" w:rsidRPr="0070292F">
        <w:rPr>
          <w:lang w:val="fr-FR"/>
        </w:rPr>
        <w:t xml:space="preserve"> les restrictions imposées aux requérants concernaient essentiellement l</w:t>
      </w:r>
      <w:r w:rsidR="0070292F" w:rsidRPr="0070292F">
        <w:rPr>
          <w:lang w:val="fr-FR"/>
        </w:rPr>
        <w:t>’</w:t>
      </w:r>
      <w:r w:rsidR="005717F7" w:rsidRPr="0070292F">
        <w:rPr>
          <w:lang w:val="fr-FR"/>
        </w:rPr>
        <w:t xml:space="preserve">interdiction de </w:t>
      </w:r>
      <w:r w:rsidR="003F7A1B" w:rsidRPr="0070292F">
        <w:rPr>
          <w:lang w:val="fr-FR"/>
        </w:rPr>
        <w:t xml:space="preserve">recevoir </w:t>
      </w:r>
      <w:r w:rsidR="005717F7" w:rsidRPr="0070292F">
        <w:rPr>
          <w:lang w:val="fr-FR"/>
        </w:rPr>
        <w:t xml:space="preserve">un nombre </w:t>
      </w:r>
      <w:r w:rsidR="003F7A1B" w:rsidRPr="0070292F">
        <w:rPr>
          <w:lang w:val="fr-FR"/>
        </w:rPr>
        <w:t xml:space="preserve">mensuel </w:t>
      </w:r>
      <w:r w:rsidR="005717F7" w:rsidRPr="0070292F">
        <w:rPr>
          <w:lang w:val="fr-FR"/>
        </w:rPr>
        <w:t xml:space="preserve">donné de visites des membres de la famille, le contrôle continu de la </w:t>
      </w:r>
      <w:r w:rsidR="00A600F4" w:rsidRPr="0070292F">
        <w:rPr>
          <w:lang w:val="fr-FR"/>
        </w:rPr>
        <w:t xml:space="preserve">communication </w:t>
      </w:r>
      <w:r w:rsidR="005717F7" w:rsidRPr="0070292F">
        <w:rPr>
          <w:lang w:val="fr-FR"/>
        </w:rPr>
        <w:t>épistolaire et téléphonique</w:t>
      </w:r>
      <w:r w:rsidR="003F7A1B" w:rsidRPr="0070292F">
        <w:rPr>
          <w:lang w:val="fr-FR"/>
        </w:rPr>
        <w:t>,</w:t>
      </w:r>
      <w:r w:rsidR="005717F7" w:rsidRPr="0070292F">
        <w:rPr>
          <w:lang w:val="fr-FR"/>
        </w:rPr>
        <w:t xml:space="preserve"> ainsi que </w:t>
      </w:r>
      <w:r w:rsidR="00A600F4" w:rsidRPr="0070292F">
        <w:rPr>
          <w:lang w:val="fr-FR"/>
        </w:rPr>
        <w:t xml:space="preserve">la </w:t>
      </w:r>
      <w:r w:rsidR="005717F7" w:rsidRPr="0070292F">
        <w:rPr>
          <w:lang w:val="fr-FR"/>
        </w:rPr>
        <w:t xml:space="preserve">limitation de la promenade. </w:t>
      </w:r>
      <w:r w:rsidR="00A600F4" w:rsidRPr="0070292F">
        <w:rPr>
          <w:lang w:val="fr-FR"/>
        </w:rPr>
        <w:t>Ainsi</w:t>
      </w:r>
      <w:r w:rsidR="00F25F53" w:rsidRPr="0070292F">
        <w:rPr>
          <w:lang w:val="fr-FR"/>
        </w:rPr>
        <w:t>, d</w:t>
      </w:r>
      <w:r w:rsidR="00E64347" w:rsidRPr="0070292F">
        <w:rPr>
          <w:lang w:val="fr-FR"/>
        </w:rPr>
        <w:t>ans l</w:t>
      </w:r>
      <w:r w:rsidR="0070292F" w:rsidRPr="0070292F">
        <w:rPr>
          <w:lang w:val="fr-FR"/>
        </w:rPr>
        <w:t>’</w:t>
      </w:r>
      <w:r w:rsidR="00E64347" w:rsidRPr="0070292F">
        <w:rPr>
          <w:lang w:val="fr-FR"/>
        </w:rPr>
        <w:t xml:space="preserve">affaire </w:t>
      </w:r>
      <w:r w:rsidR="00F25F53" w:rsidRPr="0070292F">
        <w:rPr>
          <w:i/>
          <w:lang w:val="fr-FR"/>
        </w:rPr>
        <w:t>Enea</w:t>
      </w:r>
      <w:r w:rsidR="00F25F53" w:rsidRPr="0070292F">
        <w:rPr>
          <w:lang w:val="fr-FR"/>
        </w:rPr>
        <w:t xml:space="preserve"> </w:t>
      </w:r>
      <w:r w:rsidR="00E37932" w:rsidRPr="0070292F">
        <w:rPr>
          <w:lang w:val="fr-FR"/>
        </w:rPr>
        <w:t>(</w:t>
      </w:r>
      <w:r w:rsidR="00A600F4" w:rsidRPr="0070292F">
        <w:rPr>
          <w:lang w:val="fr-FR"/>
        </w:rPr>
        <w:t xml:space="preserve">arrêt </w:t>
      </w:r>
      <w:r w:rsidR="00F25F53" w:rsidRPr="0070292F">
        <w:rPr>
          <w:lang w:val="fr-FR"/>
        </w:rPr>
        <w:t>précité,</w:t>
      </w:r>
      <w:r w:rsidR="00E37932" w:rsidRPr="0070292F">
        <w:rPr>
          <w:lang w:val="fr-FR"/>
        </w:rPr>
        <w:t xml:space="preserve"> </w:t>
      </w:r>
      <w:r w:rsidR="00E37932" w:rsidRPr="0070292F">
        <w:rPr>
          <w:rFonts w:cstheme="minorHAnsi"/>
          <w:lang w:val="fr-FR"/>
        </w:rPr>
        <w:t>§</w:t>
      </w:r>
      <w:r w:rsidR="00E37932" w:rsidRPr="0070292F">
        <w:rPr>
          <w:lang w:val="fr-FR"/>
        </w:rPr>
        <w:t xml:space="preserve"> 107)</w:t>
      </w:r>
      <w:r w:rsidR="00F25F53" w:rsidRPr="0070292F">
        <w:rPr>
          <w:lang w:val="fr-FR"/>
        </w:rPr>
        <w:t xml:space="preserve"> la</w:t>
      </w:r>
      <w:r w:rsidR="00E64347" w:rsidRPr="0070292F">
        <w:rPr>
          <w:lang w:val="fr-FR"/>
        </w:rPr>
        <w:t xml:space="preserve"> Cour a </w:t>
      </w:r>
      <w:r w:rsidR="00A600F4" w:rsidRPr="0070292F">
        <w:rPr>
          <w:lang w:val="fr-FR"/>
        </w:rPr>
        <w:t xml:space="preserve">déclaré </w:t>
      </w:r>
      <w:r w:rsidR="00E64347" w:rsidRPr="0070292F">
        <w:rPr>
          <w:lang w:val="fr-FR"/>
        </w:rPr>
        <w:t xml:space="preserve">que le grief relatif aux restrictions que le requérant affirmait avoir subies à la suite de son placement </w:t>
      </w:r>
      <w:r w:rsidR="003F7A1B" w:rsidRPr="0070292F">
        <w:rPr>
          <w:lang w:val="fr-FR"/>
        </w:rPr>
        <w:t>en</w:t>
      </w:r>
      <w:r w:rsidR="00E64347" w:rsidRPr="0070292F">
        <w:rPr>
          <w:lang w:val="fr-FR"/>
        </w:rPr>
        <w:t xml:space="preserve"> secteur de haute sécurité était compatible </w:t>
      </w:r>
      <w:r w:rsidR="00E64347" w:rsidRPr="0070292F">
        <w:rPr>
          <w:i/>
          <w:iCs/>
          <w:lang w:val="fr-FR"/>
        </w:rPr>
        <w:t>ratione materiae</w:t>
      </w:r>
      <w:r w:rsidR="00E64347" w:rsidRPr="0070292F">
        <w:rPr>
          <w:lang w:val="fr-FR"/>
        </w:rPr>
        <w:t xml:space="preserve"> avec les dispositions de la Convention dès lors qu</w:t>
      </w:r>
      <w:r w:rsidR="0070292F" w:rsidRPr="0070292F">
        <w:rPr>
          <w:lang w:val="fr-FR"/>
        </w:rPr>
        <w:t>’</w:t>
      </w:r>
      <w:r w:rsidR="00E64347" w:rsidRPr="0070292F">
        <w:rPr>
          <w:lang w:val="fr-FR"/>
        </w:rPr>
        <w:t>il avait trait à l</w:t>
      </w:r>
      <w:r w:rsidR="0070292F" w:rsidRPr="0070292F">
        <w:rPr>
          <w:lang w:val="fr-FR"/>
        </w:rPr>
        <w:t>’</w:t>
      </w:r>
      <w:r w:rsidR="00E64347" w:rsidRPr="0070292F">
        <w:rPr>
          <w:lang w:val="fr-FR"/>
        </w:rPr>
        <w:t>article 6 sous son volet civil</w:t>
      </w:r>
      <w:r w:rsidR="001D1A6E" w:rsidRPr="0070292F">
        <w:rPr>
          <w:lang w:val="fr-FR"/>
        </w:rPr>
        <w:t>.</w:t>
      </w:r>
      <w:r w:rsidR="008554E6" w:rsidRPr="0070292F">
        <w:rPr>
          <w:lang w:val="fr-FR"/>
        </w:rPr>
        <w:t xml:space="preserve"> </w:t>
      </w:r>
      <w:r w:rsidR="00A600F4" w:rsidRPr="0070292F">
        <w:rPr>
          <w:lang w:val="fr-FR"/>
        </w:rPr>
        <w:t>Elle</w:t>
      </w:r>
      <w:r w:rsidR="00483225" w:rsidRPr="0070292F">
        <w:rPr>
          <w:lang w:val="fr-FR"/>
        </w:rPr>
        <w:t xml:space="preserve"> a jugé que certaines limitations alléguées par le requérant</w:t>
      </w:r>
      <w:r w:rsidR="00A600F4" w:rsidRPr="0070292F">
        <w:rPr>
          <w:lang w:val="fr-FR"/>
        </w:rPr>
        <w:t>,</w:t>
      </w:r>
      <w:r w:rsidR="00483225" w:rsidRPr="0070292F">
        <w:rPr>
          <w:lang w:val="fr-FR"/>
        </w:rPr>
        <w:t xml:space="preserve"> comme celles visant les contacts avec la famille</w:t>
      </w:r>
      <w:r w:rsidR="00A600F4" w:rsidRPr="0070292F">
        <w:rPr>
          <w:lang w:val="fr-FR"/>
        </w:rPr>
        <w:t>,</w:t>
      </w:r>
      <w:r w:rsidR="00483225" w:rsidRPr="0070292F">
        <w:rPr>
          <w:lang w:val="fr-FR"/>
        </w:rPr>
        <w:t xml:space="preserve"> relevaient des droits de la personne et</w:t>
      </w:r>
      <w:r w:rsidR="00A600F4" w:rsidRPr="0070292F">
        <w:rPr>
          <w:lang w:val="fr-FR"/>
        </w:rPr>
        <w:t>,</w:t>
      </w:r>
      <w:r w:rsidR="00483225" w:rsidRPr="0070292F">
        <w:rPr>
          <w:lang w:val="fr-FR"/>
        </w:rPr>
        <w:t xml:space="preserve"> partant, revêtaient un caractère civil (</w:t>
      </w:r>
      <w:r w:rsidR="00483225" w:rsidRPr="0070292F">
        <w:rPr>
          <w:i/>
          <w:lang w:val="fr-FR"/>
        </w:rPr>
        <w:t>Enea</w:t>
      </w:r>
      <w:r w:rsidR="005717F7" w:rsidRPr="0070292F">
        <w:rPr>
          <w:lang w:val="fr-FR"/>
        </w:rPr>
        <w:t>, précité</w:t>
      </w:r>
      <w:r w:rsidR="00A600F4" w:rsidRPr="0070292F">
        <w:rPr>
          <w:lang w:val="fr-FR"/>
        </w:rPr>
        <w:t>,</w:t>
      </w:r>
      <w:r w:rsidR="005717F7" w:rsidRPr="0070292F">
        <w:rPr>
          <w:lang w:val="fr-FR"/>
        </w:rPr>
        <w:t xml:space="preserve"> § 103).</w:t>
      </w:r>
    </w:p>
    <w:p w:rsidR="00483225" w:rsidRPr="0070292F" w:rsidRDefault="0062593E"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149</w:t>
      </w:r>
      <w:r w:rsidRPr="0070292F">
        <w:rPr>
          <w:lang w:val="fr-FR"/>
        </w:rPr>
        <w:fldChar w:fldCharType="end"/>
      </w:r>
      <w:r w:rsidRPr="0070292F">
        <w:rPr>
          <w:lang w:val="fr-FR"/>
        </w:rPr>
        <w:t>.  </w:t>
      </w:r>
      <w:r w:rsidR="001965E3" w:rsidRPr="0070292F">
        <w:rPr>
          <w:lang w:val="fr-FR"/>
        </w:rPr>
        <w:t xml:space="preserve">En outre, </w:t>
      </w:r>
      <w:r w:rsidR="005717F7" w:rsidRPr="0070292F">
        <w:rPr>
          <w:lang w:val="fr-FR"/>
        </w:rPr>
        <w:t>la Cour</w:t>
      </w:r>
      <w:r w:rsidR="00142A8F" w:rsidRPr="0070292F">
        <w:rPr>
          <w:lang w:val="fr-FR"/>
        </w:rPr>
        <w:t xml:space="preserve"> a conclu que </w:t>
      </w:r>
      <w:r w:rsidR="001965E3" w:rsidRPr="0070292F">
        <w:rPr>
          <w:lang w:val="fr-FR"/>
        </w:rPr>
        <w:t>toute restriction touchant les droits de caractère civil de l</w:t>
      </w:r>
      <w:r w:rsidR="0070292F" w:rsidRPr="0070292F">
        <w:rPr>
          <w:lang w:val="fr-FR"/>
        </w:rPr>
        <w:t>’</w:t>
      </w:r>
      <w:r w:rsidR="001965E3" w:rsidRPr="0070292F">
        <w:rPr>
          <w:lang w:val="fr-FR"/>
        </w:rPr>
        <w:t>individu doit pouvoir être contestée dans le cadre d</w:t>
      </w:r>
      <w:r w:rsidR="0070292F" w:rsidRPr="0070292F">
        <w:rPr>
          <w:lang w:val="fr-FR"/>
        </w:rPr>
        <w:t>’</w:t>
      </w:r>
      <w:r w:rsidR="001965E3" w:rsidRPr="0070292F">
        <w:rPr>
          <w:lang w:val="fr-FR"/>
        </w:rPr>
        <w:t>une procédure judiciaire, et ce en raison de la nature des limitations (par exemple, une interdiction de bénéficier d</w:t>
      </w:r>
      <w:r w:rsidR="0070292F" w:rsidRPr="0070292F">
        <w:rPr>
          <w:lang w:val="fr-FR"/>
        </w:rPr>
        <w:t>’</w:t>
      </w:r>
      <w:r w:rsidR="001965E3" w:rsidRPr="0070292F">
        <w:rPr>
          <w:lang w:val="fr-FR"/>
        </w:rPr>
        <w:t xml:space="preserve">un nombre donné de visites par mois des membres de la famille ou le contrôle continu de la </w:t>
      </w:r>
      <w:r w:rsidR="00A600F4" w:rsidRPr="0070292F">
        <w:rPr>
          <w:lang w:val="fr-FR"/>
        </w:rPr>
        <w:t xml:space="preserve">communication </w:t>
      </w:r>
      <w:r w:rsidR="001965E3" w:rsidRPr="0070292F">
        <w:rPr>
          <w:lang w:val="fr-FR"/>
        </w:rPr>
        <w:t>épistolaire et téléphonique, etc.)</w:t>
      </w:r>
      <w:r w:rsidR="00A600F4" w:rsidRPr="0070292F">
        <w:rPr>
          <w:lang w:val="fr-FR"/>
        </w:rPr>
        <w:t>,</w:t>
      </w:r>
      <w:r w:rsidR="001965E3" w:rsidRPr="0070292F">
        <w:rPr>
          <w:lang w:val="fr-FR"/>
        </w:rPr>
        <w:t xml:space="preserve"> ainsi que des répercussions qu</w:t>
      </w:r>
      <w:r w:rsidR="0070292F" w:rsidRPr="0070292F">
        <w:rPr>
          <w:lang w:val="fr-FR"/>
        </w:rPr>
        <w:t>’</w:t>
      </w:r>
      <w:r w:rsidR="001965E3" w:rsidRPr="0070292F">
        <w:rPr>
          <w:lang w:val="fr-FR"/>
        </w:rPr>
        <w:t xml:space="preserve">elles </w:t>
      </w:r>
      <w:r w:rsidR="001965E3" w:rsidRPr="0070292F">
        <w:rPr>
          <w:lang w:val="fr-FR"/>
        </w:rPr>
        <w:lastRenderedPageBreak/>
        <w:t>peuvent entraîner (par exemple, des difficultés dans le maintien des liens familiaux ou des relations avec les tiers, l</w:t>
      </w:r>
      <w:r w:rsidR="0070292F" w:rsidRPr="0070292F">
        <w:rPr>
          <w:lang w:val="fr-FR"/>
        </w:rPr>
        <w:t>’</w:t>
      </w:r>
      <w:r w:rsidR="001965E3" w:rsidRPr="0070292F">
        <w:rPr>
          <w:lang w:val="fr-FR"/>
        </w:rPr>
        <w:t>exclusion des promenades</w:t>
      </w:r>
      <w:r w:rsidR="00A600F4" w:rsidRPr="0070292F">
        <w:rPr>
          <w:lang w:val="fr-FR"/>
        </w:rPr>
        <w:t>) (</w:t>
      </w:r>
      <w:r w:rsidR="001965E3" w:rsidRPr="0070292F">
        <w:rPr>
          <w:i/>
          <w:lang w:val="fr-FR"/>
        </w:rPr>
        <w:t>Enea</w:t>
      </w:r>
      <w:r w:rsidR="001965E3" w:rsidRPr="0070292F">
        <w:rPr>
          <w:lang w:val="fr-FR"/>
        </w:rPr>
        <w:t>, précité</w:t>
      </w:r>
      <w:r w:rsidR="00A600F4" w:rsidRPr="0070292F">
        <w:rPr>
          <w:lang w:val="fr-FR"/>
        </w:rPr>
        <w:t>,</w:t>
      </w:r>
      <w:r w:rsidR="0070292F" w:rsidRPr="0070292F">
        <w:rPr>
          <w:lang w:val="fr-FR"/>
        </w:rPr>
        <w:t xml:space="preserve"> § </w:t>
      </w:r>
      <w:r w:rsidR="001965E3" w:rsidRPr="0070292F">
        <w:rPr>
          <w:lang w:val="fr-FR"/>
        </w:rPr>
        <w:t>106).</w:t>
      </w:r>
    </w:p>
    <w:p w:rsidR="0070292F" w:rsidRPr="0070292F" w:rsidRDefault="0062593E"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150</w:t>
      </w:r>
      <w:r w:rsidRPr="0070292F">
        <w:rPr>
          <w:lang w:val="fr-FR"/>
        </w:rPr>
        <w:fldChar w:fldCharType="end"/>
      </w:r>
      <w:r w:rsidRPr="0070292F">
        <w:rPr>
          <w:lang w:val="fr-FR"/>
        </w:rPr>
        <w:t>.  </w:t>
      </w:r>
      <w:r w:rsidR="00170808" w:rsidRPr="0070292F">
        <w:rPr>
          <w:lang w:val="fr-FR"/>
        </w:rPr>
        <w:t>D</w:t>
      </w:r>
      <w:r w:rsidR="00E64347" w:rsidRPr="0070292F">
        <w:rPr>
          <w:lang w:val="fr-FR"/>
        </w:rPr>
        <w:t>ans l</w:t>
      </w:r>
      <w:r w:rsidR="0070292F" w:rsidRPr="0070292F">
        <w:rPr>
          <w:lang w:val="fr-FR"/>
        </w:rPr>
        <w:t>’</w:t>
      </w:r>
      <w:r w:rsidR="00E64347" w:rsidRPr="0070292F">
        <w:rPr>
          <w:lang w:val="fr-FR"/>
        </w:rPr>
        <w:t xml:space="preserve">affaire </w:t>
      </w:r>
      <w:r w:rsidR="00E64347" w:rsidRPr="0070292F">
        <w:rPr>
          <w:i/>
          <w:iCs/>
          <w:lang w:val="fr-FR"/>
        </w:rPr>
        <w:t>Stegarescu et Bahrin c. Portugal</w:t>
      </w:r>
      <w:r w:rsidR="00316143" w:rsidRPr="0070292F">
        <w:rPr>
          <w:lang w:val="fr-FR"/>
        </w:rPr>
        <w:t xml:space="preserve"> (</w:t>
      </w:r>
      <w:r w:rsidR="00E64347" w:rsidRPr="0070292F">
        <w:rPr>
          <w:lang w:val="fr-FR"/>
        </w:rPr>
        <w:t>n</w:t>
      </w:r>
      <w:r w:rsidR="008C1E94" w:rsidRPr="0070292F">
        <w:rPr>
          <w:vertAlign w:val="superscript"/>
          <w:lang w:val="fr-FR"/>
        </w:rPr>
        <w:t>o</w:t>
      </w:r>
      <w:r w:rsidR="00B96ACA" w:rsidRPr="0070292F">
        <w:rPr>
          <w:lang w:val="fr-FR"/>
        </w:rPr>
        <w:t> </w:t>
      </w:r>
      <w:r w:rsidR="00E64347" w:rsidRPr="0070292F">
        <w:rPr>
          <w:lang w:val="fr-FR"/>
        </w:rPr>
        <w:t>46194/06, §§</w:t>
      </w:r>
      <w:r w:rsidR="00A600F4" w:rsidRPr="0070292F">
        <w:rPr>
          <w:lang w:val="fr-FR"/>
        </w:rPr>
        <w:t> </w:t>
      </w:r>
      <w:r w:rsidR="0070292F" w:rsidRPr="0070292F">
        <w:rPr>
          <w:lang w:val="fr-FR"/>
        </w:rPr>
        <w:t>37</w:t>
      </w:r>
      <w:r w:rsidR="0070292F" w:rsidRPr="0070292F">
        <w:rPr>
          <w:lang w:val="fr-FR"/>
        </w:rPr>
        <w:noBreakHyphen/>
      </w:r>
      <w:r w:rsidR="00E64347" w:rsidRPr="0070292F">
        <w:rPr>
          <w:lang w:val="fr-FR"/>
        </w:rPr>
        <w:t>38, 6 avril 2010)</w:t>
      </w:r>
      <w:r w:rsidR="00A600F4" w:rsidRPr="0070292F">
        <w:rPr>
          <w:lang w:val="fr-FR"/>
        </w:rPr>
        <w:t>,</w:t>
      </w:r>
      <w:r w:rsidR="00E64347" w:rsidRPr="0070292F">
        <w:rPr>
          <w:lang w:val="fr-FR"/>
        </w:rPr>
        <w:t xml:space="preserve"> la Cour a appliqué l</w:t>
      </w:r>
      <w:r w:rsidR="0070292F" w:rsidRPr="0070292F">
        <w:rPr>
          <w:lang w:val="fr-FR"/>
        </w:rPr>
        <w:t>’</w:t>
      </w:r>
      <w:r w:rsidR="00E64347" w:rsidRPr="0070292F">
        <w:rPr>
          <w:lang w:val="fr-FR"/>
        </w:rPr>
        <w:t xml:space="preserve">article 6 § 1 aux litiges concernant les restrictions </w:t>
      </w:r>
      <w:r w:rsidR="002913AE" w:rsidRPr="0070292F">
        <w:rPr>
          <w:lang w:val="fr-FR"/>
        </w:rPr>
        <w:t xml:space="preserve">(visites </w:t>
      </w:r>
      <w:r w:rsidR="00A600F4" w:rsidRPr="0070292F">
        <w:rPr>
          <w:lang w:val="fr-FR"/>
        </w:rPr>
        <w:t xml:space="preserve">limitées </w:t>
      </w:r>
      <w:r w:rsidR="002913AE" w:rsidRPr="0070292F">
        <w:rPr>
          <w:lang w:val="fr-FR"/>
        </w:rPr>
        <w:t xml:space="preserve">à une heure par semaine </w:t>
      </w:r>
      <w:r w:rsidR="0070292F" w:rsidRPr="0070292F">
        <w:rPr>
          <w:lang w:val="fr-FR"/>
        </w:rPr>
        <w:t xml:space="preserve">– </w:t>
      </w:r>
      <w:r w:rsidR="002913AE" w:rsidRPr="0070292F">
        <w:rPr>
          <w:lang w:val="fr-FR"/>
        </w:rPr>
        <w:t>et uniquement par entretien au parloir vitré</w:t>
      </w:r>
      <w:r w:rsidR="00A600F4" w:rsidRPr="0070292F">
        <w:rPr>
          <w:lang w:val="fr-FR"/>
        </w:rPr>
        <w:t> </w:t>
      </w:r>
      <w:r w:rsidR="002913AE" w:rsidRPr="0070292F">
        <w:rPr>
          <w:lang w:val="fr-FR"/>
        </w:rPr>
        <w:t>–,</w:t>
      </w:r>
      <w:r w:rsidR="00A600F4" w:rsidRPr="0070292F">
        <w:rPr>
          <w:lang w:val="fr-FR"/>
        </w:rPr>
        <w:t xml:space="preserve"> </w:t>
      </w:r>
      <w:r w:rsidR="002913AE" w:rsidRPr="0070292F">
        <w:rPr>
          <w:lang w:val="fr-FR"/>
        </w:rPr>
        <w:t xml:space="preserve">promenade </w:t>
      </w:r>
      <w:r w:rsidR="00A600F4" w:rsidRPr="0070292F">
        <w:rPr>
          <w:lang w:val="fr-FR"/>
        </w:rPr>
        <w:t xml:space="preserve">limitée </w:t>
      </w:r>
      <w:r w:rsidR="002913AE" w:rsidRPr="0070292F">
        <w:rPr>
          <w:lang w:val="fr-FR"/>
        </w:rPr>
        <w:t>à une heure quotidienne et impossibilité, s</w:t>
      </w:r>
      <w:r w:rsidR="0070292F" w:rsidRPr="0070292F">
        <w:rPr>
          <w:lang w:val="fr-FR"/>
        </w:rPr>
        <w:t>’</w:t>
      </w:r>
      <w:r w:rsidR="002913AE" w:rsidRPr="0070292F">
        <w:rPr>
          <w:lang w:val="fr-FR"/>
        </w:rPr>
        <w:t xml:space="preserve">agissant du premier requérant, de poursuivre ses études et de passer ses examens) </w:t>
      </w:r>
      <w:r w:rsidR="00E64347" w:rsidRPr="0070292F">
        <w:rPr>
          <w:lang w:val="fr-FR"/>
        </w:rPr>
        <w:t>auxquelles sont soumis les détenus placés en cellule de sécurité.</w:t>
      </w:r>
    </w:p>
    <w:p w:rsidR="00E64347" w:rsidRPr="0070292F" w:rsidRDefault="0062593E" w:rsidP="0070292F">
      <w:pPr>
        <w:pStyle w:val="ECHRPara"/>
        <w:rPr>
          <w:i/>
          <w:szCs w:val="24"/>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151</w:t>
      </w:r>
      <w:r w:rsidRPr="0070292F">
        <w:rPr>
          <w:lang w:val="fr-FR"/>
        </w:rPr>
        <w:fldChar w:fldCharType="end"/>
      </w:r>
      <w:r w:rsidRPr="0070292F">
        <w:rPr>
          <w:lang w:val="fr-FR"/>
        </w:rPr>
        <w:t>.  </w:t>
      </w:r>
      <w:r w:rsidR="00E64347" w:rsidRPr="0070292F">
        <w:rPr>
          <w:lang w:val="fr-FR"/>
        </w:rPr>
        <w:t>La Cour constate donc qu</w:t>
      </w:r>
      <w:r w:rsidR="0070292F" w:rsidRPr="0070292F">
        <w:rPr>
          <w:lang w:val="fr-FR"/>
        </w:rPr>
        <w:t>’</w:t>
      </w:r>
      <w:r w:rsidR="00E64347" w:rsidRPr="0070292F">
        <w:rPr>
          <w:lang w:val="fr-FR"/>
        </w:rPr>
        <w:t xml:space="preserve">il y </w:t>
      </w:r>
      <w:r w:rsidR="00752CB1" w:rsidRPr="0070292F">
        <w:rPr>
          <w:lang w:val="fr-FR"/>
        </w:rPr>
        <w:t>a eu</w:t>
      </w:r>
      <w:r w:rsidR="00E64347" w:rsidRPr="0070292F">
        <w:rPr>
          <w:lang w:val="fr-FR"/>
        </w:rPr>
        <w:t xml:space="preserve"> une évolution de sa </w:t>
      </w:r>
      <w:r w:rsidR="008E622C" w:rsidRPr="0070292F">
        <w:rPr>
          <w:lang w:val="fr-FR"/>
        </w:rPr>
        <w:t xml:space="preserve">propre </w:t>
      </w:r>
      <w:r w:rsidR="00E64347" w:rsidRPr="0070292F">
        <w:rPr>
          <w:lang w:val="fr-FR"/>
        </w:rPr>
        <w:t xml:space="preserve">jurisprudence </w:t>
      </w:r>
      <w:r w:rsidR="00477F01" w:rsidRPr="0070292F">
        <w:rPr>
          <w:lang w:val="fr-FR"/>
        </w:rPr>
        <w:t>vers</w:t>
      </w:r>
      <w:r w:rsidR="00E64347" w:rsidRPr="0070292F">
        <w:rPr>
          <w:lang w:val="fr-FR"/>
        </w:rPr>
        <w:t xml:space="preserve"> l</w:t>
      </w:r>
      <w:r w:rsidR="0070292F" w:rsidRPr="0070292F">
        <w:rPr>
          <w:lang w:val="fr-FR"/>
        </w:rPr>
        <w:t>’</w:t>
      </w:r>
      <w:r w:rsidR="00E64347" w:rsidRPr="0070292F">
        <w:rPr>
          <w:lang w:val="fr-FR"/>
        </w:rPr>
        <w:t>application du volet civil de l</w:t>
      </w:r>
      <w:r w:rsidR="0070292F" w:rsidRPr="0070292F">
        <w:rPr>
          <w:lang w:val="fr-FR"/>
        </w:rPr>
        <w:t>’</w:t>
      </w:r>
      <w:r w:rsidR="00E64347" w:rsidRPr="0070292F">
        <w:rPr>
          <w:lang w:val="fr-FR"/>
        </w:rPr>
        <w:t>article 6 à des affaires ne portant pas à première vue sur un droit civil mais pouvant avoir des répercussions directes et importantes sur un droit de caractère privé d</w:t>
      </w:r>
      <w:r w:rsidR="0070292F" w:rsidRPr="0070292F">
        <w:rPr>
          <w:lang w:val="fr-FR"/>
        </w:rPr>
        <w:t>’</w:t>
      </w:r>
      <w:r w:rsidR="00E64347" w:rsidRPr="0070292F">
        <w:rPr>
          <w:lang w:val="fr-FR"/>
        </w:rPr>
        <w:t>un individu (</w:t>
      </w:r>
      <w:r w:rsidR="003B2708" w:rsidRPr="0070292F">
        <w:rPr>
          <w:i/>
          <w:lang w:val="fr-FR"/>
        </w:rPr>
        <w:t>Alexandre c. Portugal</w:t>
      </w:r>
      <w:r w:rsidR="003B2708" w:rsidRPr="0070292F">
        <w:rPr>
          <w:lang w:val="fr-FR"/>
        </w:rPr>
        <w:t>, n</w:t>
      </w:r>
      <w:r w:rsidR="008C1E94" w:rsidRPr="0070292F">
        <w:rPr>
          <w:vertAlign w:val="superscript"/>
          <w:lang w:val="fr-FR"/>
        </w:rPr>
        <w:t>o</w:t>
      </w:r>
      <w:r w:rsidR="003B2708" w:rsidRPr="0070292F">
        <w:rPr>
          <w:lang w:val="fr-FR"/>
        </w:rPr>
        <w:t xml:space="preserve"> 33197/09</w:t>
      </w:r>
      <w:r w:rsidR="003B2708" w:rsidRPr="0070292F">
        <w:rPr>
          <w:snapToGrid w:val="0"/>
          <w:lang w:val="fr-FR"/>
        </w:rPr>
        <w:t xml:space="preserve">, § </w:t>
      </w:r>
      <w:r w:rsidR="00316143" w:rsidRPr="0070292F">
        <w:rPr>
          <w:snapToGrid w:val="0"/>
          <w:lang w:val="fr-FR"/>
        </w:rPr>
        <w:t>51</w:t>
      </w:r>
      <w:r w:rsidR="003B2708" w:rsidRPr="0070292F">
        <w:rPr>
          <w:snapToGrid w:val="0"/>
          <w:lang w:val="fr-FR"/>
        </w:rPr>
        <w:t xml:space="preserve">, 20 </w:t>
      </w:r>
      <w:r w:rsidR="003B2708" w:rsidRPr="0070292F">
        <w:rPr>
          <w:lang w:val="fr-FR"/>
        </w:rPr>
        <w:t>novembre</w:t>
      </w:r>
      <w:r w:rsidR="003B2708" w:rsidRPr="0070292F">
        <w:rPr>
          <w:snapToGrid w:val="0"/>
          <w:lang w:val="fr-FR"/>
        </w:rPr>
        <w:t xml:space="preserve"> 2012</w:t>
      </w:r>
      <w:r w:rsidR="008E622C" w:rsidRPr="0070292F">
        <w:rPr>
          <w:snapToGrid w:val="0"/>
          <w:lang w:val="fr-FR"/>
        </w:rPr>
        <w:t>,</w:t>
      </w:r>
      <w:r w:rsidR="003B2708" w:rsidRPr="0070292F">
        <w:rPr>
          <w:snapToGrid w:val="0"/>
          <w:lang w:val="fr-FR"/>
        </w:rPr>
        <w:t xml:space="preserve"> </w:t>
      </w:r>
      <w:r w:rsidR="00E64347" w:rsidRPr="0070292F">
        <w:rPr>
          <w:i/>
          <w:lang w:val="fr-FR"/>
        </w:rPr>
        <w:t>Pocius c. Lituanie</w:t>
      </w:r>
      <w:r w:rsidR="00E64347" w:rsidRPr="0070292F">
        <w:rPr>
          <w:lang w:val="fr-FR"/>
        </w:rPr>
        <w:t>, n</w:t>
      </w:r>
      <w:r w:rsidR="008C1E94" w:rsidRPr="0070292F">
        <w:rPr>
          <w:vertAlign w:val="superscript"/>
          <w:lang w:val="fr-FR"/>
        </w:rPr>
        <w:t>o</w:t>
      </w:r>
      <w:r w:rsidR="00E64347" w:rsidRPr="0070292F">
        <w:rPr>
          <w:lang w:val="fr-FR"/>
        </w:rPr>
        <w:t xml:space="preserve"> </w:t>
      </w:r>
      <w:hyperlink r:id="rId28" w:anchor="{&quot;appno&quot;:[&quot;35601/04&quot;]}" w:tgtFrame="_blank" w:history="1">
        <w:r w:rsidR="00E64347" w:rsidRPr="0070292F">
          <w:rPr>
            <w:rStyle w:val="Collegamentoipertestuale"/>
            <w:color w:val="auto"/>
            <w:u w:val="none"/>
            <w:lang w:val="fr-FR"/>
          </w:rPr>
          <w:t>35601/04</w:t>
        </w:r>
      </w:hyperlink>
      <w:r w:rsidR="00E64347" w:rsidRPr="0070292F">
        <w:rPr>
          <w:lang w:val="fr-FR"/>
        </w:rPr>
        <w:t>, § 43, 6 juillet 2010).</w:t>
      </w:r>
    </w:p>
    <w:p w:rsidR="009A6F55" w:rsidRPr="0070292F" w:rsidRDefault="00560979"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152</w:t>
      </w:r>
      <w:r w:rsidRPr="0070292F">
        <w:rPr>
          <w:lang w:val="fr-FR"/>
        </w:rPr>
        <w:fldChar w:fldCharType="end"/>
      </w:r>
      <w:r w:rsidRPr="0070292F">
        <w:rPr>
          <w:lang w:val="fr-FR"/>
        </w:rPr>
        <w:t>.  </w:t>
      </w:r>
      <w:r w:rsidR="008E622C" w:rsidRPr="0070292F">
        <w:rPr>
          <w:lang w:val="fr-FR"/>
        </w:rPr>
        <w:t xml:space="preserve">Pour </w:t>
      </w:r>
      <w:r w:rsidR="005B493E" w:rsidRPr="0070292F">
        <w:rPr>
          <w:lang w:val="fr-FR"/>
        </w:rPr>
        <w:t xml:space="preserve">la Cour, </w:t>
      </w:r>
      <w:r w:rsidR="00280BE7" w:rsidRPr="0070292F">
        <w:rPr>
          <w:lang w:val="fr-FR"/>
        </w:rPr>
        <w:t>le cas d</w:t>
      </w:r>
      <w:r w:rsidR="0070292F" w:rsidRPr="0070292F">
        <w:rPr>
          <w:lang w:val="fr-FR"/>
        </w:rPr>
        <w:t>’</w:t>
      </w:r>
      <w:r w:rsidR="00280BE7" w:rsidRPr="0070292F">
        <w:rPr>
          <w:lang w:val="fr-FR"/>
        </w:rPr>
        <w:t>espèce présente des similitudes avec les affaires précitées</w:t>
      </w:r>
      <w:r w:rsidR="005B493E" w:rsidRPr="0070292F">
        <w:rPr>
          <w:lang w:val="fr-FR"/>
        </w:rPr>
        <w:t xml:space="preserve"> : </w:t>
      </w:r>
      <w:r w:rsidR="00AB0906" w:rsidRPr="0070292F">
        <w:rPr>
          <w:lang w:val="fr-FR"/>
        </w:rPr>
        <w:t>même si dans ces</w:t>
      </w:r>
      <w:r w:rsidR="005B493E" w:rsidRPr="0070292F">
        <w:rPr>
          <w:lang w:val="fr-FR"/>
        </w:rPr>
        <w:t xml:space="preserve"> dernières affaires les restrictions </w:t>
      </w:r>
      <w:r w:rsidR="003454E1" w:rsidRPr="0070292F">
        <w:rPr>
          <w:lang w:val="fr-FR"/>
        </w:rPr>
        <w:t xml:space="preserve">imposées dans le contexte du régime carcéral </w:t>
      </w:r>
      <w:r w:rsidR="00D92191" w:rsidRPr="0070292F">
        <w:rPr>
          <w:lang w:val="fr-FR"/>
        </w:rPr>
        <w:t>concerna</w:t>
      </w:r>
      <w:r w:rsidR="003454E1" w:rsidRPr="0070292F">
        <w:rPr>
          <w:lang w:val="fr-FR"/>
        </w:rPr>
        <w:t>ie</w:t>
      </w:r>
      <w:r w:rsidR="00D92191" w:rsidRPr="0070292F">
        <w:rPr>
          <w:lang w:val="fr-FR"/>
        </w:rPr>
        <w:t>nt les contacts avec la famille</w:t>
      </w:r>
      <w:r w:rsidR="003454E1" w:rsidRPr="0070292F">
        <w:rPr>
          <w:lang w:val="fr-FR"/>
        </w:rPr>
        <w:t xml:space="preserve">, </w:t>
      </w:r>
      <w:r w:rsidR="00D92191" w:rsidRPr="0070292F">
        <w:rPr>
          <w:lang w:val="fr-FR"/>
        </w:rPr>
        <w:t xml:space="preserve">les relations avec les tiers ou les difficultés dans le maintien des liens familiaux, </w:t>
      </w:r>
      <w:r w:rsidR="005B493E" w:rsidRPr="0070292F">
        <w:rPr>
          <w:lang w:val="fr-FR"/>
        </w:rPr>
        <w:t xml:space="preserve">elles sont </w:t>
      </w:r>
      <w:r w:rsidR="008E622C" w:rsidRPr="0070292F">
        <w:rPr>
          <w:lang w:val="fr-FR"/>
        </w:rPr>
        <w:t xml:space="preserve">semblables </w:t>
      </w:r>
      <w:r w:rsidR="005B493E" w:rsidRPr="0070292F">
        <w:rPr>
          <w:lang w:val="fr-FR"/>
        </w:rPr>
        <w:t>à celle</w:t>
      </w:r>
      <w:r w:rsidR="005B27BF" w:rsidRPr="0070292F">
        <w:rPr>
          <w:lang w:val="fr-FR"/>
        </w:rPr>
        <w:t>s</w:t>
      </w:r>
      <w:r w:rsidR="005B493E" w:rsidRPr="0070292F">
        <w:rPr>
          <w:lang w:val="fr-FR"/>
        </w:rPr>
        <w:t xml:space="preserve"> </w:t>
      </w:r>
      <w:r w:rsidR="008E622C" w:rsidRPr="0070292F">
        <w:rPr>
          <w:lang w:val="fr-FR"/>
        </w:rPr>
        <w:t>qu</w:t>
      </w:r>
      <w:r w:rsidR="0070292F" w:rsidRPr="0070292F">
        <w:rPr>
          <w:lang w:val="fr-FR"/>
        </w:rPr>
        <w:t>’</w:t>
      </w:r>
      <w:r w:rsidR="008E622C" w:rsidRPr="0070292F">
        <w:rPr>
          <w:lang w:val="fr-FR"/>
        </w:rPr>
        <w:t>a subies</w:t>
      </w:r>
      <w:r w:rsidR="005B493E" w:rsidRPr="0070292F">
        <w:rPr>
          <w:lang w:val="fr-FR"/>
        </w:rPr>
        <w:t xml:space="preserve"> le requérant</w:t>
      </w:r>
      <w:r w:rsidR="00D92191" w:rsidRPr="0070292F">
        <w:rPr>
          <w:lang w:val="fr-FR"/>
        </w:rPr>
        <w:t xml:space="preserve">. </w:t>
      </w:r>
      <w:r w:rsidR="008E622C" w:rsidRPr="0070292F">
        <w:rPr>
          <w:lang w:val="fr-FR"/>
        </w:rPr>
        <w:t>L</w:t>
      </w:r>
      <w:r w:rsidR="00D92191" w:rsidRPr="0070292F">
        <w:rPr>
          <w:lang w:val="fr-FR"/>
        </w:rPr>
        <w:t xml:space="preserve">a Cour se réfère </w:t>
      </w:r>
      <w:r w:rsidR="008E622C" w:rsidRPr="0070292F">
        <w:rPr>
          <w:lang w:val="fr-FR"/>
        </w:rPr>
        <w:t xml:space="preserve">en particulier </w:t>
      </w:r>
      <w:r w:rsidR="009A6F55" w:rsidRPr="0070292F">
        <w:rPr>
          <w:lang w:val="fr-FR"/>
        </w:rPr>
        <w:t>à l</w:t>
      </w:r>
      <w:r w:rsidR="0070292F" w:rsidRPr="0070292F">
        <w:rPr>
          <w:lang w:val="fr-FR"/>
        </w:rPr>
        <w:t>’</w:t>
      </w:r>
      <w:r w:rsidR="009A6F55" w:rsidRPr="0070292F">
        <w:rPr>
          <w:lang w:val="fr-FR"/>
        </w:rPr>
        <w:t>obligation de ne pas s</w:t>
      </w:r>
      <w:r w:rsidR="0070292F" w:rsidRPr="0070292F">
        <w:rPr>
          <w:lang w:val="fr-FR"/>
        </w:rPr>
        <w:t>’</w:t>
      </w:r>
      <w:r w:rsidR="009A6F55" w:rsidRPr="0070292F">
        <w:rPr>
          <w:lang w:val="fr-FR"/>
        </w:rPr>
        <w:t>éloigner de la commune de résidence, de ne pas sortir entre vingt-deux heures et s</w:t>
      </w:r>
      <w:r w:rsidR="001D1A6E" w:rsidRPr="0070292F">
        <w:rPr>
          <w:lang w:val="fr-FR"/>
        </w:rPr>
        <w:t xml:space="preserve">ix </w:t>
      </w:r>
      <w:r w:rsidR="009A6F55" w:rsidRPr="0070292F">
        <w:rPr>
          <w:lang w:val="fr-FR"/>
        </w:rPr>
        <w:t xml:space="preserve">heures du matin, de ne pas participer à des réunions publiques et de ne pas utiliser </w:t>
      </w:r>
      <w:r w:rsidR="001F600F" w:rsidRPr="0070292F">
        <w:rPr>
          <w:lang w:val="fr-FR"/>
        </w:rPr>
        <w:t xml:space="preserve">de </w:t>
      </w:r>
      <w:r w:rsidR="009A6F55" w:rsidRPr="0070292F">
        <w:rPr>
          <w:lang w:val="fr-FR"/>
        </w:rPr>
        <w:t xml:space="preserve">téléphones portables et </w:t>
      </w:r>
      <w:r w:rsidR="001F600F" w:rsidRPr="0070292F">
        <w:rPr>
          <w:lang w:val="fr-FR"/>
        </w:rPr>
        <w:t>d</w:t>
      </w:r>
      <w:r w:rsidR="0070292F" w:rsidRPr="0070292F">
        <w:rPr>
          <w:lang w:val="fr-FR"/>
        </w:rPr>
        <w:t>’</w:t>
      </w:r>
      <w:r w:rsidR="001F600F" w:rsidRPr="0070292F">
        <w:rPr>
          <w:lang w:val="fr-FR"/>
        </w:rPr>
        <w:t xml:space="preserve">appareils </w:t>
      </w:r>
      <w:r w:rsidR="009A6F55" w:rsidRPr="0070292F">
        <w:rPr>
          <w:lang w:val="fr-FR"/>
        </w:rPr>
        <w:t>radioélectriques pour communiquer.</w:t>
      </w:r>
    </w:p>
    <w:p w:rsidR="00E64347" w:rsidRPr="0070292F" w:rsidRDefault="00560979"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153</w:t>
      </w:r>
      <w:r w:rsidRPr="0070292F">
        <w:rPr>
          <w:lang w:val="fr-FR"/>
        </w:rPr>
        <w:fldChar w:fldCharType="end"/>
      </w:r>
      <w:r w:rsidRPr="0070292F">
        <w:rPr>
          <w:lang w:val="fr-FR"/>
        </w:rPr>
        <w:t>.  </w:t>
      </w:r>
      <w:r w:rsidR="00E64347" w:rsidRPr="0070292F">
        <w:rPr>
          <w:lang w:val="fr-FR"/>
        </w:rPr>
        <w:t>La Cour note que dans le cas d</w:t>
      </w:r>
      <w:r w:rsidR="0070292F" w:rsidRPr="0070292F">
        <w:rPr>
          <w:lang w:val="fr-FR"/>
        </w:rPr>
        <w:t>’</w:t>
      </w:r>
      <w:r w:rsidR="00E64347" w:rsidRPr="0070292F">
        <w:rPr>
          <w:lang w:val="fr-FR"/>
        </w:rPr>
        <w:t>espèce, une «</w:t>
      </w:r>
      <w:r w:rsidR="0069645C" w:rsidRPr="0070292F">
        <w:rPr>
          <w:lang w:val="fr-FR"/>
        </w:rPr>
        <w:t> </w:t>
      </w:r>
      <w:r w:rsidR="00E64347" w:rsidRPr="0070292F">
        <w:rPr>
          <w:lang w:val="fr-FR"/>
        </w:rPr>
        <w:t>contestation réelle et sérieuse</w:t>
      </w:r>
      <w:r w:rsidR="0069645C" w:rsidRPr="0070292F">
        <w:rPr>
          <w:lang w:val="fr-FR"/>
        </w:rPr>
        <w:t> </w:t>
      </w:r>
      <w:r w:rsidR="00E64347" w:rsidRPr="0070292F">
        <w:rPr>
          <w:lang w:val="fr-FR"/>
        </w:rPr>
        <w:t>» a surgi lorsque le tribunal a appliqué la mesure de surveillance spéciale au requérant en rejetant ses moyens. Cette contestation a ensuite été définitivement tranchée par l</w:t>
      </w:r>
      <w:r w:rsidR="0070292F" w:rsidRPr="0070292F">
        <w:rPr>
          <w:lang w:val="fr-FR"/>
        </w:rPr>
        <w:t>’</w:t>
      </w:r>
      <w:r w:rsidR="00E64347" w:rsidRPr="0070292F">
        <w:rPr>
          <w:lang w:val="fr-FR"/>
        </w:rPr>
        <w:t>arrêt de la cour d</w:t>
      </w:r>
      <w:r w:rsidR="0070292F" w:rsidRPr="0070292F">
        <w:rPr>
          <w:lang w:val="fr-FR"/>
        </w:rPr>
        <w:t>’</w:t>
      </w:r>
      <w:r w:rsidR="00E64347" w:rsidRPr="0070292F">
        <w:rPr>
          <w:lang w:val="fr-FR"/>
        </w:rPr>
        <w:t>appel de Bari</w:t>
      </w:r>
      <w:r w:rsidR="008E622C" w:rsidRPr="0070292F">
        <w:rPr>
          <w:lang w:val="fr-FR"/>
        </w:rPr>
        <w:t>,</w:t>
      </w:r>
      <w:r w:rsidR="00E64347" w:rsidRPr="0070292F">
        <w:rPr>
          <w:lang w:val="fr-FR"/>
        </w:rPr>
        <w:t xml:space="preserve"> qui a reconnu que la mesure de prévention appliquée au requérant était </w:t>
      </w:r>
      <w:r w:rsidR="008E622C" w:rsidRPr="0070292F">
        <w:rPr>
          <w:lang w:val="fr-FR"/>
        </w:rPr>
        <w:t>irrégulière</w:t>
      </w:r>
      <w:r w:rsidR="00E64347" w:rsidRPr="0070292F">
        <w:rPr>
          <w:lang w:val="fr-FR"/>
        </w:rPr>
        <w:t>.</w:t>
      </w:r>
    </w:p>
    <w:p w:rsidR="005B493E" w:rsidRPr="0070292F" w:rsidRDefault="00560979"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154</w:t>
      </w:r>
      <w:r w:rsidRPr="0070292F">
        <w:rPr>
          <w:lang w:val="fr-FR"/>
        </w:rPr>
        <w:fldChar w:fldCharType="end"/>
      </w:r>
      <w:r w:rsidRPr="0070292F">
        <w:rPr>
          <w:lang w:val="fr-FR"/>
        </w:rPr>
        <w:t>.  </w:t>
      </w:r>
      <w:r w:rsidR="00E5030E" w:rsidRPr="0070292F">
        <w:rPr>
          <w:lang w:val="fr-FR"/>
        </w:rPr>
        <w:t xml:space="preserve">La Cour </w:t>
      </w:r>
      <w:r w:rsidR="00E64347" w:rsidRPr="0070292F">
        <w:rPr>
          <w:lang w:val="fr-FR"/>
        </w:rPr>
        <w:t>relève</w:t>
      </w:r>
      <w:r w:rsidR="00A2286E" w:rsidRPr="0070292F">
        <w:rPr>
          <w:lang w:val="fr-FR"/>
        </w:rPr>
        <w:t xml:space="preserve"> </w:t>
      </w:r>
      <w:r w:rsidR="009A6F55" w:rsidRPr="0070292F">
        <w:rPr>
          <w:lang w:val="fr-FR"/>
        </w:rPr>
        <w:t xml:space="preserve">en outre </w:t>
      </w:r>
      <w:r w:rsidR="00E5030E" w:rsidRPr="0070292F">
        <w:rPr>
          <w:lang w:val="fr-FR"/>
        </w:rPr>
        <w:t xml:space="preserve">que certaines des limitations alléguées </w:t>
      </w:r>
      <w:r w:rsidR="00AB0906" w:rsidRPr="0070292F">
        <w:rPr>
          <w:lang w:val="fr-FR"/>
        </w:rPr>
        <w:t>par le requérant</w:t>
      </w:r>
      <w:r w:rsidR="008E622C" w:rsidRPr="0070292F">
        <w:rPr>
          <w:lang w:val="fr-FR"/>
        </w:rPr>
        <w:t>,</w:t>
      </w:r>
      <w:r w:rsidR="00AB0906" w:rsidRPr="0070292F">
        <w:rPr>
          <w:lang w:val="fr-FR"/>
        </w:rPr>
        <w:t xml:space="preserve"> </w:t>
      </w:r>
      <w:r w:rsidR="005B493E" w:rsidRPr="0070292F">
        <w:rPr>
          <w:lang w:val="fr-FR"/>
        </w:rPr>
        <w:t xml:space="preserve">comme </w:t>
      </w:r>
      <w:r w:rsidR="003F7A1B" w:rsidRPr="0070292F">
        <w:rPr>
          <w:lang w:val="fr-FR"/>
        </w:rPr>
        <w:t>l</w:t>
      </w:r>
      <w:r w:rsidR="0070292F" w:rsidRPr="0070292F">
        <w:rPr>
          <w:lang w:val="fr-FR"/>
        </w:rPr>
        <w:t>’</w:t>
      </w:r>
      <w:r w:rsidR="003F7A1B" w:rsidRPr="0070292F">
        <w:rPr>
          <w:lang w:val="fr-FR"/>
        </w:rPr>
        <w:t xml:space="preserve">obligation </w:t>
      </w:r>
      <w:r w:rsidR="005B493E" w:rsidRPr="0070292F">
        <w:rPr>
          <w:lang w:val="fr-FR"/>
        </w:rPr>
        <w:t>de</w:t>
      </w:r>
      <w:r w:rsidR="003B2708" w:rsidRPr="0070292F">
        <w:rPr>
          <w:lang w:val="fr-FR"/>
        </w:rPr>
        <w:t xml:space="preserve"> </w:t>
      </w:r>
      <w:r w:rsidR="005B493E" w:rsidRPr="0070292F">
        <w:rPr>
          <w:lang w:val="fr-FR"/>
        </w:rPr>
        <w:t xml:space="preserve">ne pas </w:t>
      </w:r>
      <w:r w:rsidR="001D1A6E" w:rsidRPr="0070292F">
        <w:rPr>
          <w:lang w:val="fr-FR"/>
        </w:rPr>
        <w:t>sortir la nuit</w:t>
      </w:r>
      <w:r w:rsidR="005B493E" w:rsidRPr="0070292F">
        <w:rPr>
          <w:lang w:val="fr-FR"/>
        </w:rPr>
        <w:t>, de ne pas s</w:t>
      </w:r>
      <w:r w:rsidR="0070292F" w:rsidRPr="0070292F">
        <w:rPr>
          <w:lang w:val="fr-FR"/>
        </w:rPr>
        <w:t>’</w:t>
      </w:r>
      <w:r w:rsidR="005B493E" w:rsidRPr="0070292F">
        <w:rPr>
          <w:lang w:val="fr-FR"/>
        </w:rPr>
        <w:t xml:space="preserve">éloigner de la commune de résidence, </w:t>
      </w:r>
      <w:r w:rsidR="003B2708" w:rsidRPr="0070292F">
        <w:rPr>
          <w:lang w:val="fr-FR"/>
        </w:rPr>
        <w:t xml:space="preserve">de </w:t>
      </w:r>
      <w:r w:rsidR="005B493E" w:rsidRPr="0070292F">
        <w:rPr>
          <w:lang w:val="fr-FR"/>
        </w:rPr>
        <w:t>ne pas participer à des réunions publiques</w:t>
      </w:r>
      <w:r w:rsidR="003B2708" w:rsidRPr="0070292F">
        <w:rPr>
          <w:lang w:val="fr-FR"/>
        </w:rPr>
        <w:t>,</w:t>
      </w:r>
      <w:r w:rsidR="00AB0906" w:rsidRPr="0070292F">
        <w:rPr>
          <w:lang w:val="fr-FR"/>
        </w:rPr>
        <w:t xml:space="preserve"> </w:t>
      </w:r>
      <w:r w:rsidR="005B493E" w:rsidRPr="0070292F">
        <w:rPr>
          <w:lang w:val="fr-FR"/>
        </w:rPr>
        <w:t xml:space="preserve">de ne pas utiliser </w:t>
      </w:r>
      <w:r w:rsidR="001F600F" w:rsidRPr="0070292F">
        <w:rPr>
          <w:lang w:val="fr-FR"/>
        </w:rPr>
        <w:t xml:space="preserve">de </w:t>
      </w:r>
      <w:r w:rsidR="005B493E" w:rsidRPr="0070292F">
        <w:rPr>
          <w:lang w:val="fr-FR"/>
        </w:rPr>
        <w:t xml:space="preserve">téléphones portables et </w:t>
      </w:r>
      <w:r w:rsidR="001F600F" w:rsidRPr="0070292F">
        <w:rPr>
          <w:lang w:val="fr-FR"/>
        </w:rPr>
        <w:t>d</w:t>
      </w:r>
      <w:r w:rsidR="0070292F" w:rsidRPr="0070292F">
        <w:rPr>
          <w:lang w:val="fr-FR"/>
        </w:rPr>
        <w:t>’</w:t>
      </w:r>
      <w:r w:rsidR="001F600F" w:rsidRPr="0070292F">
        <w:rPr>
          <w:lang w:val="fr-FR"/>
        </w:rPr>
        <w:t xml:space="preserve">appareils </w:t>
      </w:r>
      <w:r w:rsidR="005B493E" w:rsidRPr="0070292F">
        <w:rPr>
          <w:lang w:val="fr-FR"/>
        </w:rPr>
        <w:t>radioélectriques pour communiquer</w:t>
      </w:r>
      <w:r w:rsidR="008E622C" w:rsidRPr="0070292F">
        <w:rPr>
          <w:lang w:val="fr-FR"/>
        </w:rPr>
        <w:t>,</w:t>
      </w:r>
      <w:r w:rsidR="005B493E" w:rsidRPr="0070292F">
        <w:rPr>
          <w:lang w:val="fr-FR"/>
        </w:rPr>
        <w:t xml:space="preserve"> relèvent assurément des droits de la personne et, partant, revêtent un caractère civil (</w:t>
      </w:r>
      <w:r w:rsidR="008E622C" w:rsidRPr="0070292F">
        <w:rPr>
          <w:lang w:val="fr-FR"/>
        </w:rPr>
        <w:t xml:space="preserve">voir, </w:t>
      </w:r>
      <w:r w:rsidR="00460344" w:rsidRPr="0070292F">
        <w:rPr>
          <w:i/>
          <w:lang w:val="fr-FR"/>
        </w:rPr>
        <w:t>mutatis mutandis</w:t>
      </w:r>
      <w:r w:rsidR="00460344" w:rsidRPr="0070292F">
        <w:rPr>
          <w:lang w:val="fr-FR"/>
        </w:rPr>
        <w:t xml:space="preserve">, </w:t>
      </w:r>
      <w:r w:rsidR="003B2708" w:rsidRPr="0070292F">
        <w:rPr>
          <w:i/>
          <w:lang w:val="fr-FR"/>
        </w:rPr>
        <w:t>Enea</w:t>
      </w:r>
      <w:r w:rsidR="003B2708" w:rsidRPr="0070292F">
        <w:rPr>
          <w:lang w:val="fr-FR"/>
        </w:rPr>
        <w:t>, précité</w:t>
      </w:r>
      <w:r w:rsidR="008E622C" w:rsidRPr="0070292F">
        <w:rPr>
          <w:lang w:val="fr-FR"/>
        </w:rPr>
        <w:t>,</w:t>
      </w:r>
      <w:r w:rsidR="003B2708" w:rsidRPr="0070292F">
        <w:rPr>
          <w:lang w:val="fr-FR"/>
        </w:rPr>
        <w:t xml:space="preserve"> § 103</w:t>
      </w:r>
      <w:r w:rsidR="005B493E" w:rsidRPr="0070292F">
        <w:rPr>
          <w:lang w:val="fr-FR"/>
        </w:rPr>
        <w:t>,</w:t>
      </w:r>
      <w:r w:rsidR="00460344" w:rsidRPr="0070292F">
        <w:rPr>
          <w:lang w:val="fr-FR"/>
        </w:rPr>
        <w:t xml:space="preserve"> et </w:t>
      </w:r>
      <w:r w:rsidR="003B2708" w:rsidRPr="0070292F">
        <w:rPr>
          <w:i/>
          <w:lang w:val="fr-FR"/>
        </w:rPr>
        <w:t>Ganci</w:t>
      </w:r>
      <w:r w:rsidR="003B2708" w:rsidRPr="0070292F">
        <w:rPr>
          <w:lang w:val="fr-FR"/>
        </w:rPr>
        <w:t>, précité</w:t>
      </w:r>
      <w:r w:rsidR="008E622C" w:rsidRPr="0070292F">
        <w:rPr>
          <w:lang w:val="fr-FR"/>
        </w:rPr>
        <w:t>,</w:t>
      </w:r>
      <w:r w:rsidR="003B2708" w:rsidRPr="0070292F">
        <w:rPr>
          <w:lang w:val="fr-FR"/>
        </w:rPr>
        <w:t xml:space="preserve"> </w:t>
      </w:r>
      <w:r w:rsidR="005B493E" w:rsidRPr="0070292F">
        <w:rPr>
          <w:lang w:val="fr-FR"/>
        </w:rPr>
        <w:t>§</w:t>
      </w:r>
      <w:r w:rsidR="00460344" w:rsidRPr="0070292F">
        <w:rPr>
          <w:lang w:val="fr-FR"/>
        </w:rPr>
        <w:t> </w:t>
      </w:r>
      <w:r w:rsidR="005B493E" w:rsidRPr="0070292F">
        <w:rPr>
          <w:lang w:val="fr-FR"/>
        </w:rPr>
        <w:t>25).</w:t>
      </w:r>
    </w:p>
    <w:p w:rsidR="00E5030E" w:rsidRPr="0070292F" w:rsidRDefault="00560979" w:rsidP="0070292F">
      <w:pPr>
        <w:pStyle w:val="ECHRPara"/>
        <w:rPr>
          <w:b/>
          <w:lang w:val="fr-FR"/>
        </w:rPr>
      </w:pPr>
      <w:r w:rsidRPr="0070292F">
        <w:rPr>
          <w:rFonts w:cstheme="minorHAnsi"/>
          <w:lang w:val="fr-FR"/>
        </w:rPr>
        <w:fldChar w:fldCharType="begin"/>
      </w:r>
      <w:r w:rsidRPr="0070292F">
        <w:rPr>
          <w:rFonts w:cstheme="minorHAnsi"/>
          <w:lang w:val="fr-FR"/>
        </w:rPr>
        <w:instrText xml:space="preserve"> SEQ level0 \*arabic </w:instrText>
      </w:r>
      <w:r w:rsidRPr="0070292F">
        <w:rPr>
          <w:rFonts w:cstheme="minorHAnsi"/>
          <w:lang w:val="fr-FR"/>
        </w:rPr>
        <w:fldChar w:fldCharType="separate"/>
      </w:r>
      <w:r w:rsidR="0070292F" w:rsidRPr="0070292F">
        <w:rPr>
          <w:rFonts w:cstheme="minorHAnsi"/>
          <w:noProof/>
          <w:lang w:val="fr-FR"/>
        </w:rPr>
        <w:t>155</w:t>
      </w:r>
      <w:r w:rsidRPr="0070292F">
        <w:rPr>
          <w:rFonts w:cstheme="minorHAnsi"/>
          <w:lang w:val="fr-FR"/>
        </w:rPr>
        <w:fldChar w:fldCharType="end"/>
      </w:r>
      <w:r w:rsidRPr="0070292F">
        <w:rPr>
          <w:rFonts w:cstheme="minorHAnsi"/>
          <w:lang w:val="fr-FR"/>
        </w:rPr>
        <w:t>.  </w:t>
      </w:r>
      <w:r w:rsidR="008E622C" w:rsidRPr="0070292F">
        <w:rPr>
          <w:rFonts w:cstheme="minorHAnsi"/>
          <w:lang w:val="fr-FR"/>
        </w:rPr>
        <w:t>À</w:t>
      </w:r>
      <w:r w:rsidR="00316143" w:rsidRPr="0070292F">
        <w:rPr>
          <w:lang w:val="fr-FR"/>
        </w:rPr>
        <w:t xml:space="preserve"> la lumière de ce qui précède,</w:t>
      </w:r>
      <w:r w:rsidR="00E5030E" w:rsidRPr="0070292F">
        <w:rPr>
          <w:lang w:val="fr-FR"/>
        </w:rPr>
        <w:t xml:space="preserve"> la Cour </w:t>
      </w:r>
      <w:r w:rsidR="008E622C" w:rsidRPr="0070292F">
        <w:rPr>
          <w:lang w:val="fr-FR"/>
        </w:rPr>
        <w:t xml:space="preserve">conclut </w:t>
      </w:r>
      <w:r w:rsidR="00E5030E" w:rsidRPr="0070292F">
        <w:rPr>
          <w:lang w:val="fr-FR"/>
        </w:rPr>
        <w:t xml:space="preserve">que le grief relatif aux restrictions que le requérant affirme avoir subies à la suite de </w:t>
      </w:r>
      <w:r w:rsidR="00693A70" w:rsidRPr="0070292F">
        <w:rPr>
          <w:lang w:val="fr-FR"/>
        </w:rPr>
        <w:t>l</w:t>
      </w:r>
      <w:r w:rsidR="0070292F" w:rsidRPr="0070292F">
        <w:rPr>
          <w:lang w:val="fr-FR"/>
        </w:rPr>
        <w:t>’</w:t>
      </w:r>
      <w:r w:rsidR="00693A70" w:rsidRPr="0070292F">
        <w:rPr>
          <w:lang w:val="fr-FR"/>
        </w:rPr>
        <w:t xml:space="preserve">application de la mesure de surveillance </w:t>
      </w:r>
      <w:r w:rsidR="003B2708" w:rsidRPr="0070292F">
        <w:rPr>
          <w:lang w:val="fr-FR"/>
        </w:rPr>
        <w:t>spéciale</w:t>
      </w:r>
      <w:r w:rsidR="00E5030E" w:rsidRPr="0070292F">
        <w:rPr>
          <w:lang w:val="fr-FR"/>
        </w:rPr>
        <w:t xml:space="preserve"> est compatible </w:t>
      </w:r>
      <w:r w:rsidR="00E5030E" w:rsidRPr="0070292F">
        <w:rPr>
          <w:i/>
          <w:lang w:val="fr-FR"/>
        </w:rPr>
        <w:t>ratione materiae</w:t>
      </w:r>
      <w:r w:rsidR="00E5030E" w:rsidRPr="0070292F">
        <w:rPr>
          <w:lang w:val="fr-FR"/>
        </w:rPr>
        <w:t xml:space="preserve"> avec les dispositions de la Convention dès lors qu</w:t>
      </w:r>
      <w:r w:rsidR="0070292F" w:rsidRPr="0070292F">
        <w:rPr>
          <w:lang w:val="fr-FR"/>
        </w:rPr>
        <w:t>’</w:t>
      </w:r>
      <w:r w:rsidR="00E5030E" w:rsidRPr="0070292F">
        <w:rPr>
          <w:lang w:val="fr-FR"/>
        </w:rPr>
        <w:t>il a trait à l</w:t>
      </w:r>
      <w:r w:rsidR="0070292F" w:rsidRPr="0070292F">
        <w:rPr>
          <w:lang w:val="fr-FR"/>
        </w:rPr>
        <w:t>’</w:t>
      </w:r>
      <w:r w:rsidR="00E5030E" w:rsidRPr="0070292F">
        <w:rPr>
          <w:lang w:val="fr-FR"/>
        </w:rPr>
        <w:t>article 6 sous son volet civil. Ce grief n</w:t>
      </w:r>
      <w:r w:rsidR="0070292F" w:rsidRPr="0070292F">
        <w:rPr>
          <w:lang w:val="fr-FR"/>
        </w:rPr>
        <w:t>’</w:t>
      </w:r>
      <w:r w:rsidR="00E5030E" w:rsidRPr="0070292F">
        <w:rPr>
          <w:lang w:val="fr-FR"/>
        </w:rPr>
        <w:t xml:space="preserve">étant pas manifestement mal fondé </w:t>
      </w:r>
      <w:r w:rsidR="00E5030E" w:rsidRPr="0070292F">
        <w:rPr>
          <w:lang w:val="fr-FR"/>
        </w:rPr>
        <w:lastRenderedPageBreak/>
        <w:t>au sens de l</w:t>
      </w:r>
      <w:r w:rsidR="0070292F" w:rsidRPr="0070292F">
        <w:rPr>
          <w:lang w:val="fr-FR"/>
        </w:rPr>
        <w:t>’</w:t>
      </w:r>
      <w:r w:rsidR="00E5030E" w:rsidRPr="0070292F">
        <w:rPr>
          <w:lang w:val="fr-FR"/>
        </w:rPr>
        <w:t>article 35 § 3 de la Convention et ne se heurtant à aucun autre motif d</w:t>
      </w:r>
      <w:r w:rsidR="0070292F" w:rsidRPr="0070292F">
        <w:rPr>
          <w:lang w:val="fr-FR"/>
        </w:rPr>
        <w:t>’</w:t>
      </w:r>
      <w:r w:rsidR="00E5030E" w:rsidRPr="0070292F">
        <w:rPr>
          <w:lang w:val="fr-FR"/>
        </w:rPr>
        <w:t>irrecevabilité, la Cour le déclare recevable.</w:t>
      </w:r>
    </w:p>
    <w:p w:rsidR="00F051F7" w:rsidRPr="0070292F" w:rsidRDefault="00791B7F" w:rsidP="0070292F">
      <w:pPr>
        <w:pStyle w:val="ECHRHeading2"/>
        <w:rPr>
          <w:lang w:val="fr-FR"/>
        </w:rPr>
      </w:pPr>
      <w:bookmarkStart w:id="48" w:name="_Toc475451857"/>
      <w:r w:rsidRPr="0070292F">
        <w:rPr>
          <w:lang w:val="fr-FR"/>
        </w:rPr>
        <w:t>C</w:t>
      </w:r>
      <w:r w:rsidR="004F25E2" w:rsidRPr="0070292F">
        <w:rPr>
          <w:lang w:val="fr-FR"/>
        </w:rPr>
        <w:t>.</w:t>
      </w:r>
      <w:r w:rsidR="00B96ACA" w:rsidRPr="0070292F">
        <w:rPr>
          <w:lang w:val="fr-FR"/>
        </w:rPr>
        <w:t>  </w:t>
      </w:r>
      <w:r w:rsidR="004F25E2" w:rsidRPr="0070292F">
        <w:rPr>
          <w:lang w:val="fr-FR"/>
        </w:rPr>
        <w:t>Sur le fond</w:t>
      </w:r>
      <w:bookmarkEnd w:id="48"/>
    </w:p>
    <w:p w:rsidR="00F051F7" w:rsidRPr="0070292F" w:rsidRDefault="004F25E2" w:rsidP="0070292F">
      <w:pPr>
        <w:pStyle w:val="ECHRHeading3"/>
        <w:rPr>
          <w:lang w:val="fr-FR"/>
        </w:rPr>
      </w:pPr>
      <w:bookmarkStart w:id="49" w:name="_Toc475451858"/>
      <w:r w:rsidRPr="0070292F">
        <w:rPr>
          <w:lang w:val="fr-FR"/>
        </w:rPr>
        <w:t>1.</w:t>
      </w:r>
      <w:r w:rsidR="00B96ACA" w:rsidRPr="0070292F">
        <w:rPr>
          <w:lang w:val="fr-FR"/>
        </w:rPr>
        <w:t>  </w:t>
      </w:r>
      <w:r w:rsidRPr="0070292F">
        <w:rPr>
          <w:lang w:val="fr-FR"/>
        </w:rPr>
        <w:t>Thèses des parties</w:t>
      </w:r>
      <w:bookmarkEnd w:id="49"/>
    </w:p>
    <w:p w:rsidR="004F25E2" w:rsidRPr="0070292F" w:rsidRDefault="004F25E2" w:rsidP="0070292F">
      <w:pPr>
        <w:pStyle w:val="ECHRHeading4"/>
        <w:rPr>
          <w:lang w:val="fr-FR"/>
        </w:rPr>
      </w:pPr>
      <w:r w:rsidRPr="0070292F">
        <w:rPr>
          <w:lang w:val="fr-FR"/>
        </w:rPr>
        <w:t>a)</w:t>
      </w:r>
      <w:r w:rsidR="00B96ACA" w:rsidRPr="0070292F">
        <w:rPr>
          <w:lang w:val="fr-FR"/>
        </w:rPr>
        <w:t>  </w:t>
      </w:r>
      <w:r w:rsidRPr="0070292F">
        <w:rPr>
          <w:lang w:val="fr-FR"/>
        </w:rPr>
        <w:t>Le requérant</w:t>
      </w:r>
    </w:p>
    <w:p w:rsidR="00CB0F37" w:rsidRPr="0070292F" w:rsidRDefault="00560979"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156</w:t>
      </w:r>
      <w:r w:rsidRPr="0070292F">
        <w:rPr>
          <w:lang w:val="fr-FR"/>
        </w:rPr>
        <w:fldChar w:fldCharType="end"/>
      </w:r>
      <w:r w:rsidRPr="0070292F">
        <w:rPr>
          <w:lang w:val="fr-FR"/>
        </w:rPr>
        <w:t>.  </w:t>
      </w:r>
      <w:r w:rsidR="00CB0F37" w:rsidRPr="0070292F">
        <w:rPr>
          <w:lang w:val="fr-FR"/>
        </w:rPr>
        <w:t>Le requérant estime qu</w:t>
      </w:r>
      <w:r w:rsidR="0070292F" w:rsidRPr="0070292F">
        <w:rPr>
          <w:lang w:val="fr-FR"/>
        </w:rPr>
        <w:t>’</w:t>
      </w:r>
      <w:r w:rsidR="00CB0F37" w:rsidRPr="0070292F">
        <w:rPr>
          <w:lang w:val="fr-FR"/>
        </w:rPr>
        <w:t xml:space="preserve">il y </w:t>
      </w:r>
      <w:r w:rsidR="00AB0906" w:rsidRPr="0070292F">
        <w:rPr>
          <w:lang w:val="fr-FR"/>
        </w:rPr>
        <w:t xml:space="preserve">a </w:t>
      </w:r>
      <w:r w:rsidR="00CB0F37" w:rsidRPr="0070292F">
        <w:rPr>
          <w:lang w:val="fr-FR"/>
        </w:rPr>
        <w:t>eu en l</w:t>
      </w:r>
      <w:r w:rsidR="0070292F" w:rsidRPr="0070292F">
        <w:rPr>
          <w:lang w:val="fr-FR"/>
        </w:rPr>
        <w:t>’</w:t>
      </w:r>
      <w:r w:rsidR="00CB0F37" w:rsidRPr="0070292F">
        <w:rPr>
          <w:lang w:val="fr-FR"/>
        </w:rPr>
        <w:t xml:space="preserve">espèce violation </w:t>
      </w:r>
      <w:r w:rsidR="00F72CF8" w:rsidRPr="0070292F">
        <w:rPr>
          <w:lang w:val="fr-FR"/>
        </w:rPr>
        <w:t xml:space="preserve">de son droit à un </w:t>
      </w:r>
      <w:r w:rsidR="00CB0F37" w:rsidRPr="0070292F">
        <w:rPr>
          <w:lang w:val="fr-FR"/>
        </w:rPr>
        <w:t xml:space="preserve">procès </w:t>
      </w:r>
      <w:r w:rsidR="005D086F" w:rsidRPr="0070292F">
        <w:rPr>
          <w:lang w:val="fr-FR"/>
        </w:rPr>
        <w:t>équitable</w:t>
      </w:r>
      <w:r w:rsidR="00CB0F37" w:rsidRPr="0070292F">
        <w:rPr>
          <w:lang w:val="fr-FR"/>
        </w:rPr>
        <w:t>.</w:t>
      </w:r>
      <w:r w:rsidR="004F25E2" w:rsidRPr="0070292F">
        <w:rPr>
          <w:lang w:val="fr-FR"/>
        </w:rPr>
        <w:t xml:space="preserve"> </w:t>
      </w:r>
      <w:r w:rsidR="000252A7" w:rsidRPr="0070292F">
        <w:rPr>
          <w:lang w:val="fr-FR"/>
        </w:rPr>
        <w:t>Il</w:t>
      </w:r>
      <w:r w:rsidR="00CB0F37" w:rsidRPr="0070292F">
        <w:rPr>
          <w:lang w:val="fr-FR"/>
        </w:rPr>
        <w:t xml:space="preserve"> rappelle tout d</w:t>
      </w:r>
      <w:r w:rsidR="0070292F" w:rsidRPr="0070292F">
        <w:rPr>
          <w:lang w:val="fr-FR"/>
        </w:rPr>
        <w:t>’</w:t>
      </w:r>
      <w:r w:rsidR="00CB0F37" w:rsidRPr="0070292F">
        <w:rPr>
          <w:lang w:val="fr-FR"/>
        </w:rPr>
        <w:t>abord qu</w:t>
      </w:r>
      <w:r w:rsidR="0070292F" w:rsidRPr="0070292F">
        <w:rPr>
          <w:lang w:val="fr-FR"/>
        </w:rPr>
        <w:t>’</w:t>
      </w:r>
      <w:r w:rsidR="00CB0F37" w:rsidRPr="0070292F">
        <w:rPr>
          <w:lang w:val="fr-FR"/>
        </w:rPr>
        <w:t>il n</w:t>
      </w:r>
      <w:r w:rsidR="0070292F" w:rsidRPr="0070292F">
        <w:rPr>
          <w:lang w:val="fr-FR"/>
        </w:rPr>
        <w:t>’</w:t>
      </w:r>
      <w:r w:rsidR="00CB0F37" w:rsidRPr="0070292F">
        <w:rPr>
          <w:lang w:val="fr-FR"/>
        </w:rPr>
        <w:t xml:space="preserve">a pas pu bénéficier </w:t>
      </w:r>
      <w:r w:rsidR="00F72CF8" w:rsidRPr="0070292F">
        <w:rPr>
          <w:lang w:val="fr-FR"/>
        </w:rPr>
        <w:t>d</w:t>
      </w:r>
      <w:r w:rsidR="0070292F" w:rsidRPr="0070292F">
        <w:rPr>
          <w:lang w:val="fr-FR"/>
        </w:rPr>
        <w:t>’</w:t>
      </w:r>
      <w:r w:rsidR="00F72CF8" w:rsidRPr="0070292F">
        <w:rPr>
          <w:lang w:val="fr-FR"/>
        </w:rPr>
        <w:t xml:space="preserve">une </w:t>
      </w:r>
      <w:r w:rsidR="00CB0F37" w:rsidRPr="0070292F">
        <w:rPr>
          <w:lang w:val="fr-FR"/>
        </w:rPr>
        <w:t xml:space="preserve">audience publique, </w:t>
      </w:r>
      <w:r w:rsidR="00F72CF8" w:rsidRPr="0070292F">
        <w:rPr>
          <w:lang w:val="fr-FR"/>
        </w:rPr>
        <w:t xml:space="preserve">parce </w:t>
      </w:r>
      <w:r w:rsidR="00CB0F37" w:rsidRPr="0070292F">
        <w:rPr>
          <w:lang w:val="fr-FR"/>
        </w:rPr>
        <w:t>que la loi de l</w:t>
      </w:r>
      <w:r w:rsidR="0070292F" w:rsidRPr="0070292F">
        <w:rPr>
          <w:lang w:val="fr-FR"/>
        </w:rPr>
        <w:t>’</w:t>
      </w:r>
      <w:r w:rsidR="00CB0F37" w:rsidRPr="0070292F">
        <w:rPr>
          <w:lang w:val="fr-FR"/>
        </w:rPr>
        <w:t>époque ne le permettait pa</w:t>
      </w:r>
      <w:r w:rsidR="005661AF" w:rsidRPr="0070292F">
        <w:rPr>
          <w:lang w:val="fr-FR"/>
        </w:rPr>
        <w:t xml:space="preserve">s et </w:t>
      </w:r>
      <w:r w:rsidR="00F72CF8" w:rsidRPr="0070292F">
        <w:rPr>
          <w:lang w:val="fr-FR"/>
        </w:rPr>
        <w:t xml:space="preserve">que </w:t>
      </w:r>
      <w:r w:rsidR="005661AF" w:rsidRPr="0070292F">
        <w:rPr>
          <w:lang w:val="fr-FR"/>
        </w:rPr>
        <w:t>l</w:t>
      </w:r>
      <w:r w:rsidR="0070292F" w:rsidRPr="0070292F">
        <w:rPr>
          <w:lang w:val="fr-FR"/>
        </w:rPr>
        <w:t>’</w:t>
      </w:r>
      <w:r w:rsidR="005661AF" w:rsidRPr="0070292F">
        <w:rPr>
          <w:lang w:val="fr-FR"/>
        </w:rPr>
        <w:t>intervention de la Cour c</w:t>
      </w:r>
      <w:r w:rsidR="00CB0F37" w:rsidRPr="0070292F">
        <w:rPr>
          <w:lang w:val="fr-FR"/>
        </w:rPr>
        <w:t>onstitutionnelle n</w:t>
      </w:r>
      <w:r w:rsidR="0070292F" w:rsidRPr="0070292F">
        <w:rPr>
          <w:lang w:val="fr-FR"/>
        </w:rPr>
        <w:t>’</w:t>
      </w:r>
      <w:r w:rsidR="00CB0F37" w:rsidRPr="0070292F">
        <w:rPr>
          <w:lang w:val="fr-FR"/>
        </w:rPr>
        <w:t xml:space="preserve">a pas </w:t>
      </w:r>
      <w:r w:rsidR="003F7A1B" w:rsidRPr="0070292F">
        <w:rPr>
          <w:lang w:val="fr-FR"/>
        </w:rPr>
        <w:t xml:space="preserve">permis de </w:t>
      </w:r>
      <w:r w:rsidR="00CB0F37" w:rsidRPr="0070292F">
        <w:rPr>
          <w:lang w:val="fr-FR"/>
        </w:rPr>
        <w:t>remédier à la violation subie.</w:t>
      </w:r>
    </w:p>
    <w:p w:rsidR="00CB0F37" w:rsidRPr="0070292F" w:rsidRDefault="00560979"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157</w:t>
      </w:r>
      <w:r w:rsidRPr="0070292F">
        <w:rPr>
          <w:lang w:val="fr-FR"/>
        </w:rPr>
        <w:fldChar w:fldCharType="end"/>
      </w:r>
      <w:r w:rsidRPr="0070292F">
        <w:rPr>
          <w:lang w:val="fr-FR"/>
        </w:rPr>
        <w:t>.  </w:t>
      </w:r>
      <w:r w:rsidR="00CB0F37" w:rsidRPr="0070292F">
        <w:rPr>
          <w:lang w:val="fr-FR"/>
        </w:rPr>
        <w:t xml:space="preserve">Le requérant </w:t>
      </w:r>
      <w:r w:rsidR="00F72CF8" w:rsidRPr="0070292F">
        <w:rPr>
          <w:lang w:val="fr-FR"/>
        </w:rPr>
        <w:t xml:space="preserve">allègue </w:t>
      </w:r>
      <w:r w:rsidR="00CB0F37" w:rsidRPr="0070292F">
        <w:rPr>
          <w:lang w:val="fr-FR"/>
        </w:rPr>
        <w:t>ensuite que le tribunal de Bari a jugé qu</w:t>
      </w:r>
      <w:r w:rsidR="0070292F" w:rsidRPr="0070292F">
        <w:rPr>
          <w:lang w:val="fr-FR"/>
        </w:rPr>
        <w:t>’</w:t>
      </w:r>
      <w:r w:rsidR="00CB0F37" w:rsidRPr="0070292F">
        <w:rPr>
          <w:lang w:val="fr-FR"/>
        </w:rPr>
        <w:t xml:space="preserve">il était dangereux pour avoir commis des </w:t>
      </w:r>
      <w:r w:rsidR="00F72CF8" w:rsidRPr="0070292F">
        <w:rPr>
          <w:lang w:val="fr-FR"/>
        </w:rPr>
        <w:t xml:space="preserve">infractions </w:t>
      </w:r>
      <w:r w:rsidR="00CB0F37" w:rsidRPr="0070292F">
        <w:rPr>
          <w:lang w:val="fr-FR"/>
        </w:rPr>
        <w:t>contre les personnes et les biens, alors qu</w:t>
      </w:r>
      <w:r w:rsidR="0070292F" w:rsidRPr="0070292F">
        <w:rPr>
          <w:lang w:val="fr-FR"/>
        </w:rPr>
        <w:t>’</w:t>
      </w:r>
      <w:r w:rsidR="00CB0F37" w:rsidRPr="0070292F">
        <w:rPr>
          <w:lang w:val="fr-FR"/>
        </w:rPr>
        <w:t xml:space="preserve">il ressortait </w:t>
      </w:r>
      <w:r w:rsidR="00F72CF8" w:rsidRPr="0070292F">
        <w:rPr>
          <w:lang w:val="fr-FR"/>
        </w:rPr>
        <w:t>de l</w:t>
      </w:r>
      <w:r w:rsidR="0070292F" w:rsidRPr="0070292F">
        <w:rPr>
          <w:lang w:val="fr-FR"/>
        </w:rPr>
        <w:t>’</w:t>
      </w:r>
      <w:r w:rsidR="00F72CF8" w:rsidRPr="0070292F">
        <w:rPr>
          <w:lang w:val="fr-FR"/>
        </w:rPr>
        <w:t>extrait de casier judiciaire</w:t>
      </w:r>
      <w:r w:rsidR="00CB0F37" w:rsidRPr="0070292F">
        <w:rPr>
          <w:lang w:val="fr-FR"/>
        </w:rPr>
        <w:t xml:space="preserve"> versé au dossier que </w:t>
      </w:r>
      <w:r w:rsidR="003F7A1B" w:rsidRPr="0070292F">
        <w:rPr>
          <w:lang w:val="fr-FR"/>
        </w:rPr>
        <w:t xml:space="preserve">les </w:t>
      </w:r>
      <w:r w:rsidR="00CB0F37" w:rsidRPr="0070292F">
        <w:rPr>
          <w:lang w:val="fr-FR"/>
        </w:rPr>
        <w:t>condamnations défini</w:t>
      </w:r>
      <w:r w:rsidR="00FF3CC6" w:rsidRPr="0070292F">
        <w:rPr>
          <w:lang w:val="fr-FR"/>
        </w:rPr>
        <w:t xml:space="preserve">tives </w:t>
      </w:r>
      <w:r w:rsidR="003F7A1B" w:rsidRPr="0070292F">
        <w:rPr>
          <w:lang w:val="fr-FR"/>
        </w:rPr>
        <w:t xml:space="preserve">prononcées contre lui entre septembre 1995 et août 1999 portaient sur la </w:t>
      </w:r>
      <w:r w:rsidR="00FF3CC6" w:rsidRPr="0070292F">
        <w:rPr>
          <w:lang w:val="fr-FR"/>
        </w:rPr>
        <w:t>contrebande de tabac</w:t>
      </w:r>
      <w:r w:rsidR="00CB0F37" w:rsidRPr="0070292F">
        <w:rPr>
          <w:lang w:val="fr-FR"/>
        </w:rPr>
        <w:t xml:space="preserve">. Par la suite, il </w:t>
      </w:r>
      <w:r w:rsidR="00F72CF8" w:rsidRPr="0070292F">
        <w:rPr>
          <w:lang w:val="fr-FR"/>
        </w:rPr>
        <w:t xml:space="preserve">aurait </w:t>
      </w:r>
      <w:r w:rsidR="00CB0F37" w:rsidRPr="0070292F">
        <w:rPr>
          <w:lang w:val="fr-FR"/>
        </w:rPr>
        <w:t>été condamné en 2003 pour trafic de stupéfiants et en 2004 pour évasion.</w:t>
      </w:r>
    </w:p>
    <w:p w:rsidR="00CB0F37" w:rsidRPr="0070292F" w:rsidRDefault="00560979"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158</w:t>
      </w:r>
      <w:r w:rsidRPr="0070292F">
        <w:rPr>
          <w:lang w:val="fr-FR"/>
        </w:rPr>
        <w:fldChar w:fldCharType="end"/>
      </w:r>
      <w:r w:rsidRPr="0070292F">
        <w:rPr>
          <w:lang w:val="fr-FR"/>
        </w:rPr>
        <w:t>.  </w:t>
      </w:r>
      <w:r w:rsidR="00CB0F37" w:rsidRPr="0070292F">
        <w:rPr>
          <w:lang w:val="fr-FR"/>
        </w:rPr>
        <w:t xml:space="preserve">De plus, </w:t>
      </w:r>
      <w:r w:rsidR="00F72CF8" w:rsidRPr="0070292F">
        <w:rPr>
          <w:lang w:val="fr-FR"/>
        </w:rPr>
        <w:t>selon le requérant, l</w:t>
      </w:r>
      <w:r w:rsidR="0070292F" w:rsidRPr="0070292F">
        <w:rPr>
          <w:lang w:val="fr-FR"/>
        </w:rPr>
        <w:t>’</w:t>
      </w:r>
      <w:r w:rsidR="00F72CF8" w:rsidRPr="0070292F">
        <w:rPr>
          <w:lang w:val="fr-FR"/>
        </w:rPr>
        <w:t xml:space="preserve">extrait de casier judiciaire </w:t>
      </w:r>
      <w:r w:rsidR="00CB0F37" w:rsidRPr="0070292F">
        <w:rPr>
          <w:lang w:val="fr-FR"/>
        </w:rPr>
        <w:t>versé au dossier</w:t>
      </w:r>
      <w:r w:rsidR="00F72CF8" w:rsidRPr="0070292F">
        <w:rPr>
          <w:lang w:val="fr-FR"/>
        </w:rPr>
        <w:t xml:space="preserve"> attestait</w:t>
      </w:r>
      <w:r w:rsidR="00CB0F37" w:rsidRPr="0070292F">
        <w:rPr>
          <w:lang w:val="fr-FR"/>
        </w:rPr>
        <w:t xml:space="preserve"> également que les </w:t>
      </w:r>
      <w:r w:rsidR="003F7A1B" w:rsidRPr="0070292F">
        <w:rPr>
          <w:lang w:val="fr-FR"/>
        </w:rPr>
        <w:t xml:space="preserve">infractions </w:t>
      </w:r>
      <w:r w:rsidR="00CB0F37" w:rsidRPr="0070292F">
        <w:rPr>
          <w:lang w:val="fr-FR"/>
        </w:rPr>
        <w:t xml:space="preserve">aux obligations découlant de la surveillance spéciale qui </w:t>
      </w:r>
      <w:r w:rsidR="003F7A1B" w:rsidRPr="0070292F">
        <w:rPr>
          <w:lang w:val="fr-FR"/>
        </w:rPr>
        <w:t xml:space="preserve">lui </w:t>
      </w:r>
      <w:r w:rsidR="00CB0F37" w:rsidRPr="0070292F">
        <w:rPr>
          <w:lang w:val="fr-FR"/>
        </w:rPr>
        <w:t>étaient reprochées concernaient</w:t>
      </w:r>
      <w:r w:rsidR="0069645C" w:rsidRPr="0070292F">
        <w:rPr>
          <w:lang w:val="fr-FR"/>
        </w:rPr>
        <w:t xml:space="preserve"> en fait</w:t>
      </w:r>
      <w:r w:rsidR="00CB0F37" w:rsidRPr="0070292F">
        <w:rPr>
          <w:lang w:val="fr-FR"/>
        </w:rPr>
        <w:t xml:space="preserve"> </w:t>
      </w:r>
      <w:r w:rsidR="00F72CF8" w:rsidRPr="0070292F">
        <w:rPr>
          <w:lang w:val="fr-FR"/>
        </w:rPr>
        <w:t>un individu qui portait</w:t>
      </w:r>
      <w:r w:rsidR="00CB0F37" w:rsidRPr="0070292F">
        <w:rPr>
          <w:lang w:val="fr-FR"/>
        </w:rPr>
        <w:t xml:space="preserve"> le</w:t>
      </w:r>
      <w:r w:rsidR="00F72CF8" w:rsidRPr="0070292F">
        <w:rPr>
          <w:lang w:val="fr-FR"/>
        </w:rPr>
        <w:t>s</w:t>
      </w:r>
      <w:r w:rsidR="00CB0F37" w:rsidRPr="0070292F">
        <w:rPr>
          <w:lang w:val="fr-FR"/>
        </w:rPr>
        <w:t xml:space="preserve"> même</w:t>
      </w:r>
      <w:r w:rsidR="00F72CF8" w:rsidRPr="0070292F">
        <w:rPr>
          <w:lang w:val="fr-FR"/>
        </w:rPr>
        <w:t>s</w:t>
      </w:r>
      <w:r w:rsidR="00CB0F37" w:rsidRPr="0070292F">
        <w:rPr>
          <w:lang w:val="fr-FR"/>
        </w:rPr>
        <w:t xml:space="preserve"> nom et prénom que lui mais qui était né en 1973.</w:t>
      </w:r>
    </w:p>
    <w:p w:rsidR="00CB0F37" w:rsidRPr="0070292F" w:rsidRDefault="00560979"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159</w:t>
      </w:r>
      <w:r w:rsidRPr="0070292F">
        <w:rPr>
          <w:lang w:val="fr-FR"/>
        </w:rPr>
        <w:fldChar w:fldCharType="end"/>
      </w:r>
      <w:r w:rsidRPr="0070292F">
        <w:rPr>
          <w:lang w:val="fr-FR"/>
        </w:rPr>
        <w:t>.  </w:t>
      </w:r>
      <w:r w:rsidR="00CB0F37" w:rsidRPr="0070292F">
        <w:rPr>
          <w:lang w:val="fr-FR"/>
        </w:rPr>
        <w:t>S</w:t>
      </w:r>
      <w:r w:rsidR="0070292F" w:rsidRPr="0070292F">
        <w:rPr>
          <w:lang w:val="fr-FR"/>
        </w:rPr>
        <w:t>’</w:t>
      </w:r>
      <w:r w:rsidR="00CB0F37" w:rsidRPr="0070292F">
        <w:rPr>
          <w:lang w:val="fr-FR"/>
        </w:rPr>
        <w:t>agissant de</w:t>
      </w:r>
      <w:r w:rsidR="00670C12" w:rsidRPr="0070292F">
        <w:rPr>
          <w:lang w:val="fr-FR"/>
        </w:rPr>
        <w:t xml:space="preserve"> la violation du </w:t>
      </w:r>
      <w:r w:rsidR="00F72CF8" w:rsidRPr="0070292F">
        <w:rPr>
          <w:lang w:val="fr-FR"/>
        </w:rPr>
        <w:t xml:space="preserve">droit à un </w:t>
      </w:r>
      <w:r w:rsidR="00670C12" w:rsidRPr="0070292F">
        <w:rPr>
          <w:lang w:val="fr-FR"/>
        </w:rPr>
        <w:t>procès</w:t>
      </w:r>
      <w:r w:rsidR="00F72CF8" w:rsidRPr="0070292F">
        <w:rPr>
          <w:lang w:val="fr-FR"/>
        </w:rPr>
        <w:t xml:space="preserve"> équitable</w:t>
      </w:r>
      <w:r w:rsidR="00CB0F37" w:rsidRPr="0070292F">
        <w:rPr>
          <w:lang w:val="fr-FR"/>
        </w:rPr>
        <w:t>, le requérant soutient en outre que le tribunal n</w:t>
      </w:r>
      <w:r w:rsidR="0070292F" w:rsidRPr="0070292F">
        <w:rPr>
          <w:lang w:val="fr-FR"/>
        </w:rPr>
        <w:t>’</w:t>
      </w:r>
      <w:r w:rsidR="00CB0F37" w:rsidRPr="0070292F">
        <w:rPr>
          <w:lang w:val="fr-FR"/>
        </w:rPr>
        <w:t xml:space="preserve">a pas pris en considération les preuves versées au dossier qui montraient </w:t>
      </w:r>
      <w:r w:rsidR="00F72CF8" w:rsidRPr="0070292F">
        <w:rPr>
          <w:lang w:val="fr-FR"/>
        </w:rPr>
        <w:t xml:space="preserve">selon lui </w:t>
      </w:r>
      <w:r w:rsidR="004553B3" w:rsidRPr="0070292F">
        <w:rPr>
          <w:lang w:val="fr-FR"/>
        </w:rPr>
        <w:t>qu</w:t>
      </w:r>
      <w:r w:rsidR="0070292F" w:rsidRPr="0070292F">
        <w:rPr>
          <w:lang w:val="fr-FR"/>
        </w:rPr>
        <w:t>’</w:t>
      </w:r>
      <w:r w:rsidR="004553B3" w:rsidRPr="0070292F">
        <w:rPr>
          <w:lang w:val="fr-FR"/>
        </w:rPr>
        <w:t>il</w:t>
      </w:r>
      <w:r w:rsidR="00CB0F37" w:rsidRPr="0070292F">
        <w:rPr>
          <w:lang w:val="fr-FR"/>
        </w:rPr>
        <w:t xml:space="preserve"> travaillait honnêtement et n</w:t>
      </w:r>
      <w:r w:rsidR="0070292F" w:rsidRPr="0070292F">
        <w:rPr>
          <w:lang w:val="fr-FR"/>
        </w:rPr>
        <w:t>’</w:t>
      </w:r>
      <w:r w:rsidR="00CB0F37" w:rsidRPr="0070292F">
        <w:rPr>
          <w:lang w:val="fr-FR"/>
        </w:rPr>
        <w:t xml:space="preserve">avait </w:t>
      </w:r>
      <w:r w:rsidR="00F72CF8" w:rsidRPr="0070292F">
        <w:rPr>
          <w:lang w:val="fr-FR"/>
        </w:rPr>
        <w:t xml:space="preserve">pas un </w:t>
      </w:r>
      <w:r w:rsidR="00CB0F37" w:rsidRPr="0070292F">
        <w:rPr>
          <w:lang w:val="fr-FR"/>
        </w:rPr>
        <w:t>niveau de vie particulier. Le tribunal n</w:t>
      </w:r>
      <w:r w:rsidR="0070292F" w:rsidRPr="0070292F">
        <w:rPr>
          <w:lang w:val="fr-FR"/>
        </w:rPr>
        <w:t>’</w:t>
      </w:r>
      <w:r w:rsidR="00F72CF8" w:rsidRPr="0070292F">
        <w:rPr>
          <w:lang w:val="fr-FR"/>
        </w:rPr>
        <w:t>aurait</w:t>
      </w:r>
      <w:r w:rsidR="00CB0F37" w:rsidRPr="0070292F">
        <w:rPr>
          <w:lang w:val="fr-FR"/>
        </w:rPr>
        <w:t xml:space="preserve"> même pas </w:t>
      </w:r>
      <w:r w:rsidR="00F72CF8" w:rsidRPr="0070292F">
        <w:rPr>
          <w:lang w:val="fr-FR"/>
        </w:rPr>
        <w:t>tenu compte des justificatifs</w:t>
      </w:r>
      <w:r w:rsidR="00CB0F37" w:rsidRPr="0070292F">
        <w:rPr>
          <w:lang w:val="fr-FR"/>
        </w:rPr>
        <w:t xml:space="preserve"> attestant qu</w:t>
      </w:r>
      <w:r w:rsidR="0070292F" w:rsidRPr="0070292F">
        <w:rPr>
          <w:lang w:val="fr-FR"/>
        </w:rPr>
        <w:t>’</w:t>
      </w:r>
      <w:r w:rsidR="00CB0F37" w:rsidRPr="0070292F">
        <w:rPr>
          <w:lang w:val="fr-FR"/>
        </w:rPr>
        <w:t xml:space="preserve">il avait </w:t>
      </w:r>
      <w:r w:rsidR="003F7A1B" w:rsidRPr="0070292F">
        <w:rPr>
          <w:lang w:val="fr-FR"/>
        </w:rPr>
        <w:t>travaillé</w:t>
      </w:r>
      <w:r w:rsidR="00CB0F37" w:rsidRPr="0070292F">
        <w:rPr>
          <w:lang w:val="fr-FR"/>
        </w:rPr>
        <w:t xml:space="preserve"> comme ouvrier agricole. </w:t>
      </w:r>
      <w:r w:rsidR="00F72CF8" w:rsidRPr="0070292F">
        <w:rPr>
          <w:lang w:val="fr-FR"/>
        </w:rPr>
        <w:t>Si le requérant admet</w:t>
      </w:r>
      <w:r w:rsidR="00CB0F37" w:rsidRPr="0070292F">
        <w:rPr>
          <w:lang w:val="fr-FR"/>
        </w:rPr>
        <w:t xml:space="preserve"> que la cour d</w:t>
      </w:r>
      <w:r w:rsidR="0070292F" w:rsidRPr="0070292F">
        <w:rPr>
          <w:lang w:val="fr-FR"/>
        </w:rPr>
        <w:t>’</w:t>
      </w:r>
      <w:r w:rsidR="00CB0F37" w:rsidRPr="0070292F">
        <w:rPr>
          <w:lang w:val="fr-FR"/>
        </w:rPr>
        <w:t xml:space="preserve">appel a ensuite annulé la mesure litigieuse, </w:t>
      </w:r>
      <w:r w:rsidR="00F72CF8" w:rsidRPr="0070292F">
        <w:rPr>
          <w:lang w:val="fr-FR"/>
        </w:rPr>
        <w:t>il</w:t>
      </w:r>
      <w:r w:rsidR="00CB0F37" w:rsidRPr="0070292F">
        <w:rPr>
          <w:lang w:val="fr-FR"/>
        </w:rPr>
        <w:t xml:space="preserve"> rappelle qu</w:t>
      </w:r>
      <w:r w:rsidR="0070292F" w:rsidRPr="0070292F">
        <w:rPr>
          <w:lang w:val="fr-FR"/>
        </w:rPr>
        <w:t>’</w:t>
      </w:r>
      <w:r w:rsidR="00CB0F37" w:rsidRPr="0070292F">
        <w:rPr>
          <w:lang w:val="fr-FR"/>
        </w:rPr>
        <w:t xml:space="preserve">elle a </w:t>
      </w:r>
      <w:r w:rsidR="002C6479" w:rsidRPr="0070292F">
        <w:rPr>
          <w:lang w:val="fr-FR"/>
        </w:rPr>
        <w:t xml:space="preserve">mis </w:t>
      </w:r>
      <w:r w:rsidR="00CB0F37" w:rsidRPr="0070292F">
        <w:rPr>
          <w:lang w:val="fr-FR"/>
        </w:rPr>
        <w:t>sept mois pour se prononcer alors que la loi prévo</w:t>
      </w:r>
      <w:r w:rsidR="00A1052A" w:rsidRPr="0070292F">
        <w:rPr>
          <w:lang w:val="fr-FR"/>
        </w:rPr>
        <w:t>yait</w:t>
      </w:r>
      <w:r w:rsidR="00CB0F37" w:rsidRPr="0070292F">
        <w:rPr>
          <w:lang w:val="fr-FR"/>
        </w:rPr>
        <w:t xml:space="preserve"> un délai de trente jours</w:t>
      </w:r>
      <w:r w:rsidR="00C83AAC" w:rsidRPr="0070292F">
        <w:rPr>
          <w:lang w:val="fr-FR"/>
        </w:rPr>
        <w:t xml:space="preserve"> (paragraphe 96 ci-dessus)</w:t>
      </w:r>
      <w:r w:rsidR="00CB0F37" w:rsidRPr="0070292F">
        <w:rPr>
          <w:lang w:val="fr-FR"/>
        </w:rPr>
        <w:t>.</w:t>
      </w:r>
    </w:p>
    <w:p w:rsidR="00CB0F37" w:rsidRPr="0070292F" w:rsidRDefault="004F25E2" w:rsidP="0070292F">
      <w:pPr>
        <w:pStyle w:val="ECHRHeading4"/>
        <w:rPr>
          <w:lang w:val="fr-FR"/>
        </w:rPr>
      </w:pPr>
      <w:r w:rsidRPr="0070292F">
        <w:rPr>
          <w:lang w:val="fr-FR"/>
        </w:rPr>
        <w:t>b)</w:t>
      </w:r>
      <w:r w:rsidR="00B96ACA" w:rsidRPr="0070292F">
        <w:rPr>
          <w:lang w:val="fr-FR"/>
        </w:rPr>
        <w:t>  </w:t>
      </w:r>
      <w:r w:rsidRPr="0070292F">
        <w:rPr>
          <w:lang w:val="fr-FR"/>
        </w:rPr>
        <w:t>Le Gouvernement</w:t>
      </w:r>
    </w:p>
    <w:p w:rsidR="004F25E2" w:rsidRPr="0070292F" w:rsidRDefault="00AB04F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160</w:t>
      </w:r>
      <w:r w:rsidRPr="0070292F">
        <w:rPr>
          <w:lang w:val="fr-FR"/>
        </w:rPr>
        <w:fldChar w:fldCharType="end"/>
      </w:r>
      <w:r w:rsidRPr="0070292F">
        <w:rPr>
          <w:lang w:val="fr-FR"/>
        </w:rPr>
        <w:t>.  </w:t>
      </w:r>
      <w:r w:rsidR="004F25E2" w:rsidRPr="0070292F">
        <w:rPr>
          <w:lang w:val="fr-FR"/>
        </w:rPr>
        <w:t>Le Gouvernement rappelle que</w:t>
      </w:r>
      <w:r w:rsidR="002C6479" w:rsidRPr="0070292F">
        <w:rPr>
          <w:lang w:val="fr-FR"/>
        </w:rPr>
        <w:t>,</w:t>
      </w:r>
      <w:r w:rsidR="004F25E2" w:rsidRPr="0070292F">
        <w:rPr>
          <w:lang w:val="fr-FR"/>
        </w:rPr>
        <w:t xml:space="preserve"> par l</w:t>
      </w:r>
      <w:r w:rsidR="0070292F" w:rsidRPr="0070292F">
        <w:rPr>
          <w:lang w:val="fr-FR"/>
        </w:rPr>
        <w:t>’</w:t>
      </w:r>
      <w:r w:rsidR="004F25E2" w:rsidRPr="0070292F">
        <w:rPr>
          <w:lang w:val="fr-FR"/>
        </w:rPr>
        <w:t>arrêt n</w:t>
      </w:r>
      <w:r w:rsidR="008C1E94" w:rsidRPr="0070292F">
        <w:rPr>
          <w:vertAlign w:val="superscript"/>
          <w:lang w:val="fr-FR"/>
        </w:rPr>
        <w:t>o</w:t>
      </w:r>
      <w:r w:rsidR="004F25E2" w:rsidRPr="0070292F">
        <w:rPr>
          <w:vertAlign w:val="superscript"/>
          <w:lang w:val="fr-FR"/>
        </w:rPr>
        <w:t xml:space="preserve"> </w:t>
      </w:r>
      <w:r w:rsidR="00AC7B9B" w:rsidRPr="0070292F">
        <w:rPr>
          <w:lang w:val="fr-FR"/>
        </w:rPr>
        <w:t xml:space="preserve">93 du 12 mars 2010, la Cour </w:t>
      </w:r>
      <w:r w:rsidR="005661AF" w:rsidRPr="0070292F">
        <w:rPr>
          <w:lang w:val="fr-FR"/>
        </w:rPr>
        <w:t>c</w:t>
      </w:r>
      <w:r w:rsidR="00CE3F53" w:rsidRPr="0070292F">
        <w:rPr>
          <w:lang w:val="fr-FR"/>
        </w:rPr>
        <w:t>onstitutionnelle</w:t>
      </w:r>
      <w:r w:rsidR="004F25E2" w:rsidRPr="0070292F">
        <w:rPr>
          <w:lang w:val="fr-FR"/>
        </w:rPr>
        <w:t>, faisant application des principes consacrés par la jurisprudence de la Cour</w:t>
      </w:r>
      <w:r w:rsidR="003F7A1B" w:rsidRPr="0070292F">
        <w:rPr>
          <w:lang w:val="fr-FR"/>
        </w:rPr>
        <w:t xml:space="preserve"> européenne</w:t>
      </w:r>
      <w:r w:rsidR="004F25E2" w:rsidRPr="0070292F">
        <w:rPr>
          <w:lang w:val="fr-FR"/>
        </w:rPr>
        <w:t xml:space="preserve">, a déclaré </w:t>
      </w:r>
      <w:r w:rsidR="0070292F" w:rsidRPr="0070292F">
        <w:rPr>
          <w:lang w:val="fr-FR"/>
        </w:rPr>
        <w:t>inconstitutionnels les articles </w:t>
      </w:r>
      <w:r w:rsidR="004F25E2" w:rsidRPr="0070292F">
        <w:rPr>
          <w:lang w:val="fr-FR"/>
        </w:rPr>
        <w:t>4 de la loi n</w:t>
      </w:r>
      <w:r w:rsidR="008C1E94" w:rsidRPr="0070292F">
        <w:rPr>
          <w:vertAlign w:val="superscript"/>
          <w:lang w:val="fr-FR"/>
        </w:rPr>
        <w:t>o</w:t>
      </w:r>
      <w:r w:rsidR="004F25E2" w:rsidRPr="0070292F">
        <w:rPr>
          <w:vertAlign w:val="superscript"/>
          <w:lang w:val="fr-FR"/>
        </w:rPr>
        <w:t xml:space="preserve"> </w:t>
      </w:r>
      <w:r w:rsidR="004F25E2" w:rsidRPr="0070292F">
        <w:rPr>
          <w:lang w:val="fr-FR"/>
        </w:rPr>
        <w:t xml:space="preserve">1423 de 1956 et 2 </w:t>
      </w:r>
      <w:r w:rsidR="004F25E2" w:rsidRPr="0070292F">
        <w:rPr>
          <w:i/>
          <w:lang w:val="fr-FR"/>
        </w:rPr>
        <w:t xml:space="preserve">ter </w:t>
      </w:r>
      <w:r w:rsidR="004F25E2" w:rsidRPr="0070292F">
        <w:rPr>
          <w:lang w:val="fr-FR"/>
        </w:rPr>
        <w:t>de la loi n</w:t>
      </w:r>
      <w:r w:rsidR="008C1E94" w:rsidRPr="0070292F">
        <w:rPr>
          <w:vertAlign w:val="superscript"/>
          <w:lang w:val="fr-FR"/>
        </w:rPr>
        <w:t>o</w:t>
      </w:r>
      <w:r w:rsidR="004F25E2" w:rsidRPr="0070292F">
        <w:rPr>
          <w:vertAlign w:val="superscript"/>
          <w:lang w:val="fr-FR"/>
        </w:rPr>
        <w:t xml:space="preserve"> </w:t>
      </w:r>
      <w:r w:rsidR="004F25E2" w:rsidRPr="0070292F">
        <w:rPr>
          <w:lang w:val="fr-FR"/>
        </w:rPr>
        <w:t xml:space="preserve">575 de </w:t>
      </w:r>
      <w:r w:rsidR="00235121" w:rsidRPr="0070292F">
        <w:rPr>
          <w:lang w:val="fr-FR"/>
        </w:rPr>
        <w:t>19</w:t>
      </w:r>
      <w:r w:rsidR="0034338D" w:rsidRPr="0070292F">
        <w:rPr>
          <w:lang w:val="fr-FR"/>
        </w:rPr>
        <w:t>6</w:t>
      </w:r>
      <w:r w:rsidR="00AA147C" w:rsidRPr="0070292F">
        <w:rPr>
          <w:lang w:val="fr-FR"/>
        </w:rPr>
        <w:t>5</w:t>
      </w:r>
      <w:r w:rsidR="004F25E2" w:rsidRPr="0070292F">
        <w:rPr>
          <w:lang w:val="fr-FR"/>
        </w:rPr>
        <w:t xml:space="preserve"> dans la mesure où ils ne permettaient pas aux justiciables de demander la publicité des débats dans le cadre des procédures </w:t>
      </w:r>
      <w:r w:rsidR="002C6479" w:rsidRPr="0070292F">
        <w:rPr>
          <w:lang w:val="fr-FR"/>
        </w:rPr>
        <w:t xml:space="preserve">relatives à </w:t>
      </w:r>
      <w:r w:rsidR="004F25E2" w:rsidRPr="0070292F">
        <w:rPr>
          <w:lang w:val="fr-FR"/>
        </w:rPr>
        <w:t>l</w:t>
      </w:r>
      <w:r w:rsidR="0070292F" w:rsidRPr="0070292F">
        <w:rPr>
          <w:lang w:val="fr-FR"/>
        </w:rPr>
        <w:t>’</w:t>
      </w:r>
      <w:r w:rsidR="004F25E2" w:rsidRPr="0070292F">
        <w:rPr>
          <w:lang w:val="fr-FR"/>
        </w:rPr>
        <w:t>application des mesures de prévention.</w:t>
      </w:r>
    </w:p>
    <w:p w:rsidR="004F25E2" w:rsidRPr="0070292F" w:rsidRDefault="00AB04F5" w:rsidP="0070292F">
      <w:pPr>
        <w:pStyle w:val="ECHRPara"/>
        <w:rPr>
          <w:lang w:val="fr-FR"/>
        </w:rPr>
      </w:pPr>
      <w:r w:rsidRPr="0070292F">
        <w:rPr>
          <w:lang w:val="fr-FR"/>
        </w:rPr>
        <w:lastRenderedPageBreak/>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161</w:t>
      </w:r>
      <w:r w:rsidRPr="0070292F">
        <w:rPr>
          <w:lang w:val="fr-FR"/>
        </w:rPr>
        <w:fldChar w:fldCharType="end"/>
      </w:r>
      <w:r w:rsidRPr="0070292F">
        <w:rPr>
          <w:lang w:val="fr-FR"/>
        </w:rPr>
        <w:t>.  </w:t>
      </w:r>
      <w:r w:rsidR="004F25E2" w:rsidRPr="0070292F">
        <w:rPr>
          <w:lang w:val="fr-FR"/>
        </w:rPr>
        <w:t>Le Gouvernement reconnaît que le requérant a subi une violation de l</w:t>
      </w:r>
      <w:r w:rsidR="0070292F" w:rsidRPr="0070292F">
        <w:rPr>
          <w:lang w:val="fr-FR"/>
        </w:rPr>
        <w:t>’</w:t>
      </w:r>
      <w:r w:rsidR="004F25E2" w:rsidRPr="0070292F">
        <w:rPr>
          <w:lang w:val="fr-FR"/>
        </w:rPr>
        <w:t xml:space="preserve">article 6 § 1 </w:t>
      </w:r>
      <w:r w:rsidR="002C6479" w:rsidRPr="0070292F">
        <w:rPr>
          <w:lang w:val="fr-FR"/>
        </w:rPr>
        <w:t>en raison du</w:t>
      </w:r>
      <w:r w:rsidR="004F25E2" w:rsidRPr="0070292F">
        <w:rPr>
          <w:lang w:val="fr-FR"/>
        </w:rPr>
        <w:t xml:space="preserve"> défaut de publicité de la procédure devant les juridictions internes.</w:t>
      </w:r>
    </w:p>
    <w:p w:rsidR="004F25E2" w:rsidRPr="0070292F" w:rsidRDefault="00AB04F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162</w:t>
      </w:r>
      <w:r w:rsidRPr="0070292F">
        <w:rPr>
          <w:lang w:val="fr-FR"/>
        </w:rPr>
        <w:fldChar w:fldCharType="end"/>
      </w:r>
      <w:r w:rsidRPr="0070292F">
        <w:rPr>
          <w:lang w:val="fr-FR"/>
        </w:rPr>
        <w:t>.  </w:t>
      </w:r>
      <w:r w:rsidR="004F25E2" w:rsidRPr="0070292F">
        <w:rPr>
          <w:lang w:val="fr-FR"/>
        </w:rPr>
        <w:t>Quant au grief tiré du défaut d</w:t>
      </w:r>
      <w:r w:rsidR="0070292F" w:rsidRPr="0070292F">
        <w:rPr>
          <w:lang w:val="fr-FR"/>
        </w:rPr>
        <w:t>’</w:t>
      </w:r>
      <w:r w:rsidR="004F25E2" w:rsidRPr="0070292F">
        <w:rPr>
          <w:lang w:val="fr-FR"/>
        </w:rPr>
        <w:t>équité de la procédure, le Gouvernement soutient que le requérant a pu présenter des preuves et qu</w:t>
      </w:r>
      <w:r w:rsidR="0070292F" w:rsidRPr="0070292F">
        <w:rPr>
          <w:lang w:val="fr-FR"/>
        </w:rPr>
        <w:t>’</w:t>
      </w:r>
      <w:r w:rsidR="004F25E2" w:rsidRPr="0070292F">
        <w:rPr>
          <w:lang w:val="fr-FR"/>
        </w:rPr>
        <w:t xml:space="preserve">il a également pu participer aux audiences et déposer des </w:t>
      </w:r>
      <w:r w:rsidR="00A1052A" w:rsidRPr="0070292F">
        <w:rPr>
          <w:lang w:val="fr-FR"/>
        </w:rPr>
        <w:t>observations</w:t>
      </w:r>
      <w:r w:rsidR="003F7A1B" w:rsidRPr="0070292F">
        <w:rPr>
          <w:lang w:val="fr-FR"/>
        </w:rPr>
        <w:t>,</w:t>
      </w:r>
      <w:r w:rsidR="00A1052A" w:rsidRPr="0070292F">
        <w:rPr>
          <w:lang w:val="fr-FR"/>
        </w:rPr>
        <w:t xml:space="preserve"> </w:t>
      </w:r>
      <w:r w:rsidR="004F25E2" w:rsidRPr="0070292F">
        <w:rPr>
          <w:lang w:val="fr-FR"/>
        </w:rPr>
        <w:t xml:space="preserve">qui </w:t>
      </w:r>
      <w:r w:rsidR="00A1052A" w:rsidRPr="0070292F">
        <w:rPr>
          <w:lang w:val="fr-FR"/>
        </w:rPr>
        <w:t xml:space="preserve">ont </w:t>
      </w:r>
      <w:r w:rsidR="004F25E2" w:rsidRPr="0070292F">
        <w:rPr>
          <w:lang w:val="fr-FR"/>
        </w:rPr>
        <w:t xml:space="preserve">ensuite été </w:t>
      </w:r>
      <w:r w:rsidR="00A1052A" w:rsidRPr="0070292F">
        <w:rPr>
          <w:lang w:val="fr-FR"/>
        </w:rPr>
        <w:t>versées au dossier</w:t>
      </w:r>
      <w:r w:rsidR="004F25E2" w:rsidRPr="0070292F">
        <w:rPr>
          <w:lang w:val="fr-FR"/>
        </w:rPr>
        <w:t>. Le Gouvernement est d</w:t>
      </w:r>
      <w:r w:rsidR="0070292F" w:rsidRPr="0070292F">
        <w:rPr>
          <w:lang w:val="fr-FR"/>
        </w:rPr>
        <w:t>’</w:t>
      </w:r>
      <w:r w:rsidR="004F25E2" w:rsidRPr="0070292F">
        <w:rPr>
          <w:lang w:val="fr-FR"/>
        </w:rPr>
        <w:t>avis que la cour d</w:t>
      </w:r>
      <w:r w:rsidR="0070292F" w:rsidRPr="0070292F">
        <w:rPr>
          <w:lang w:val="fr-FR"/>
        </w:rPr>
        <w:t>’</w:t>
      </w:r>
      <w:r w:rsidR="004F25E2" w:rsidRPr="0070292F">
        <w:rPr>
          <w:lang w:val="fr-FR"/>
        </w:rPr>
        <w:t>appel de Bari n</w:t>
      </w:r>
      <w:r w:rsidR="0070292F" w:rsidRPr="0070292F">
        <w:rPr>
          <w:lang w:val="fr-FR"/>
        </w:rPr>
        <w:t>’</w:t>
      </w:r>
      <w:r w:rsidR="004F25E2" w:rsidRPr="0070292F">
        <w:rPr>
          <w:lang w:val="fr-FR"/>
        </w:rPr>
        <w:t xml:space="preserve">a pas reconnu une erreur </w:t>
      </w:r>
      <w:r w:rsidR="002C6479" w:rsidRPr="0070292F">
        <w:rPr>
          <w:lang w:val="fr-FR"/>
        </w:rPr>
        <w:t xml:space="preserve">sur la </w:t>
      </w:r>
      <w:r w:rsidR="004F25E2" w:rsidRPr="0070292F">
        <w:rPr>
          <w:lang w:val="fr-FR"/>
        </w:rPr>
        <w:t>personne, mais a simplement réévalué tous les éléments sur lesquels le tribunal s</w:t>
      </w:r>
      <w:r w:rsidR="0070292F" w:rsidRPr="0070292F">
        <w:rPr>
          <w:lang w:val="fr-FR"/>
        </w:rPr>
        <w:t>’</w:t>
      </w:r>
      <w:r w:rsidR="004F25E2" w:rsidRPr="0070292F">
        <w:rPr>
          <w:lang w:val="fr-FR"/>
        </w:rPr>
        <w:t>était basé</w:t>
      </w:r>
      <w:r w:rsidR="003F7A1B" w:rsidRPr="0070292F">
        <w:rPr>
          <w:lang w:val="fr-FR"/>
        </w:rPr>
        <w:t>,</w:t>
      </w:r>
      <w:r w:rsidR="004F25E2" w:rsidRPr="0070292F">
        <w:rPr>
          <w:lang w:val="fr-FR"/>
        </w:rPr>
        <w:t xml:space="preserve"> pour exclure la dangerosité sociale du requérant. Selon le Gouvernement, le requérant a </w:t>
      </w:r>
      <w:r w:rsidR="002C6479" w:rsidRPr="0070292F">
        <w:rPr>
          <w:lang w:val="fr-FR"/>
        </w:rPr>
        <w:t>disposé d</w:t>
      </w:r>
      <w:r w:rsidR="0070292F" w:rsidRPr="0070292F">
        <w:rPr>
          <w:lang w:val="fr-FR"/>
        </w:rPr>
        <w:t>’</w:t>
      </w:r>
      <w:r w:rsidR="002C6479" w:rsidRPr="0070292F">
        <w:rPr>
          <w:lang w:val="fr-FR"/>
        </w:rPr>
        <w:t>une voie</w:t>
      </w:r>
      <w:r w:rsidR="004F25E2" w:rsidRPr="0070292F">
        <w:rPr>
          <w:lang w:val="fr-FR"/>
        </w:rPr>
        <w:t xml:space="preserve"> de recours</w:t>
      </w:r>
      <w:r w:rsidR="002C6479" w:rsidRPr="0070292F">
        <w:rPr>
          <w:lang w:val="fr-FR"/>
        </w:rPr>
        <w:t>,</w:t>
      </w:r>
      <w:r w:rsidR="004F25E2" w:rsidRPr="0070292F">
        <w:rPr>
          <w:lang w:val="fr-FR"/>
        </w:rPr>
        <w:t xml:space="preserve"> qu</w:t>
      </w:r>
      <w:r w:rsidR="0070292F" w:rsidRPr="0070292F">
        <w:rPr>
          <w:lang w:val="fr-FR"/>
        </w:rPr>
        <w:t>’</w:t>
      </w:r>
      <w:r w:rsidR="004F25E2" w:rsidRPr="0070292F">
        <w:rPr>
          <w:lang w:val="fr-FR"/>
        </w:rPr>
        <w:t>il a utilisé</w:t>
      </w:r>
      <w:r w:rsidR="002C6479" w:rsidRPr="0070292F">
        <w:rPr>
          <w:lang w:val="fr-FR"/>
        </w:rPr>
        <w:t>e et qui lui a permis d</w:t>
      </w:r>
      <w:r w:rsidR="0070292F" w:rsidRPr="0070292F">
        <w:rPr>
          <w:lang w:val="fr-FR"/>
        </w:rPr>
        <w:t>’</w:t>
      </w:r>
      <w:r w:rsidR="002C6479" w:rsidRPr="0070292F">
        <w:rPr>
          <w:lang w:val="fr-FR"/>
        </w:rPr>
        <w:t xml:space="preserve">obtenir </w:t>
      </w:r>
      <w:r w:rsidR="004F25E2" w:rsidRPr="0070292F">
        <w:rPr>
          <w:lang w:val="fr-FR"/>
        </w:rPr>
        <w:t xml:space="preserve">gain de cause. </w:t>
      </w:r>
      <w:r w:rsidR="002C6479" w:rsidRPr="0070292F">
        <w:rPr>
          <w:lang w:val="fr-FR"/>
        </w:rPr>
        <w:t xml:space="preserve">En </w:t>
      </w:r>
      <w:r w:rsidR="004F25E2" w:rsidRPr="0070292F">
        <w:rPr>
          <w:lang w:val="fr-FR"/>
        </w:rPr>
        <w:t>conséquen</w:t>
      </w:r>
      <w:r w:rsidR="002C6479" w:rsidRPr="0070292F">
        <w:rPr>
          <w:lang w:val="fr-FR"/>
        </w:rPr>
        <w:t>ce, pour le Gouvernement,</w:t>
      </w:r>
      <w:r w:rsidR="004F25E2" w:rsidRPr="0070292F">
        <w:rPr>
          <w:lang w:val="fr-FR"/>
        </w:rPr>
        <w:t xml:space="preserve"> il n</w:t>
      </w:r>
      <w:r w:rsidR="0070292F" w:rsidRPr="0070292F">
        <w:rPr>
          <w:lang w:val="fr-FR"/>
        </w:rPr>
        <w:t>’</w:t>
      </w:r>
      <w:r w:rsidR="004F25E2" w:rsidRPr="0070292F">
        <w:rPr>
          <w:lang w:val="fr-FR"/>
        </w:rPr>
        <w:t>y a pas eu violation de l</w:t>
      </w:r>
      <w:r w:rsidR="0070292F" w:rsidRPr="0070292F">
        <w:rPr>
          <w:lang w:val="fr-FR"/>
        </w:rPr>
        <w:t>’</w:t>
      </w:r>
      <w:r w:rsidR="004F25E2" w:rsidRPr="0070292F">
        <w:rPr>
          <w:lang w:val="fr-FR"/>
        </w:rPr>
        <w:t xml:space="preserve">article 6 </w:t>
      </w:r>
      <w:r w:rsidR="002C6479" w:rsidRPr="0070292F">
        <w:rPr>
          <w:lang w:val="fr-FR"/>
        </w:rPr>
        <w:t>de ce chef</w:t>
      </w:r>
      <w:r w:rsidR="004F25E2" w:rsidRPr="0070292F">
        <w:rPr>
          <w:lang w:val="fr-FR"/>
        </w:rPr>
        <w:t>.</w:t>
      </w:r>
    </w:p>
    <w:p w:rsidR="00F051F7" w:rsidRPr="0070292F" w:rsidRDefault="00B96ACA" w:rsidP="0070292F">
      <w:pPr>
        <w:pStyle w:val="ECHRHeading3"/>
        <w:rPr>
          <w:lang w:val="fr-FR"/>
        </w:rPr>
      </w:pPr>
      <w:bookmarkStart w:id="50" w:name="_Toc475451859"/>
      <w:r w:rsidRPr="0070292F">
        <w:rPr>
          <w:lang w:val="fr-FR"/>
        </w:rPr>
        <w:t>2</w:t>
      </w:r>
      <w:r w:rsidR="00531CE4" w:rsidRPr="0070292F">
        <w:rPr>
          <w:lang w:val="fr-FR"/>
        </w:rPr>
        <w:t>.</w:t>
      </w:r>
      <w:r w:rsidRPr="0070292F">
        <w:rPr>
          <w:lang w:val="fr-FR"/>
        </w:rPr>
        <w:t>  </w:t>
      </w:r>
      <w:r w:rsidR="004F25E2" w:rsidRPr="0070292F">
        <w:rPr>
          <w:lang w:val="fr-FR"/>
        </w:rPr>
        <w:t>Appréciation de la Cour</w:t>
      </w:r>
      <w:bookmarkEnd w:id="50"/>
    </w:p>
    <w:p w:rsidR="00950E43" w:rsidRPr="0070292F" w:rsidRDefault="004F7DC8" w:rsidP="0070292F">
      <w:pPr>
        <w:pStyle w:val="ECHRHeading4"/>
        <w:rPr>
          <w:lang w:val="fr-FR"/>
        </w:rPr>
      </w:pPr>
      <w:r w:rsidRPr="0070292F">
        <w:rPr>
          <w:lang w:val="fr-FR"/>
        </w:rPr>
        <w:t>a)</w:t>
      </w:r>
      <w:r w:rsidR="00015338" w:rsidRPr="0070292F">
        <w:rPr>
          <w:lang w:val="fr-FR"/>
        </w:rPr>
        <w:t>  </w:t>
      </w:r>
      <w:r w:rsidRPr="0070292F">
        <w:rPr>
          <w:lang w:val="fr-FR"/>
        </w:rPr>
        <w:t>Sur l</w:t>
      </w:r>
      <w:r w:rsidR="0070292F" w:rsidRPr="0070292F">
        <w:rPr>
          <w:lang w:val="fr-FR"/>
        </w:rPr>
        <w:t>’</w:t>
      </w:r>
      <w:r w:rsidRPr="0070292F">
        <w:rPr>
          <w:lang w:val="fr-FR"/>
        </w:rPr>
        <w:t>absence de publicité des audiences devant le tribunal et la cour d</w:t>
      </w:r>
      <w:r w:rsidR="0070292F" w:rsidRPr="0070292F">
        <w:rPr>
          <w:lang w:val="fr-FR"/>
        </w:rPr>
        <w:t>’</w:t>
      </w:r>
      <w:r w:rsidRPr="0070292F">
        <w:rPr>
          <w:lang w:val="fr-FR"/>
        </w:rPr>
        <w:t>appel</w:t>
      </w:r>
    </w:p>
    <w:p w:rsidR="00B903B3" w:rsidRPr="0070292F" w:rsidRDefault="00AB04F5" w:rsidP="0070292F">
      <w:pPr>
        <w:pStyle w:val="ECHRPara"/>
        <w:rPr>
          <w:szCs w:val="24"/>
          <w:lang w:val="fr-FR"/>
        </w:rPr>
      </w:pPr>
      <w:r w:rsidRPr="0070292F">
        <w:rPr>
          <w:rFonts w:ascii="Times New Roman" w:hAnsi="Times New Roman" w:cs="Times New Roman"/>
          <w:szCs w:val="24"/>
          <w:lang w:val="fr-FR"/>
        </w:rPr>
        <w:fldChar w:fldCharType="begin"/>
      </w:r>
      <w:r w:rsidRPr="0070292F">
        <w:rPr>
          <w:rFonts w:ascii="Times New Roman" w:hAnsi="Times New Roman" w:cs="Times New Roman"/>
          <w:szCs w:val="24"/>
          <w:lang w:val="fr-FR"/>
        </w:rPr>
        <w:instrText xml:space="preserve"> SEQ level0 \*arabic </w:instrText>
      </w:r>
      <w:r w:rsidRPr="0070292F">
        <w:rPr>
          <w:rFonts w:ascii="Times New Roman" w:hAnsi="Times New Roman" w:cs="Times New Roman"/>
          <w:szCs w:val="24"/>
          <w:lang w:val="fr-FR"/>
        </w:rPr>
        <w:fldChar w:fldCharType="separate"/>
      </w:r>
      <w:r w:rsidR="0070292F" w:rsidRPr="0070292F">
        <w:rPr>
          <w:rFonts w:ascii="Times New Roman" w:hAnsi="Times New Roman" w:cs="Times New Roman"/>
          <w:noProof/>
          <w:szCs w:val="24"/>
          <w:lang w:val="fr-FR"/>
        </w:rPr>
        <w:t>163</w:t>
      </w:r>
      <w:r w:rsidRPr="0070292F">
        <w:rPr>
          <w:rFonts w:ascii="Times New Roman" w:hAnsi="Times New Roman" w:cs="Times New Roman"/>
          <w:szCs w:val="24"/>
          <w:lang w:val="fr-FR"/>
        </w:rPr>
        <w:fldChar w:fldCharType="end"/>
      </w:r>
      <w:r w:rsidRPr="0070292F">
        <w:rPr>
          <w:rFonts w:ascii="Times New Roman" w:hAnsi="Times New Roman" w:cs="Times New Roman"/>
          <w:szCs w:val="24"/>
          <w:lang w:val="fr-FR"/>
        </w:rPr>
        <w:t>.  </w:t>
      </w:r>
      <w:r w:rsidR="00673DF2" w:rsidRPr="0070292F">
        <w:rPr>
          <w:rFonts w:ascii="Times New Roman" w:hAnsi="Times New Roman" w:cs="Times New Roman"/>
          <w:szCs w:val="24"/>
          <w:lang w:val="fr-FR"/>
        </w:rPr>
        <w:t>La Cour rappelle que si la tenue d</w:t>
      </w:r>
      <w:r w:rsidR="0070292F" w:rsidRPr="0070292F">
        <w:rPr>
          <w:rFonts w:ascii="Times New Roman" w:hAnsi="Times New Roman" w:cs="Times New Roman"/>
          <w:szCs w:val="24"/>
          <w:lang w:val="fr-FR"/>
        </w:rPr>
        <w:t>’</w:t>
      </w:r>
      <w:r w:rsidR="00673DF2" w:rsidRPr="0070292F">
        <w:rPr>
          <w:rFonts w:ascii="Times New Roman" w:hAnsi="Times New Roman" w:cs="Times New Roman"/>
          <w:szCs w:val="24"/>
          <w:lang w:val="fr-FR"/>
        </w:rPr>
        <w:t>une audience publique constitue un principe fondamental consacré par l</w:t>
      </w:r>
      <w:r w:rsidR="0070292F" w:rsidRPr="0070292F">
        <w:rPr>
          <w:rFonts w:ascii="Times New Roman" w:hAnsi="Times New Roman" w:cs="Times New Roman"/>
          <w:szCs w:val="24"/>
          <w:lang w:val="fr-FR"/>
        </w:rPr>
        <w:t>’</w:t>
      </w:r>
      <w:r w:rsidR="00673DF2" w:rsidRPr="0070292F">
        <w:rPr>
          <w:rFonts w:ascii="Times New Roman" w:hAnsi="Times New Roman" w:cs="Times New Roman"/>
          <w:szCs w:val="24"/>
          <w:lang w:val="fr-FR"/>
        </w:rPr>
        <w:t>article 6 § 1,</w:t>
      </w:r>
      <w:r w:rsidR="00283AE0" w:rsidRPr="0070292F">
        <w:rPr>
          <w:rFonts w:ascii="Times New Roman" w:hAnsi="Times New Roman" w:cs="Times New Roman"/>
          <w:szCs w:val="24"/>
          <w:lang w:val="fr-FR"/>
        </w:rPr>
        <w:t xml:space="preserve"> </w:t>
      </w:r>
      <w:r w:rsidR="007B4B90" w:rsidRPr="0070292F">
        <w:rPr>
          <w:rFonts w:ascii="Times New Roman" w:hAnsi="Times New Roman" w:cs="Times New Roman"/>
          <w:szCs w:val="24"/>
          <w:lang w:val="fr-FR"/>
        </w:rPr>
        <w:t>l</w:t>
      </w:r>
      <w:r w:rsidR="0070292F" w:rsidRPr="0070292F">
        <w:rPr>
          <w:rFonts w:ascii="Times New Roman" w:hAnsi="Times New Roman" w:cs="Times New Roman"/>
          <w:szCs w:val="24"/>
          <w:lang w:val="fr-FR"/>
        </w:rPr>
        <w:t>’</w:t>
      </w:r>
      <w:r w:rsidR="007B4B90" w:rsidRPr="0070292F">
        <w:rPr>
          <w:rFonts w:ascii="Times New Roman" w:hAnsi="Times New Roman" w:cs="Times New Roman"/>
          <w:szCs w:val="24"/>
          <w:lang w:val="fr-FR"/>
        </w:rPr>
        <w:t>obligation de tenir une audience publique n</w:t>
      </w:r>
      <w:r w:rsidR="0070292F" w:rsidRPr="0070292F">
        <w:rPr>
          <w:rFonts w:ascii="Times New Roman" w:hAnsi="Times New Roman" w:cs="Times New Roman"/>
          <w:szCs w:val="24"/>
          <w:lang w:val="fr-FR"/>
        </w:rPr>
        <w:t>’</w:t>
      </w:r>
      <w:r w:rsidR="007B4B90" w:rsidRPr="0070292F">
        <w:rPr>
          <w:rFonts w:ascii="Times New Roman" w:hAnsi="Times New Roman" w:cs="Times New Roman"/>
          <w:szCs w:val="24"/>
          <w:lang w:val="fr-FR"/>
        </w:rPr>
        <w:t>est pas pour autant absolue, les circonstances qui permettent de se dispenser d</w:t>
      </w:r>
      <w:r w:rsidR="0070292F" w:rsidRPr="0070292F">
        <w:rPr>
          <w:rFonts w:ascii="Times New Roman" w:hAnsi="Times New Roman" w:cs="Times New Roman"/>
          <w:szCs w:val="24"/>
          <w:lang w:val="fr-FR"/>
        </w:rPr>
        <w:t>’</w:t>
      </w:r>
      <w:r w:rsidR="007B4B90" w:rsidRPr="0070292F">
        <w:rPr>
          <w:rFonts w:ascii="Times New Roman" w:hAnsi="Times New Roman" w:cs="Times New Roman"/>
          <w:szCs w:val="24"/>
          <w:lang w:val="fr-FR"/>
        </w:rPr>
        <w:t xml:space="preserve">une audience dépendant essentiellement de la nature des questions dont les tribunaux internes se trouvent saisis </w:t>
      </w:r>
      <w:r w:rsidR="00283AE0" w:rsidRPr="0070292F">
        <w:rPr>
          <w:rFonts w:ascii="Times New Roman" w:hAnsi="Times New Roman" w:cs="Times New Roman"/>
          <w:szCs w:val="24"/>
          <w:lang w:val="fr-FR"/>
        </w:rPr>
        <w:t>(</w:t>
      </w:r>
      <w:r w:rsidR="00BC1030" w:rsidRPr="0070292F">
        <w:rPr>
          <w:i/>
          <w:szCs w:val="24"/>
          <w:lang w:val="fr-FR"/>
        </w:rPr>
        <w:t>Jussila c.</w:t>
      </w:r>
      <w:r w:rsidR="002C6479" w:rsidRPr="0070292F">
        <w:rPr>
          <w:i/>
          <w:szCs w:val="24"/>
          <w:lang w:val="fr-FR"/>
        </w:rPr>
        <w:t> </w:t>
      </w:r>
      <w:r w:rsidR="00BC1030" w:rsidRPr="0070292F">
        <w:rPr>
          <w:i/>
          <w:szCs w:val="24"/>
          <w:lang w:val="fr-FR"/>
        </w:rPr>
        <w:t>Finlande</w:t>
      </w:r>
      <w:r w:rsidR="00BC1030" w:rsidRPr="0070292F">
        <w:rPr>
          <w:szCs w:val="24"/>
          <w:lang w:val="fr-FR"/>
        </w:rPr>
        <w:t xml:space="preserve"> [GC], n</w:t>
      </w:r>
      <w:r w:rsidR="00BC1030" w:rsidRPr="0070292F">
        <w:rPr>
          <w:szCs w:val="24"/>
          <w:vertAlign w:val="superscript"/>
          <w:lang w:val="fr-FR"/>
        </w:rPr>
        <w:t>o</w:t>
      </w:r>
      <w:r w:rsidR="00BC1030" w:rsidRPr="0070292F">
        <w:rPr>
          <w:szCs w:val="24"/>
          <w:lang w:val="fr-FR"/>
        </w:rPr>
        <w:t xml:space="preserve"> 73053/01, §</w:t>
      </w:r>
      <w:r w:rsidR="007B4B90" w:rsidRPr="0070292F">
        <w:rPr>
          <w:szCs w:val="24"/>
          <w:lang w:val="fr-FR"/>
        </w:rPr>
        <w:t>§</w:t>
      </w:r>
      <w:r w:rsidR="00BC1030" w:rsidRPr="0070292F">
        <w:rPr>
          <w:szCs w:val="24"/>
          <w:lang w:val="fr-FR"/>
        </w:rPr>
        <w:t xml:space="preserve"> 41</w:t>
      </w:r>
      <w:r w:rsidR="007B4B90" w:rsidRPr="0070292F">
        <w:rPr>
          <w:szCs w:val="24"/>
          <w:lang w:val="fr-FR"/>
        </w:rPr>
        <w:t>-42</w:t>
      </w:r>
      <w:r w:rsidR="00BC1030" w:rsidRPr="0070292F">
        <w:rPr>
          <w:szCs w:val="24"/>
          <w:lang w:val="fr-FR"/>
        </w:rPr>
        <w:t>, CEDH 2006</w:t>
      </w:r>
      <w:r w:rsidR="00BC1030" w:rsidRPr="0070292F">
        <w:rPr>
          <w:szCs w:val="24"/>
          <w:lang w:val="fr-FR"/>
        </w:rPr>
        <w:noBreakHyphen/>
        <w:t>XIV</w:t>
      </w:r>
      <w:r w:rsidR="007B4B90" w:rsidRPr="0070292F">
        <w:rPr>
          <w:rFonts w:ascii="Times New Roman" w:eastAsiaTheme="minorHAnsi" w:hAnsi="Times New Roman" w:cs="Times New Roman"/>
          <w:szCs w:val="24"/>
          <w:lang w:val="fr-FR"/>
        </w:rPr>
        <w:t>)</w:t>
      </w:r>
      <w:r w:rsidR="00042264" w:rsidRPr="0070292F">
        <w:rPr>
          <w:rFonts w:ascii="Times New Roman" w:eastAsiaTheme="minorHAnsi" w:hAnsi="Times New Roman" w:cs="Times New Roman"/>
          <w:szCs w:val="24"/>
          <w:lang w:val="fr-FR"/>
        </w:rPr>
        <w:t>.</w:t>
      </w:r>
    </w:p>
    <w:p w:rsidR="00F051F7" w:rsidRPr="0070292F" w:rsidRDefault="00AB04F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164</w:t>
      </w:r>
      <w:r w:rsidRPr="0070292F">
        <w:rPr>
          <w:lang w:val="fr-FR"/>
        </w:rPr>
        <w:fldChar w:fldCharType="end"/>
      </w:r>
      <w:r w:rsidRPr="0070292F">
        <w:rPr>
          <w:lang w:val="fr-FR"/>
        </w:rPr>
        <w:t>.  </w:t>
      </w:r>
      <w:r w:rsidR="004F7DC8" w:rsidRPr="0070292F">
        <w:rPr>
          <w:lang w:val="fr-FR"/>
        </w:rPr>
        <w:t>La Cour note tout d</w:t>
      </w:r>
      <w:r w:rsidR="0070292F" w:rsidRPr="0070292F">
        <w:rPr>
          <w:lang w:val="fr-FR"/>
        </w:rPr>
        <w:t>’</w:t>
      </w:r>
      <w:r w:rsidR="004F7DC8" w:rsidRPr="0070292F">
        <w:rPr>
          <w:lang w:val="fr-FR"/>
        </w:rPr>
        <w:t>abord qu</w:t>
      </w:r>
      <w:r w:rsidR="0070292F" w:rsidRPr="0070292F">
        <w:rPr>
          <w:lang w:val="fr-FR"/>
        </w:rPr>
        <w:t>’</w:t>
      </w:r>
      <w:r w:rsidR="002C6479" w:rsidRPr="0070292F">
        <w:rPr>
          <w:lang w:val="fr-FR"/>
        </w:rPr>
        <w:t>en l</w:t>
      </w:r>
      <w:r w:rsidR="0070292F" w:rsidRPr="0070292F">
        <w:rPr>
          <w:lang w:val="fr-FR"/>
        </w:rPr>
        <w:t>’</w:t>
      </w:r>
      <w:r w:rsidR="004F7DC8" w:rsidRPr="0070292F">
        <w:rPr>
          <w:lang w:val="fr-FR"/>
        </w:rPr>
        <w:t>espèce</w:t>
      </w:r>
      <w:r w:rsidR="006F4A71" w:rsidRPr="0070292F">
        <w:rPr>
          <w:lang w:val="fr-FR"/>
        </w:rPr>
        <w:t xml:space="preserve"> le Gouvernement re</w:t>
      </w:r>
      <w:r w:rsidR="00AA5F81" w:rsidRPr="0070292F">
        <w:rPr>
          <w:lang w:val="fr-FR"/>
        </w:rPr>
        <w:t>connaî</w:t>
      </w:r>
      <w:r w:rsidR="008F7A90" w:rsidRPr="0070292F">
        <w:rPr>
          <w:lang w:val="fr-FR"/>
        </w:rPr>
        <w:t>t qu</w:t>
      </w:r>
      <w:r w:rsidR="0070292F" w:rsidRPr="0070292F">
        <w:rPr>
          <w:lang w:val="fr-FR"/>
        </w:rPr>
        <w:t>’</w:t>
      </w:r>
      <w:r w:rsidR="008F7A90" w:rsidRPr="0070292F">
        <w:rPr>
          <w:lang w:val="fr-FR"/>
        </w:rPr>
        <w:t xml:space="preserve">il y a eu violation </w:t>
      </w:r>
      <w:r w:rsidR="006F4A71" w:rsidRPr="0070292F">
        <w:rPr>
          <w:lang w:val="fr-FR"/>
        </w:rPr>
        <w:t>de l</w:t>
      </w:r>
      <w:r w:rsidR="0070292F" w:rsidRPr="0070292F">
        <w:rPr>
          <w:lang w:val="fr-FR"/>
        </w:rPr>
        <w:t>’</w:t>
      </w:r>
      <w:r w:rsidR="006F4A71" w:rsidRPr="0070292F">
        <w:rPr>
          <w:lang w:val="fr-FR"/>
        </w:rPr>
        <w:t>article 6 § 1 en raison du défaut de publicité des audiences devant le tribunal et la cour d</w:t>
      </w:r>
      <w:r w:rsidR="0070292F" w:rsidRPr="0070292F">
        <w:rPr>
          <w:lang w:val="fr-FR"/>
        </w:rPr>
        <w:t>’</w:t>
      </w:r>
      <w:r w:rsidR="006F4A71" w:rsidRPr="0070292F">
        <w:rPr>
          <w:lang w:val="fr-FR"/>
        </w:rPr>
        <w:t>appel de Bari.</w:t>
      </w:r>
    </w:p>
    <w:p w:rsidR="006F4A71" w:rsidRPr="0070292F" w:rsidRDefault="00AB04F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165</w:t>
      </w:r>
      <w:r w:rsidRPr="0070292F">
        <w:rPr>
          <w:lang w:val="fr-FR"/>
        </w:rPr>
        <w:fldChar w:fldCharType="end"/>
      </w:r>
      <w:r w:rsidRPr="0070292F">
        <w:rPr>
          <w:lang w:val="fr-FR"/>
        </w:rPr>
        <w:t>.  </w:t>
      </w:r>
      <w:r w:rsidR="006F4A71" w:rsidRPr="0070292F">
        <w:rPr>
          <w:lang w:val="fr-FR"/>
        </w:rPr>
        <w:t xml:space="preserve">Elle </w:t>
      </w:r>
      <w:r w:rsidR="00523C49" w:rsidRPr="0070292F">
        <w:rPr>
          <w:lang w:val="fr-FR"/>
        </w:rPr>
        <w:t xml:space="preserve">observe </w:t>
      </w:r>
      <w:r w:rsidR="006F4A71" w:rsidRPr="0070292F">
        <w:rPr>
          <w:lang w:val="fr-FR"/>
        </w:rPr>
        <w:t xml:space="preserve">également que la </w:t>
      </w:r>
      <w:r w:rsidR="00282FE0" w:rsidRPr="0070292F">
        <w:rPr>
          <w:lang w:val="fr-FR"/>
        </w:rPr>
        <w:t xml:space="preserve">Cour </w:t>
      </w:r>
      <w:r w:rsidR="005661AF" w:rsidRPr="0070292F">
        <w:rPr>
          <w:lang w:val="fr-FR"/>
        </w:rPr>
        <w:t>c</w:t>
      </w:r>
      <w:r w:rsidR="00CE3F53" w:rsidRPr="0070292F">
        <w:rPr>
          <w:lang w:val="fr-FR"/>
        </w:rPr>
        <w:t>onstitutionnelle</w:t>
      </w:r>
      <w:r w:rsidR="006F4A71" w:rsidRPr="0070292F">
        <w:rPr>
          <w:lang w:val="fr-FR"/>
        </w:rPr>
        <w:t xml:space="preserve"> a déclaré inconstitutionnels les articles 4 de la loi n</w:t>
      </w:r>
      <w:r w:rsidR="008C1E94" w:rsidRPr="0070292F">
        <w:rPr>
          <w:vertAlign w:val="superscript"/>
          <w:lang w:val="fr-FR"/>
        </w:rPr>
        <w:t>o</w:t>
      </w:r>
      <w:r w:rsidR="006F4A71" w:rsidRPr="0070292F">
        <w:rPr>
          <w:vertAlign w:val="superscript"/>
          <w:lang w:val="fr-FR"/>
        </w:rPr>
        <w:t xml:space="preserve"> </w:t>
      </w:r>
      <w:r w:rsidR="006F4A71" w:rsidRPr="0070292F">
        <w:rPr>
          <w:lang w:val="fr-FR"/>
        </w:rPr>
        <w:t xml:space="preserve">1423 de 1956 et 2 </w:t>
      </w:r>
      <w:r w:rsidR="006F4A71" w:rsidRPr="0070292F">
        <w:rPr>
          <w:i/>
          <w:lang w:val="fr-FR"/>
        </w:rPr>
        <w:t>ter</w:t>
      </w:r>
      <w:r w:rsidR="006F4A71" w:rsidRPr="0070292F">
        <w:rPr>
          <w:lang w:val="fr-FR"/>
        </w:rPr>
        <w:t xml:space="preserve"> de la loi n</w:t>
      </w:r>
      <w:r w:rsidR="008C1E94" w:rsidRPr="0070292F">
        <w:rPr>
          <w:vertAlign w:val="superscript"/>
          <w:lang w:val="fr-FR"/>
        </w:rPr>
        <w:t>o</w:t>
      </w:r>
      <w:r w:rsidR="003A7E59" w:rsidRPr="0070292F">
        <w:rPr>
          <w:lang w:val="fr-FR"/>
        </w:rPr>
        <w:t> </w:t>
      </w:r>
      <w:r w:rsidR="006F4A71" w:rsidRPr="0070292F">
        <w:rPr>
          <w:lang w:val="fr-FR"/>
        </w:rPr>
        <w:t>575 de 1965</w:t>
      </w:r>
      <w:r w:rsidR="003F7A1B" w:rsidRPr="0070292F">
        <w:rPr>
          <w:lang w:val="fr-FR"/>
        </w:rPr>
        <w:t>,</w:t>
      </w:r>
      <w:r w:rsidR="006F4A71" w:rsidRPr="0070292F">
        <w:rPr>
          <w:lang w:val="fr-FR"/>
        </w:rPr>
        <w:t xml:space="preserve"> dans la mesure où ils ne permettaient pas aux justiciables de demander la publicité des débats dans le cadre des procédures </w:t>
      </w:r>
      <w:r w:rsidR="002C6479" w:rsidRPr="0070292F">
        <w:rPr>
          <w:lang w:val="fr-FR"/>
        </w:rPr>
        <w:t xml:space="preserve">relatives à </w:t>
      </w:r>
      <w:r w:rsidR="006F4A71" w:rsidRPr="0070292F">
        <w:rPr>
          <w:lang w:val="fr-FR"/>
        </w:rPr>
        <w:t>l</w:t>
      </w:r>
      <w:r w:rsidR="0070292F" w:rsidRPr="0070292F">
        <w:rPr>
          <w:lang w:val="fr-FR"/>
        </w:rPr>
        <w:t>’</w:t>
      </w:r>
      <w:r w:rsidR="006F4A71" w:rsidRPr="0070292F">
        <w:rPr>
          <w:lang w:val="fr-FR"/>
        </w:rPr>
        <w:t>application des mesures de prévention</w:t>
      </w:r>
      <w:r w:rsidR="00AC0D6A" w:rsidRPr="0070292F">
        <w:rPr>
          <w:lang w:val="fr-FR"/>
        </w:rPr>
        <w:t xml:space="preserve"> (paragraphe </w:t>
      </w:r>
      <w:r w:rsidR="00F27F77" w:rsidRPr="0070292F">
        <w:rPr>
          <w:lang w:val="fr-FR"/>
        </w:rPr>
        <w:fldChar w:fldCharType="begin"/>
      </w:r>
      <w:r w:rsidR="00F27F77" w:rsidRPr="0070292F">
        <w:rPr>
          <w:lang w:val="fr-FR"/>
        </w:rPr>
        <w:instrText xml:space="preserve"> REF para56 \h </w:instrText>
      </w:r>
      <w:r w:rsidR="00F27F77" w:rsidRPr="0070292F">
        <w:rPr>
          <w:lang w:val="fr-FR"/>
        </w:rPr>
      </w:r>
      <w:r w:rsidR="00F27F77" w:rsidRPr="0070292F">
        <w:rPr>
          <w:lang w:val="fr-FR"/>
        </w:rPr>
        <w:fldChar w:fldCharType="separate"/>
      </w:r>
      <w:r w:rsidR="0070292F" w:rsidRPr="0070292F">
        <w:rPr>
          <w:rFonts w:eastAsia="Cambria"/>
          <w:noProof/>
          <w:lang w:val="fr-FR"/>
        </w:rPr>
        <w:t>56</w:t>
      </w:r>
      <w:r w:rsidR="00F27F77" w:rsidRPr="0070292F">
        <w:rPr>
          <w:lang w:val="fr-FR"/>
        </w:rPr>
        <w:fldChar w:fldCharType="end"/>
      </w:r>
      <w:r w:rsidR="00AC0D6A" w:rsidRPr="0070292F">
        <w:rPr>
          <w:lang w:val="fr-FR"/>
        </w:rPr>
        <w:t xml:space="preserve"> ci-dessus)</w:t>
      </w:r>
      <w:r w:rsidR="006F4A71" w:rsidRPr="0070292F">
        <w:rPr>
          <w:lang w:val="fr-FR"/>
        </w:rPr>
        <w:t>.</w:t>
      </w:r>
    </w:p>
    <w:p w:rsidR="00162F1A" w:rsidRPr="0070292F" w:rsidRDefault="00AB04F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166</w:t>
      </w:r>
      <w:r w:rsidRPr="0070292F">
        <w:rPr>
          <w:lang w:val="fr-FR"/>
        </w:rPr>
        <w:fldChar w:fldCharType="end"/>
      </w:r>
      <w:r w:rsidRPr="0070292F">
        <w:rPr>
          <w:lang w:val="fr-FR"/>
        </w:rPr>
        <w:t>.  </w:t>
      </w:r>
      <w:r w:rsidR="00B04E2B" w:rsidRPr="0070292F">
        <w:rPr>
          <w:lang w:val="fr-FR"/>
        </w:rPr>
        <w:t>En outre, e</w:t>
      </w:r>
      <w:r w:rsidR="00162F1A" w:rsidRPr="0070292F">
        <w:rPr>
          <w:lang w:val="fr-FR"/>
        </w:rPr>
        <w:t>lle rappelle</w:t>
      </w:r>
      <w:r w:rsidR="006F4A71" w:rsidRPr="0070292F">
        <w:rPr>
          <w:lang w:val="fr-FR"/>
        </w:rPr>
        <w:t xml:space="preserve"> </w:t>
      </w:r>
      <w:r w:rsidR="00B04E2B" w:rsidRPr="0070292F">
        <w:rPr>
          <w:lang w:val="fr-FR"/>
        </w:rPr>
        <w:t>s</w:t>
      </w:r>
      <w:r w:rsidR="006F4A71" w:rsidRPr="0070292F">
        <w:rPr>
          <w:lang w:val="fr-FR"/>
        </w:rPr>
        <w:t>a jurisprudence</w:t>
      </w:r>
      <w:r w:rsidR="00B04E2B" w:rsidRPr="0070292F">
        <w:rPr>
          <w:lang w:val="fr-FR"/>
        </w:rPr>
        <w:t xml:space="preserve"> </w:t>
      </w:r>
      <w:r w:rsidR="00990D2F" w:rsidRPr="0070292F">
        <w:rPr>
          <w:lang w:val="fr-FR"/>
        </w:rPr>
        <w:t>pertinente sur l</w:t>
      </w:r>
      <w:r w:rsidR="0070292F" w:rsidRPr="0070292F">
        <w:rPr>
          <w:lang w:val="fr-FR"/>
        </w:rPr>
        <w:t>’</w:t>
      </w:r>
      <w:r w:rsidR="00990D2F" w:rsidRPr="0070292F">
        <w:rPr>
          <w:lang w:val="fr-FR"/>
        </w:rPr>
        <w:t xml:space="preserve">absence de publicité des audiences dans les procédures concernant des </w:t>
      </w:r>
      <w:r w:rsidR="00282FE0" w:rsidRPr="0070292F">
        <w:rPr>
          <w:lang w:val="fr-FR"/>
        </w:rPr>
        <w:t>mesures de prévention patrimoniale</w:t>
      </w:r>
      <w:r w:rsidR="00FC5414" w:rsidRPr="0070292F">
        <w:rPr>
          <w:lang w:val="fr-FR"/>
        </w:rPr>
        <w:t>s</w:t>
      </w:r>
      <w:r w:rsidR="00595B79" w:rsidRPr="0070292F">
        <w:rPr>
          <w:lang w:val="fr-FR"/>
        </w:rPr>
        <w:t xml:space="preserve"> (</w:t>
      </w:r>
      <w:r w:rsidR="00595B79" w:rsidRPr="0070292F">
        <w:rPr>
          <w:i/>
          <w:lang w:val="fr-FR"/>
        </w:rPr>
        <w:t>Bocellari et Rizza</w:t>
      </w:r>
      <w:r w:rsidR="00EA2453" w:rsidRPr="0070292F">
        <w:rPr>
          <w:lang w:val="fr-FR"/>
        </w:rPr>
        <w:t>,</w:t>
      </w:r>
      <w:r w:rsidR="00595B79" w:rsidRPr="0070292F">
        <w:rPr>
          <w:i/>
          <w:lang w:val="fr-FR"/>
        </w:rPr>
        <w:t xml:space="preserve"> </w:t>
      </w:r>
      <w:r w:rsidR="00EA2453" w:rsidRPr="0070292F">
        <w:rPr>
          <w:lang w:val="fr-FR"/>
        </w:rPr>
        <w:t>précité</w:t>
      </w:r>
      <w:r w:rsidR="00595B79" w:rsidRPr="0070292F">
        <w:rPr>
          <w:lang w:val="fr-FR"/>
        </w:rPr>
        <w:t>, §§ 34-41</w:t>
      </w:r>
      <w:r w:rsidR="002C6479" w:rsidRPr="0070292F">
        <w:rPr>
          <w:lang w:val="fr-FR"/>
        </w:rPr>
        <w:t>,</w:t>
      </w:r>
      <w:r w:rsidR="00595B79" w:rsidRPr="0070292F">
        <w:rPr>
          <w:lang w:val="fr-FR"/>
        </w:rPr>
        <w:t xml:space="preserve"> </w:t>
      </w:r>
      <w:r w:rsidR="0070292F" w:rsidRPr="0070292F">
        <w:rPr>
          <w:i/>
          <w:lang w:val="fr-FR"/>
        </w:rPr>
        <w:t>Perre et </w:t>
      </w:r>
      <w:r w:rsidR="00EA2453" w:rsidRPr="0070292F">
        <w:rPr>
          <w:i/>
          <w:lang w:val="fr-FR"/>
        </w:rPr>
        <w:t>autre</w:t>
      </w:r>
      <w:r w:rsidR="002C6479" w:rsidRPr="0070292F">
        <w:rPr>
          <w:i/>
          <w:lang w:val="fr-FR"/>
        </w:rPr>
        <w:t>s</w:t>
      </w:r>
      <w:r w:rsidR="00595B79" w:rsidRPr="0070292F">
        <w:rPr>
          <w:lang w:val="fr-FR"/>
        </w:rPr>
        <w:t>,</w:t>
      </w:r>
      <w:r w:rsidR="00EA2453" w:rsidRPr="0070292F">
        <w:rPr>
          <w:lang w:val="fr-FR"/>
        </w:rPr>
        <w:t xml:space="preserve"> précité</w:t>
      </w:r>
      <w:r w:rsidR="00595B79" w:rsidRPr="0070292F">
        <w:rPr>
          <w:lang w:val="fr-FR"/>
        </w:rPr>
        <w:t xml:space="preserve">, §§ 23-26, </w:t>
      </w:r>
      <w:r w:rsidR="00595B79" w:rsidRPr="0070292F">
        <w:rPr>
          <w:i/>
          <w:lang w:val="fr-FR"/>
        </w:rPr>
        <w:t>Bongiorno et autres</w:t>
      </w:r>
      <w:r w:rsidR="00595B79" w:rsidRPr="0070292F">
        <w:rPr>
          <w:lang w:val="fr-FR"/>
        </w:rPr>
        <w:t>,</w:t>
      </w:r>
      <w:r w:rsidR="00EA2453" w:rsidRPr="0070292F">
        <w:rPr>
          <w:lang w:val="fr-FR"/>
        </w:rPr>
        <w:t xml:space="preserve"> précité</w:t>
      </w:r>
      <w:r w:rsidR="00595B79" w:rsidRPr="0070292F">
        <w:rPr>
          <w:lang w:val="fr-FR"/>
        </w:rPr>
        <w:t xml:space="preserve">, §§ 27-30, </w:t>
      </w:r>
      <w:r w:rsidR="00595B79" w:rsidRPr="0070292F">
        <w:rPr>
          <w:i/>
          <w:lang w:val="fr-FR"/>
        </w:rPr>
        <w:t>Leone</w:t>
      </w:r>
      <w:r w:rsidR="00EA2453" w:rsidRPr="0070292F">
        <w:rPr>
          <w:lang w:val="fr-FR"/>
        </w:rPr>
        <w:t>,</w:t>
      </w:r>
      <w:r w:rsidR="00595B79" w:rsidRPr="0070292F">
        <w:rPr>
          <w:i/>
          <w:lang w:val="fr-FR"/>
        </w:rPr>
        <w:t xml:space="preserve"> </w:t>
      </w:r>
      <w:r w:rsidR="00EA2453" w:rsidRPr="0070292F">
        <w:rPr>
          <w:lang w:val="fr-FR"/>
        </w:rPr>
        <w:t>précité</w:t>
      </w:r>
      <w:r w:rsidR="00595B79" w:rsidRPr="0070292F">
        <w:rPr>
          <w:lang w:val="fr-FR"/>
        </w:rPr>
        <w:t xml:space="preserve">, §§ 26-29, </w:t>
      </w:r>
      <w:r w:rsidR="002C6479" w:rsidRPr="0070292F">
        <w:rPr>
          <w:lang w:val="fr-FR"/>
        </w:rPr>
        <w:t>et</w:t>
      </w:r>
      <w:r w:rsidR="00595B79" w:rsidRPr="0070292F">
        <w:rPr>
          <w:lang w:val="fr-FR"/>
        </w:rPr>
        <w:t xml:space="preserve"> </w:t>
      </w:r>
      <w:r w:rsidR="00EA2453" w:rsidRPr="0070292F">
        <w:rPr>
          <w:i/>
          <w:lang w:val="fr-FR"/>
        </w:rPr>
        <w:t>Capitani et Campanella</w:t>
      </w:r>
      <w:r w:rsidR="00EA2453" w:rsidRPr="0070292F">
        <w:rPr>
          <w:lang w:val="fr-FR"/>
        </w:rPr>
        <w:t>,</w:t>
      </w:r>
      <w:r w:rsidR="00EA2453" w:rsidRPr="0070292F">
        <w:rPr>
          <w:i/>
          <w:lang w:val="fr-FR"/>
        </w:rPr>
        <w:t xml:space="preserve"> </w:t>
      </w:r>
      <w:r w:rsidR="001D0B42" w:rsidRPr="0070292F">
        <w:rPr>
          <w:lang w:val="fr-FR"/>
        </w:rPr>
        <w:t>précité, §§ 26-29</w:t>
      </w:r>
      <w:r w:rsidR="00162F1A" w:rsidRPr="0070292F">
        <w:rPr>
          <w:lang w:val="fr-FR"/>
        </w:rPr>
        <w:t>).</w:t>
      </w:r>
    </w:p>
    <w:p w:rsidR="008E5270" w:rsidRPr="0070292F" w:rsidRDefault="00AB04F5" w:rsidP="0070292F">
      <w:pPr>
        <w:pStyle w:val="ECHRPara"/>
        <w:rPr>
          <w:lang w:val="fr-FR"/>
        </w:rPr>
      </w:pPr>
      <w:r w:rsidRPr="0070292F">
        <w:rPr>
          <w:rStyle w:val="JuParaCar"/>
          <w:lang w:val="fr-FR"/>
        </w:rPr>
        <w:fldChar w:fldCharType="begin"/>
      </w:r>
      <w:r w:rsidRPr="0070292F">
        <w:rPr>
          <w:rStyle w:val="JuParaCar"/>
          <w:lang w:val="fr-FR"/>
        </w:rPr>
        <w:instrText xml:space="preserve"> SEQ level0 \*arabic </w:instrText>
      </w:r>
      <w:r w:rsidRPr="0070292F">
        <w:rPr>
          <w:rStyle w:val="JuParaCar"/>
          <w:lang w:val="fr-FR"/>
        </w:rPr>
        <w:fldChar w:fldCharType="separate"/>
      </w:r>
      <w:r w:rsidR="0070292F" w:rsidRPr="0070292F">
        <w:rPr>
          <w:rStyle w:val="JuParaCar"/>
          <w:noProof/>
          <w:lang w:val="fr-FR"/>
        </w:rPr>
        <w:t>167</w:t>
      </w:r>
      <w:r w:rsidRPr="0070292F">
        <w:rPr>
          <w:rStyle w:val="JuParaCar"/>
          <w:lang w:val="fr-FR"/>
        </w:rPr>
        <w:fldChar w:fldCharType="end"/>
      </w:r>
      <w:r w:rsidRPr="0070292F">
        <w:rPr>
          <w:rStyle w:val="JuParaCar"/>
          <w:lang w:val="fr-FR"/>
        </w:rPr>
        <w:t>.  </w:t>
      </w:r>
      <w:r w:rsidR="00FD1463" w:rsidRPr="0070292F">
        <w:rPr>
          <w:rStyle w:val="JuParaCar"/>
          <w:lang w:val="fr-FR"/>
        </w:rPr>
        <w:t xml:space="preserve">De plus, </w:t>
      </w:r>
      <w:r w:rsidR="00C067D2" w:rsidRPr="0070292F">
        <w:rPr>
          <w:rStyle w:val="JuParaCar"/>
          <w:lang w:val="fr-FR"/>
        </w:rPr>
        <w:t>selon la Cour</w:t>
      </w:r>
      <w:r w:rsidR="001C52D4" w:rsidRPr="0070292F">
        <w:rPr>
          <w:rStyle w:val="JuParaCar"/>
          <w:lang w:val="fr-FR"/>
        </w:rPr>
        <w:t>,</w:t>
      </w:r>
      <w:r w:rsidR="00C067D2" w:rsidRPr="0070292F">
        <w:rPr>
          <w:rStyle w:val="JuParaCar"/>
          <w:lang w:val="fr-FR"/>
        </w:rPr>
        <w:t xml:space="preserve"> les circonstances de l</w:t>
      </w:r>
      <w:r w:rsidR="0070292F" w:rsidRPr="0070292F">
        <w:rPr>
          <w:rStyle w:val="JuParaCar"/>
          <w:lang w:val="fr-FR"/>
        </w:rPr>
        <w:t>’</w:t>
      </w:r>
      <w:r w:rsidR="00C067D2" w:rsidRPr="0070292F">
        <w:rPr>
          <w:rStyle w:val="JuParaCar"/>
          <w:lang w:val="fr-FR"/>
        </w:rPr>
        <w:t>espèce exigeaient la tenue d</w:t>
      </w:r>
      <w:r w:rsidR="0070292F" w:rsidRPr="0070292F">
        <w:rPr>
          <w:rStyle w:val="JuParaCar"/>
          <w:lang w:val="fr-FR"/>
        </w:rPr>
        <w:t>’</w:t>
      </w:r>
      <w:r w:rsidR="00C067D2" w:rsidRPr="0070292F">
        <w:rPr>
          <w:rStyle w:val="JuParaCar"/>
          <w:lang w:val="fr-FR"/>
        </w:rPr>
        <w:t>une audience</w:t>
      </w:r>
      <w:r w:rsidRPr="0070292F">
        <w:rPr>
          <w:rStyle w:val="JuParaCar"/>
          <w:lang w:val="fr-FR"/>
        </w:rPr>
        <w:t xml:space="preserve"> publique</w:t>
      </w:r>
      <w:r w:rsidR="00C067D2" w:rsidRPr="0070292F">
        <w:rPr>
          <w:rStyle w:val="JuParaCar"/>
          <w:lang w:val="fr-FR"/>
        </w:rPr>
        <w:t xml:space="preserve">, compte tenu de ce que </w:t>
      </w:r>
      <w:r w:rsidR="00FD1463" w:rsidRPr="0070292F">
        <w:rPr>
          <w:rStyle w:val="JuParaCar"/>
          <w:lang w:val="fr-FR"/>
        </w:rPr>
        <w:t xml:space="preserve">les juridictions internes </w:t>
      </w:r>
      <w:r w:rsidR="003A7F36" w:rsidRPr="0070292F">
        <w:rPr>
          <w:rStyle w:val="JuParaCar"/>
          <w:lang w:val="fr-FR"/>
        </w:rPr>
        <w:t xml:space="preserve">ont dû </w:t>
      </w:r>
      <w:r w:rsidR="00AA2405" w:rsidRPr="0070292F">
        <w:rPr>
          <w:rStyle w:val="JuParaCar"/>
          <w:lang w:val="fr-FR"/>
        </w:rPr>
        <w:t>apprécier</w:t>
      </w:r>
      <w:r w:rsidR="00FD1463" w:rsidRPr="0070292F">
        <w:rPr>
          <w:rStyle w:val="JuParaCar"/>
          <w:lang w:val="fr-FR"/>
        </w:rPr>
        <w:t xml:space="preserve"> des éléments tels que la personnalité du requérant, son comportement ainsi que sa dangerosité, lesquels ont été décisifs pour l</w:t>
      </w:r>
      <w:r w:rsidR="0070292F" w:rsidRPr="0070292F">
        <w:rPr>
          <w:rStyle w:val="JuParaCar"/>
          <w:lang w:val="fr-FR"/>
        </w:rPr>
        <w:t>’</w:t>
      </w:r>
      <w:r w:rsidR="00FD1463" w:rsidRPr="0070292F">
        <w:rPr>
          <w:rStyle w:val="JuParaCar"/>
          <w:lang w:val="fr-FR"/>
        </w:rPr>
        <w:t>application de la mesure de prévention</w:t>
      </w:r>
      <w:r w:rsidR="00303652" w:rsidRPr="0070292F">
        <w:rPr>
          <w:rStyle w:val="JuParaCar"/>
          <w:lang w:val="fr-FR"/>
        </w:rPr>
        <w:t xml:space="preserve"> </w:t>
      </w:r>
      <w:r w:rsidR="001D18AF" w:rsidRPr="0070292F">
        <w:rPr>
          <w:rStyle w:val="JuParaCar"/>
          <w:lang w:val="fr-FR"/>
        </w:rPr>
        <w:t>(</w:t>
      </w:r>
      <w:r w:rsidR="00303652" w:rsidRPr="0070292F">
        <w:rPr>
          <w:rStyle w:val="JuParaCar"/>
          <w:lang w:val="fr-FR"/>
        </w:rPr>
        <w:t>voir</w:t>
      </w:r>
      <w:r w:rsidR="00990D2F" w:rsidRPr="0070292F">
        <w:rPr>
          <w:rStyle w:val="JuParaCar"/>
          <w:lang w:val="fr-FR"/>
        </w:rPr>
        <w:t>,</w:t>
      </w:r>
      <w:r w:rsidR="00303652" w:rsidRPr="0070292F">
        <w:rPr>
          <w:rStyle w:val="JuParaCar"/>
          <w:lang w:val="fr-FR"/>
        </w:rPr>
        <w:t xml:space="preserve"> </w:t>
      </w:r>
      <w:r w:rsidR="00D707F9" w:rsidRPr="0070292F">
        <w:rPr>
          <w:rStyle w:val="JuParaCar"/>
          <w:i/>
          <w:lang w:val="fr-FR"/>
        </w:rPr>
        <w:t>mutatis mutandis</w:t>
      </w:r>
      <w:r w:rsidR="00990D2F" w:rsidRPr="0070292F">
        <w:rPr>
          <w:rStyle w:val="JuParaCar"/>
          <w:lang w:val="fr-FR"/>
        </w:rPr>
        <w:t>,</w:t>
      </w:r>
      <w:r w:rsidR="00D707F9" w:rsidRPr="0070292F">
        <w:rPr>
          <w:rStyle w:val="JuParaCar"/>
          <w:lang w:val="fr-FR"/>
        </w:rPr>
        <w:t xml:space="preserve"> </w:t>
      </w:r>
      <w:r w:rsidR="00303652" w:rsidRPr="0070292F">
        <w:rPr>
          <w:i/>
          <w:lang w:val="fr-FR"/>
        </w:rPr>
        <w:t>Jussila</w:t>
      </w:r>
      <w:r w:rsidR="00303652" w:rsidRPr="0070292F">
        <w:rPr>
          <w:lang w:val="fr-FR"/>
        </w:rPr>
        <w:t>,</w:t>
      </w:r>
      <w:r w:rsidR="00303652" w:rsidRPr="0070292F">
        <w:rPr>
          <w:i/>
          <w:lang w:val="fr-FR"/>
        </w:rPr>
        <w:t xml:space="preserve"> </w:t>
      </w:r>
      <w:r w:rsidR="00303652" w:rsidRPr="0070292F">
        <w:rPr>
          <w:lang w:val="fr-FR"/>
        </w:rPr>
        <w:t>précité</w:t>
      </w:r>
      <w:r w:rsidR="00990D2F" w:rsidRPr="0070292F">
        <w:rPr>
          <w:lang w:val="fr-FR"/>
        </w:rPr>
        <w:t>,</w:t>
      </w:r>
      <w:r w:rsidR="00303652" w:rsidRPr="0070292F">
        <w:rPr>
          <w:lang w:val="fr-FR"/>
        </w:rPr>
        <w:t xml:space="preserve"> § 41).</w:t>
      </w:r>
    </w:p>
    <w:p w:rsidR="00525984" w:rsidRPr="0070292F" w:rsidRDefault="00AB04F5" w:rsidP="0070292F">
      <w:pPr>
        <w:pStyle w:val="ECHRPara"/>
        <w:rPr>
          <w:lang w:val="fr-FR"/>
        </w:rPr>
      </w:pPr>
      <w:r w:rsidRPr="0070292F">
        <w:rPr>
          <w:lang w:val="fr-FR"/>
        </w:rPr>
        <w:lastRenderedPageBreak/>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168</w:t>
      </w:r>
      <w:r w:rsidRPr="0070292F">
        <w:rPr>
          <w:lang w:val="fr-FR"/>
        </w:rPr>
        <w:fldChar w:fldCharType="end"/>
      </w:r>
      <w:r w:rsidRPr="0070292F">
        <w:rPr>
          <w:lang w:val="fr-FR"/>
        </w:rPr>
        <w:t>.  </w:t>
      </w:r>
      <w:r w:rsidR="00990D2F" w:rsidRPr="0070292F">
        <w:rPr>
          <w:rFonts w:cstheme="minorHAnsi"/>
          <w:lang w:val="fr-FR"/>
        </w:rPr>
        <w:t>À</w:t>
      </w:r>
      <w:r w:rsidR="0055589A" w:rsidRPr="0070292F">
        <w:rPr>
          <w:lang w:val="fr-FR"/>
        </w:rPr>
        <w:t xml:space="preserve"> </w:t>
      </w:r>
      <w:r w:rsidR="0077617B" w:rsidRPr="0070292F">
        <w:rPr>
          <w:lang w:val="fr-FR"/>
        </w:rPr>
        <w:t>la lumière de ce qui précède,</w:t>
      </w:r>
      <w:r w:rsidR="00A24629" w:rsidRPr="0070292F">
        <w:rPr>
          <w:lang w:val="fr-FR"/>
        </w:rPr>
        <w:t xml:space="preserve"> </w:t>
      </w:r>
      <w:r w:rsidR="0055589A" w:rsidRPr="0070292F">
        <w:rPr>
          <w:lang w:val="fr-FR"/>
        </w:rPr>
        <w:t xml:space="preserve">la Cour, </w:t>
      </w:r>
      <w:r w:rsidR="00AA5F81" w:rsidRPr="0070292F">
        <w:rPr>
          <w:lang w:val="fr-FR"/>
        </w:rPr>
        <w:t>estime</w:t>
      </w:r>
      <w:r w:rsidR="003F7A1B" w:rsidRPr="0070292F">
        <w:rPr>
          <w:lang w:val="fr-FR"/>
        </w:rPr>
        <w:t>,</w:t>
      </w:r>
      <w:r w:rsidR="00AA5F81" w:rsidRPr="0070292F">
        <w:rPr>
          <w:lang w:val="fr-FR"/>
        </w:rPr>
        <w:t xml:space="preserve"> </w:t>
      </w:r>
      <w:r w:rsidR="00DB00DF" w:rsidRPr="0070292F">
        <w:rPr>
          <w:lang w:val="fr-FR"/>
        </w:rPr>
        <w:t>dès lors</w:t>
      </w:r>
      <w:r w:rsidR="003F7A1B" w:rsidRPr="0070292F">
        <w:rPr>
          <w:lang w:val="fr-FR"/>
        </w:rPr>
        <w:t>,</w:t>
      </w:r>
      <w:r w:rsidR="00DB00DF" w:rsidRPr="0070292F">
        <w:rPr>
          <w:lang w:val="fr-FR"/>
        </w:rPr>
        <w:t xml:space="preserve"> </w:t>
      </w:r>
      <w:r w:rsidR="00AA5F81" w:rsidRPr="0070292F">
        <w:rPr>
          <w:lang w:val="fr-FR"/>
        </w:rPr>
        <w:t>qu</w:t>
      </w:r>
      <w:r w:rsidR="0070292F" w:rsidRPr="0070292F">
        <w:rPr>
          <w:lang w:val="fr-FR"/>
        </w:rPr>
        <w:t>’</w:t>
      </w:r>
      <w:r w:rsidR="00A66897" w:rsidRPr="0070292F">
        <w:rPr>
          <w:lang w:val="fr-FR"/>
        </w:rPr>
        <w:t>il y a eu</w:t>
      </w:r>
      <w:r w:rsidR="002C6479" w:rsidRPr="0070292F">
        <w:rPr>
          <w:lang w:val="fr-FR"/>
        </w:rPr>
        <w:t xml:space="preserve"> de ce chef</w:t>
      </w:r>
      <w:r w:rsidR="00A66897" w:rsidRPr="0070292F">
        <w:rPr>
          <w:lang w:val="fr-FR"/>
        </w:rPr>
        <w:t xml:space="preserve"> violation de</w:t>
      </w:r>
      <w:r w:rsidR="00595B79" w:rsidRPr="0070292F">
        <w:rPr>
          <w:lang w:val="fr-FR"/>
        </w:rPr>
        <w:t xml:space="preserve"> l</w:t>
      </w:r>
      <w:r w:rsidR="0070292F" w:rsidRPr="0070292F">
        <w:rPr>
          <w:lang w:val="fr-FR"/>
        </w:rPr>
        <w:t>’</w:t>
      </w:r>
      <w:r w:rsidR="00595B79" w:rsidRPr="0070292F">
        <w:rPr>
          <w:lang w:val="fr-FR"/>
        </w:rPr>
        <w:t>article 6 § 1 de la Convention.</w:t>
      </w:r>
    </w:p>
    <w:p w:rsidR="00771E8F" w:rsidRPr="0070292F" w:rsidRDefault="00771E8F" w:rsidP="0070292F">
      <w:pPr>
        <w:pStyle w:val="ECHRHeading4"/>
        <w:rPr>
          <w:lang w:val="fr-FR"/>
        </w:rPr>
      </w:pPr>
      <w:r w:rsidRPr="0070292F">
        <w:rPr>
          <w:lang w:val="fr-FR"/>
        </w:rPr>
        <w:t>b)</w:t>
      </w:r>
      <w:r w:rsidR="008E1A50" w:rsidRPr="0070292F">
        <w:rPr>
          <w:lang w:val="fr-FR"/>
        </w:rPr>
        <w:t>  </w:t>
      </w:r>
      <w:r w:rsidR="004F7DC8" w:rsidRPr="0070292F">
        <w:rPr>
          <w:lang w:val="fr-FR"/>
        </w:rPr>
        <w:t>Sur le grief tiré du défaut d</w:t>
      </w:r>
      <w:r w:rsidR="0070292F" w:rsidRPr="0070292F">
        <w:rPr>
          <w:lang w:val="fr-FR"/>
        </w:rPr>
        <w:t>’</w:t>
      </w:r>
      <w:r w:rsidR="004F7DC8" w:rsidRPr="0070292F">
        <w:rPr>
          <w:lang w:val="fr-FR"/>
        </w:rPr>
        <w:t>équité de la procédure</w:t>
      </w:r>
    </w:p>
    <w:p w:rsidR="0070292F" w:rsidRPr="0070292F" w:rsidRDefault="00AB04F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169</w:t>
      </w:r>
      <w:r w:rsidRPr="0070292F">
        <w:rPr>
          <w:lang w:val="fr-FR"/>
        </w:rPr>
        <w:fldChar w:fldCharType="end"/>
      </w:r>
      <w:r w:rsidRPr="0070292F">
        <w:rPr>
          <w:lang w:val="fr-FR"/>
        </w:rPr>
        <w:t>.  </w:t>
      </w:r>
      <w:r w:rsidR="007C3EC1" w:rsidRPr="0070292F">
        <w:rPr>
          <w:lang w:val="fr-FR"/>
        </w:rPr>
        <w:t xml:space="preserve">Quant aux doléances </w:t>
      </w:r>
      <w:r w:rsidR="001302D7" w:rsidRPr="0070292F">
        <w:rPr>
          <w:lang w:val="fr-FR"/>
        </w:rPr>
        <w:t xml:space="preserve">concernant </w:t>
      </w:r>
      <w:r w:rsidR="007C3EC1" w:rsidRPr="0070292F">
        <w:rPr>
          <w:lang w:val="fr-FR"/>
        </w:rPr>
        <w:t>spécifique</w:t>
      </w:r>
      <w:r w:rsidR="001302D7" w:rsidRPr="0070292F">
        <w:rPr>
          <w:lang w:val="fr-FR"/>
        </w:rPr>
        <w:t>ment</w:t>
      </w:r>
      <w:r w:rsidR="007C3EC1" w:rsidRPr="0070292F">
        <w:rPr>
          <w:lang w:val="fr-FR"/>
        </w:rPr>
        <w:t xml:space="preserve"> la procédure</w:t>
      </w:r>
      <w:r w:rsidR="00F85083" w:rsidRPr="0070292F">
        <w:rPr>
          <w:lang w:val="fr-FR"/>
        </w:rPr>
        <w:t xml:space="preserve"> devant</w:t>
      </w:r>
      <w:r w:rsidR="007C3EC1" w:rsidRPr="0070292F">
        <w:rPr>
          <w:lang w:val="fr-FR"/>
        </w:rPr>
        <w:t xml:space="preserve"> le tribunal de Bari</w:t>
      </w:r>
      <w:r w:rsidR="004F7DC8" w:rsidRPr="0070292F">
        <w:rPr>
          <w:lang w:val="fr-FR"/>
        </w:rPr>
        <w:t>,</w:t>
      </w:r>
      <w:r w:rsidR="007C3EC1" w:rsidRPr="0070292F">
        <w:rPr>
          <w:lang w:val="fr-FR"/>
        </w:rPr>
        <w:t xml:space="preserve"> la Cour rappelle qu</w:t>
      </w:r>
      <w:r w:rsidR="0070292F" w:rsidRPr="0070292F">
        <w:rPr>
          <w:lang w:val="fr-FR"/>
        </w:rPr>
        <w:t>’</w:t>
      </w:r>
      <w:r w:rsidR="007C3EC1" w:rsidRPr="0070292F">
        <w:rPr>
          <w:lang w:val="fr-FR"/>
        </w:rPr>
        <w:t>elle a pour tâche d</w:t>
      </w:r>
      <w:r w:rsidR="0070292F" w:rsidRPr="0070292F">
        <w:rPr>
          <w:lang w:val="fr-FR"/>
        </w:rPr>
        <w:t>’</w:t>
      </w:r>
      <w:r w:rsidR="007C3EC1" w:rsidRPr="0070292F">
        <w:rPr>
          <w:lang w:val="fr-FR"/>
        </w:rPr>
        <w:t>assurer le respect des engagements résultant de la Convention pour les Parties contractantes.</w:t>
      </w:r>
    </w:p>
    <w:p w:rsidR="007C3EC1" w:rsidRPr="0070292F" w:rsidRDefault="00AB04F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170</w:t>
      </w:r>
      <w:r w:rsidRPr="0070292F">
        <w:rPr>
          <w:lang w:val="fr-FR"/>
        </w:rPr>
        <w:fldChar w:fldCharType="end"/>
      </w:r>
      <w:r w:rsidRPr="0070292F">
        <w:rPr>
          <w:lang w:val="fr-FR"/>
        </w:rPr>
        <w:t>.  </w:t>
      </w:r>
      <w:r w:rsidR="007C3EC1" w:rsidRPr="0070292F">
        <w:rPr>
          <w:lang w:val="fr-FR"/>
        </w:rPr>
        <w:t>En particulier, elle rappelle qu</w:t>
      </w:r>
      <w:r w:rsidR="0070292F" w:rsidRPr="0070292F">
        <w:rPr>
          <w:lang w:val="fr-FR"/>
        </w:rPr>
        <w:t>’</w:t>
      </w:r>
      <w:r w:rsidR="007C3EC1" w:rsidRPr="0070292F">
        <w:rPr>
          <w:lang w:val="fr-FR"/>
        </w:rPr>
        <w:t xml:space="preserve">il ne lui appartient pas de connaître des erreurs de fait ou de droit éventuellement commises par une juridiction interne, sauf si et dans la mesure où elles peuvent avoir porté atteinte aux droits et libertés sauvegardés par la Convention (voir, par exemple, </w:t>
      </w:r>
      <w:r w:rsidR="0070292F" w:rsidRPr="0070292F">
        <w:rPr>
          <w:i/>
          <w:lang w:val="fr-FR"/>
        </w:rPr>
        <w:t>García </w:t>
      </w:r>
      <w:r w:rsidR="007C3EC1" w:rsidRPr="0070292F">
        <w:rPr>
          <w:i/>
          <w:lang w:val="fr-FR"/>
        </w:rPr>
        <w:t>Ruiz c. Espagne</w:t>
      </w:r>
      <w:r w:rsidR="007C3EC1" w:rsidRPr="0070292F">
        <w:rPr>
          <w:lang w:val="fr-FR"/>
        </w:rPr>
        <w:t xml:space="preserve"> [GC], n</w:t>
      </w:r>
      <w:r w:rsidR="008C1E94" w:rsidRPr="0070292F">
        <w:rPr>
          <w:vertAlign w:val="superscript"/>
          <w:lang w:val="fr-FR"/>
        </w:rPr>
        <w:t>o</w:t>
      </w:r>
      <w:r w:rsidR="007C3EC1" w:rsidRPr="0070292F">
        <w:rPr>
          <w:lang w:val="fr-FR"/>
        </w:rPr>
        <w:t xml:space="preserve"> </w:t>
      </w:r>
      <w:hyperlink r:id="rId29" w:anchor="{&quot;appno&quot;:[&quot;30544/96&quot;]}" w:tgtFrame="_blank" w:history="1">
        <w:r w:rsidR="007C3EC1" w:rsidRPr="0070292F">
          <w:rPr>
            <w:rStyle w:val="Collegamentoipertestuale"/>
            <w:color w:val="auto"/>
            <w:u w:val="none"/>
            <w:lang w:val="fr-FR"/>
          </w:rPr>
          <w:t>30544/96</w:t>
        </w:r>
      </w:hyperlink>
      <w:r w:rsidR="007C3EC1" w:rsidRPr="0070292F">
        <w:rPr>
          <w:lang w:val="fr-FR"/>
        </w:rPr>
        <w:t>, § 28, CEDH 1999</w:t>
      </w:r>
      <w:r w:rsidR="007C3EC1" w:rsidRPr="0070292F">
        <w:rPr>
          <w:lang w:val="fr-FR"/>
        </w:rPr>
        <w:noBreakHyphen/>
        <w:t xml:space="preserve">I, et </w:t>
      </w:r>
      <w:r w:rsidR="007C3EC1" w:rsidRPr="0070292F">
        <w:rPr>
          <w:i/>
          <w:lang w:val="fr-FR"/>
        </w:rPr>
        <w:t>Perez c.</w:t>
      </w:r>
      <w:r w:rsidR="006D56F5" w:rsidRPr="0070292F">
        <w:rPr>
          <w:i/>
          <w:lang w:val="fr-FR"/>
        </w:rPr>
        <w:t> </w:t>
      </w:r>
      <w:r w:rsidR="007C3EC1" w:rsidRPr="0070292F">
        <w:rPr>
          <w:i/>
          <w:lang w:val="fr-FR"/>
        </w:rPr>
        <w:t>France</w:t>
      </w:r>
      <w:r w:rsidR="007C3EC1" w:rsidRPr="0070292F">
        <w:rPr>
          <w:lang w:val="fr-FR"/>
        </w:rPr>
        <w:t xml:space="preserve"> [GC], n</w:t>
      </w:r>
      <w:r w:rsidR="008C1E94" w:rsidRPr="0070292F">
        <w:rPr>
          <w:vertAlign w:val="superscript"/>
          <w:lang w:val="fr-FR"/>
        </w:rPr>
        <w:t>o</w:t>
      </w:r>
      <w:r w:rsidR="007C3EC1" w:rsidRPr="0070292F">
        <w:rPr>
          <w:lang w:val="fr-FR"/>
        </w:rPr>
        <w:t> </w:t>
      </w:r>
      <w:hyperlink r:id="rId30" w:anchor="{&quot;appno&quot;:[&quot;47287/99&quot;]}" w:tgtFrame="_blank" w:history="1">
        <w:r w:rsidR="007C3EC1" w:rsidRPr="0070292F">
          <w:rPr>
            <w:rStyle w:val="Collegamentoipertestuale"/>
            <w:color w:val="auto"/>
            <w:u w:val="none"/>
            <w:lang w:val="fr-FR"/>
          </w:rPr>
          <w:t>47287/99</w:t>
        </w:r>
      </w:hyperlink>
      <w:r w:rsidR="007C3EC1" w:rsidRPr="0070292F">
        <w:rPr>
          <w:lang w:val="fr-FR"/>
        </w:rPr>
        <w:t>, § 82, CEDH 2004</w:t>
      </w:r>
      <w:r w:rsidR="007C3EC1" w:rsidRPr="0070292F">
        <w:rPr>
          <w:lang w:val="fr-FR"/>
        </w:rPr>
        <w:noBreakHyphen/>
        <w:t>I), par exemple si elles peuvent s</w:t>
      </w:r>
      <w:r w:rsidR="0070292F" w:rsidRPr="0070292F">
        <w:rPr>
          <w:lang w:val="fr-FR"/>
        </w:rPr>
        <w:t>’</w:t>
      </w:r>
      <w:r w:rsidR="007C3EC1" w:rsidRPr="0070292F">
        <w:rPr>
          <w:lang w:val="fr-FR"/>
        </w:rPr>
        <w:t>analyser en un « manque d</w:t>
      </w:r>
      <w:r w:rsidR="0070292F" w:rsidRPr="0070292F">
        <w:rPr>
          <w:lang w:val="fr-FR"/>
        </w:rPr>
        <w:t>’</w:t>
      </w:r>
      <w:r w:rsidR="007C3EC1" w:rsidRPr="0070292F">
        <w:rPr>
          <w:lang w:val="fr-FR"/>
        </w:rPr>
        <w:t>équité » incompatible avec l</w:t>
      </w:r>
      <w:r w:rsidR="0070292F" w:rsidRPr="0070292F">
        <w:rPr>
          <w:lang w:val="fr-FR"/>
        </w:rPr>
        <w:t>’</w:t>
      </w:r>
      <w:r w:rsidR="007C3EC1" w:rsidRPr="0070292F">
        <w:rPr>
          <w:lang w:val="fr-FR"/>
        </w:rPr>
        <w:t>article 6 de la Convention. Si cette disposition garantit le droit à un procès équitable, elle ne réglemente pas pour autant l</w:t>
      </w:r>
      <w:r w:rsidR="0070292F" w:rsidRPr="0070292F">
        <w:rPr>
          <w:lang w:val="fr-FR"/>
        </w:rPr>
        <w:t>’</w:t>
      </w:r>
      <w:r w:rsidR="007C3EC1" w:rsidRPr="0070292F">
        <w:rPr>
          <w:lang w:val="fr-FR"/>
        </w:rPr>
        <w:t>admissibilité des preuves ou leur appréciation, matière qui relève au premier chef du droit interne et des juridictions nationales. En principe, des questions telles que le poids attaché par les tribunaux nationaux à tel ou tel élément de preuve ou à telle ou telle conclusion ou appréciation dont ils ont eu à connaître échappent au contrôle de la Cour. Celle-ci n</w:t>
      </w:r>
      <w:r w:rsidR="0070292F" w:rsidRPr="0070292F">
        <w:rPr>
          <w:lang w:val="fr-FR"/>
        </w:rPr>
        <w:t>’</w:t>
      </w:r>
      <w:r w:rsidR="007C3EC1" w:rsidRPr="0070292F">
        <w:rPr>
          <w:lang w:val="fr-FR"/>
        </w:rPr>
        <w:t>a pas à tenir lieu de juge de quatrième instance et elle ne remet pas en cause sous l</w:t>
      </w:r>
      <w:r w:rsidR="0070292F" w:rsidRPr="0070292F">
        <w:rPr>
          <w:lang w:val="fr-FR"/>
        </w:rPr>
        <w:t>’</w:t>
      </w:r>
      <w:r w:rsidR="007C3EC1" w:rsidRPr="0070292F">
        <w:rPr>
          <w:lang w:val="fr-FR"/>
        </w:rPr>
        <w:t>angle de l</w:t>
      </w:r>
      <w:r w:rsidR="0070292F" w:rsidRPr="0070292F">
        <w:rPr>
          <w:lang w:val="fr-FR"/>
        </w:rPr>
        <w:t>’</w:t>
      </w:r>
      <w:r w:rsidR="007C3EC1" w:rsidRPr="0070292F">
        <w:rPr>
          <w:lang w:val="fr-FR"/>
        </w:rPr>
        <w:t>article 6 § 1 l</w:t>
      </w:r>
      <w:r w:rsidR="0070292F" w:rsidRPr="0070292F">
        <w:rPr>
          <w:lang w:val="fr-FR"/>
        </w:rPr>
        <w:t>’</w:t>
      </w:r>
      <w:r w:rsidR="007C3EC1" w:rsidRPr="0070292F">
        <w:rPr>
          <w:lang w:val="fr-FR"/>
        </w:rPr>
        <w:t xml:space="preserve">appréciation des tribunaux nationaux, sauf si leurs conclusions peuvent passer pour arbitraires ou manifestement déraisonnables (voir, par exemple, </w:t>
      </w:r>
      <w:r w:rsidR="007C3EC1" w:rsidRPr="0070292F">
        <w:rPr>
          <w:i/>
          <w:lang w:val="fr-FR"/>
        </w:rPr>
        <w:t>Dulaurans c.</w:t>
      </w:r>
      <w:r w:rsidR="006D56F5" w:rsidRPr="0070292F">
        <w:rPr>
          <w:i/>
          <w:lang w:val="fr-FR"/>
        </w:rPr>
        <w:t> </w:t>
      </w:r>
      <w:r w:rsidR="007C3EC1" w:rsidRPr="0070292F">
        <w:rPr>
          <w:i/>
          <w:lang w:val="fr-FR"/>
        </w:rPr>
        <w:t xml:space="preserve">France, </w:t>
      </w:r>
      <w:r w:rsidR="007C3EC1" w:rsidRPr="0070292F">
        <w:rPr>
          <w:lang w:val="fr-FR"/>
        </w:rPr>
        <w:t>n</w:t>
      </w:r>
      <w:r w:rsidR="008C1E94" w:rsidRPr="0070292F">
        <w:rPr>
          <w:vertAlign w:val="superscript"/>
          <w:lang w:val="fr-FR"/>
        </w:rPr>
        <w:t>o</w:t>
      </w:r>
      <w:r w:rsidR="007C3EC1" w:rsidRPr="0070292F">
        <w:rPr>
          <w:lang w:val="fr-FR"/>
        </w:rPr>
        <w:t> </w:t>
      </w:r>
      <w:hyperlink r:id="rId31" w:anchor="{&quot;appno&quot;:[&quot;34553/97&quot;]}" w:tgtFrame="_blank" w:history="1">
        <w:r w:rsidR="007C3EC1" w:rsidRPr="0070292F">
          <w:rPr>
            <w:rStyle w:val="Collegamentoipertestuale"/>
            <w:color w:val="auto"/>
            <w:u w:val="none"/>
            <w:lang w:val="fr-FR"/>
          </w:rPr>
          <w:t>34553/97</w:t>
        </w:r>
      </w:hyperlink>
      <w:r w:rsidR="007C3EC1" w:rsidRPr="0070292F">
        <w:rPr>
          <w:lang w:val="fr-FR"/>
        </w:rPr>
        <w:t xml:space="preserve">, §§ 33-34 et 38, 21 mars 2000, </w:t>
      </w:r>
      <w:r w:rsidR="007C3EC1" w:rsidRPr="0070292F">
        <w:rPr>
          <w:i/>
          <w:lang w:val="fr-FR"/>
        </w:rPr>
        <w:t>Khamidov c. Russie</w:t>
      </w:r>
      <w:r w:rsidR="007C3EC1" w:rsidRPr="0070292F">
        <w:rPr>
          <w:lang w:val="fr-FR"/>
        </w:rPr>
        <w:t>, n</w:t>
      </w:r>
      <w:r w:rsidR="008C1E94" w:rsidRPr="0070292F">
        <w:rPr>
          <w:vertAlign w:val="superscript"/>
          <w:lang w:val="fr-FR"/>
        </w:rPr>
        <w:t>o</w:t>
      </w:r>
      <w:r w:rsidR="007C3EC1" w:rsidRPr="0070292F">
        <w:rPr>
          <w:lang w:val="fr-FR"/>
        </w:rPr>
        <w:t> </w:t>
      </w:r>
      <w:hyperlink r:id="rId32" w:anchor="{&quot;appno&quot;:[&quot;72118/01&quot;]}" w:tgtFrame="_blank" w:history="1">
        <w:r w:rsidR="007C3EC1" w:rsidRPr="0070292F">
          <w:rPr>
            <w:rStyle w:val="Collegamentoipertestuale"/>
            <w:color w:val="auto"/>
            <w:u w:val="none"/>
            <w:lang w:val="fr-FR"/>
          </w:rPr>
          <w:t>72118/01</w:t>
        </w:r>
      </w:hyperlink>
      <w:r w:rsidR="007C3EC1" w:rsidRPr="0070292F">
        <w:rPr>
          <w:lang w:val="fr-FR"/>
        </w:rPr>
        <w:t xml:space="preserve">, § 170, 15 novembre 2007, </w:t>
      </w:r>
      <w:r w:rsidR="007C3EC1" w:rsidRPr="0070292F">
        <w:rPr>
          <w:i/>
          <w:lang w:val="fr-FR"/>
        </w:rPr>
        <w:t>Anđelković c. Serbie</w:t>
      </w:r>
      <w:r w:rsidR="007C3EC1" w:rsidRPr="0070292F">
        <w:rPr>
          <w:lang w:val="fr-FR"/>
        </w:rPr>
        <w:t>, n</w:t>
      </w:r>
      <w:r w:rsidR="008C1E94" w:rsidRPr="0070292F">
        <w:rPr>
          <w:vertAlign w:val="superscript"/>
          <w:lang w:val="fr-FR"/>
        </w:rPr>
        <w:t>o</w:t>
      </w:r>
      <w:r w:rsidR="007C3EC1" w:rsidRPr="0070292F">
        <w:rPr>
          <w:lang w:val="fr-FR"/>
        </w:rPr>
        <w:t> </w:t>
      </w:r>
      <w:hyperlink r:id="rId33" w:anchor="{&quot;appno&quot;:[&quot;1401/08&quot;]}" w:tgtFrame="_blank" w:history="1">
        <w:r w:rsidR="007C3EC1" w:rsidRPr="0070292F">
          <w:rPr>
            <w:rStyle w:val="Collegamentoipertestuale"/>
            <w:color w:val="auto"/>
            <w:u w:val="none"/>
            <w:lang w:val="fr-FR"/>
          </w:rPr>
          <w:t>1401/08</w:t>
        </w:r>
      </w:hyperlink>
      <w:r w:rsidR="007C3EC1" w:rsidRPr="0070292F">
        <w:rPr>
          <w:lang w:val="fr-FR"/>
        </w:rPr>
        <w:t>, §</w:t>
      </w:r>
      <w:r w:rsidR="00D747CA" w:rsidRPr="0070292F">
        <w:rPr>
          <w:lang w:val="fr-FR"/>
        </w:rPr>
        <w:t> </w:t>
      </w:r>
      <w:r w:rsidR="007C3EC1" w:rsidRPr="0070292F">
        <w:rPr>
          <w:lang w:val="fr-FR"/>
        </w:rPr>
        <w:t>24, 9 avril 2013</w:t>
      </w:r>
      <w:r w:rsidR="001302D7" w:rsidRPr="0070292F">
        <w:rPr>
          <w:lang w:val="fr-FR"/>
        </w:rPr>
        <w:t xml:space="preserve">, et </w:t>
      </w:r>
      <w:r w:rsidR="007C3EC1" w:rsidRPr="0070292F">
        <w:rPr>
          <w:i/>
          <w:lang w:val="fr-FR"/>
        </w:rPr>
        <w:t>Bochan c. Ukraine (n</w:t>
      </w:r>
      <w:r w:rsidR="007C3EC1" w:rsidRPr="0070292F">
        <w:rPr>
          <w:i/>
          <w:vertAlign w:val="superscript"/>
          <w:lang w:val="fr-FR"/>
        </w:rPr>
        <w:t>o</w:t>
      </w:r>
      <w:r w:rsidR="007C3EC1" w:rsidRPr="0070292F">
        <w:rPr>
          <w:i/>
          <w:lang w:val="fr-FR"/>
        </w:rPr>
        <w:t xml:space="preserve"> 2) </w:t>
      </w:r>
      <w:r w:rsidR="007C3EC1" w:rsidRPr="0070292F">
        <w:rPr>
          <w:lang w:val="fr-FR"/>
        </w:rPr>
        <w:t>[GC], n</w:t>
      </w:r>
      <w:r w:rsidR="008C1E94" w:rsidRPr="0070292F">
        <w:rPr>
          <w:vertAlign w:val="superscript"/>
          <w:lang w:val="fr-FR"/>
        </w:rPr>
        <w:t>o</w:t>
      </w:r>
      <w:r w:rsidR="007C3EC1" w:rsidRPr="0070292F">
        <w:rPr>
          <w:lang w:val="fr-FR"/>
        </w:rPr>
        <w:t xml:space="preserve"> 22251/08, §§ 64-65, </w:t>
      </w:r>
      <w:r w:rsidR="001302D7" w:rsidRPr="0070292F">
        <w:rPr>
          <w:lang w:val="fr-FR"/>
        </w:rPr>
        <w:t>CEDH</w:t>
      </w:r>
      <w:r w:rsidR="007C3EC1" w:rsidRPr="0070292F">
        <w:rPr>
          <w:lang w:val="fr-FR"/>
        </w:rPr>
        <w:t xml:space="preserve"> 2015).</w:t>
      </w:r>
    </w:p>
    <w:p w:rsidR="007C3EC1" w:rsidRPr="0070292F" w:rsidRDefault="00AB04F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171</w:t>
      </w:r>
      <w:r w:rsidRPr="0070292F">
        <w:rPr>
          <w:lang w:val="fr-FR"/>
        </w:rPr>
        <w:fldChar w:fldCharType="end"/>
      </w:r>
      <w:r w:rsidRPr="0070292F">
        <w:rPr>
          <w:lang w:val="fr-FR"/>
        </w:rPr>
        <w:t>.  </w:t>
      </w:r>
      <w:r w:rsidR="007C3EC1" w:rsidRPr="0070292F">
        <w:rPr>
          <w:lang w:val="fr-FR"/>
        </w:rPr>
        <w:t>La Cour a pour seule fonction, au regard de l</w:t>
      </w:r>
      <w:r w:rsidR="0070292F" w:rsidRPr="0070292F">
        <w:rPr>
          <w:lang w:val="fr-FR"/>
        </w:rPr>
        <w:t>’</w:t>
      </w:r>
      <w:r w:rsidR="007C3EC1" w:rsidRPr="0070292F">
        <w:rPr>
          <w:lang w:val="fr-FR"/>
        </w:rPr>
        <w:t>article 6 de la Convention, d</w:t>
      </w:r>
      <w:r w:rsidR="0070292F" w:rsidRPr="0070292F">
        <w:rPr>
          <w:lang w:val="fr-FR"/>
        </w:rPr>
        <w:t>’</w:t>
      </w:r>
      <w:r w:rsidR="007C3EC1" w:rsidRPr="0070292F">
        <w:rPr>
          <w:lang w:val="fr-FR"/>
        </w:rPr>
        <w:t>examiner les requêtes alléguant que les juridictions nationales ont méconnu des garanties procédurales spécifiques énoncées par cette disposition ou que la conduite de la procédure dans son ensemble n</w:t>
      </w:r>
      <w:r w:rsidR="0070292F" w:rsidRPr="0070292F">
        <w:rPr>
          <w:lang w:val="fr-FR"/>
        </w:rPr>
        <w:t>’</w:t>
      </w:r>
      <w:r w:rsidR="007C3EC1" w:rsidRPr="0070292F">
        <w:rPr>
          <w:lang w:val="fr-FR"/>
        </w:rPr>
        <w:t xml:space="preserve">a pas garanti un procès équitable au requérant (voir, parmi </w:t>
      </w:r>
      <w:r w:rsidR="00A83D22" w:rsidRPr="0070292F">
        <w:rPr>
          <w:lang w:val="fr-FR"/>
        </w:rPr>
        <w:t xml:space="preserve">bien </w:t>
      </w:r>
      <w:r w:rsidR="007C3EC1" w:rsidRPr="0070292F">
        <w:rPr>
          <w:lang w:val="fr-FR"/>
        </w:rPr>
        <w:t>d</w:t>
      </w:r>
      <w:r w:rsidR="0070292F" w:rsidRPr="0070292F">
        <w:rPr>
          <w:lang w:val="fr-FR"/>
        </w:rPr>
        <w:t>’</w:t>
      </w:r>
      <w:r w:rsidR="007C3EC1" w:rsidRPr="0070292F">
        <w:rPr>
          <w:lang w:val="fr-FR"/>
        </w:rPr>
        <w:t xml:space="preserve">autres, </w:t>
      </w:r>
      <w:r w:rsidR="007C3EC1" w:rsidRPr="0070292F">
        <w:rPr>
          <w:i/>
          <w:lang w:val="fr-FR"/>
        </w:rPr>
        <w:t>Donadzé c. Géorgie</w:t>
      </w:r>
      <w:r w:rsidR="007C3EC1" w:rsidRPr="0070292F">
        <w:rPr>
          <w:lang w:val="fr-FR"/>
        </w:rPr>
        <w:t>, n</w:t>
      </w:r>
      <w:r w:rsidR="008C1E94" w:rsidRPr="0070292F">
        <w:rPr>
          <w:vertAlign w:val="superscript"/>
          <w:lang w:val="fr-FR"/>
        </w:rPr>
        <w:t>o</w:t>
      </w:r>
      <w:r w:rsidR="007C3EC1" w:rsidRPr="0070292F">
        <w:rPr>
          <w:lang w:val="fr-FR"/>
        </w:rPr>
        <w:t xml:space="preserve"> </w:t>
      </w:r>
      <w:hyperlink r:id="rId34" w:anchor="{&quot;appno&quot;:[&quot;74644/01&quot;]}" w:tgtFrame="_blank" w:history="1">
        <w:r w:rsidR="007C3EC1" w:rsidRPr="0070292F">
          <w:rPr>
            <w:rStyle w:val="Collegamentoipertestuale"/>
            <w:color w:val="auto"/>
            <w:u w:val="none"/>
            <w:lang w:val="fr-FR"/>
          </w:rPr>
          <w:t>74644/01</w:t>
        </w:r>
      </w:hyperlink>
      <w:r w:rsidR="007C3EC1" w:rsidRPr="0070292F">
        <w:rPr>
          <w:lang w:val="fr-FR"/>
        </w:rPr>
        <w:t>, §§ 30-31, 7 mars 2006).</w:t>
      </w:r>
    </w:p>
    <w:p w:rsidR="00AC7B9B" w:rsidRPr="0070292F" w:rsidRDefault="00AB04F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172</w:t>
      </w:r>
      <w:r w:rsidRPr="0070292F">
        <w:rPr>
          <w:lang w:val="fr-FR"/>
        </w:rPr>
        <w:fldChar w:fldCharType="end"/>
      </w:r>
      <w:r w:rsidRPr="0070292F">
        <w:rPr>
          <w:lang w:val="fr-FR"/>
        </w:rPr>
        <w:t>.  </w:t>
      </w:r>
      <w:r w:rsidR="007C3EC1" w:rsidRPr="0070292F">
        <w:rPr>
          <w:lang w:val="fr-FR"/>
        </w:rPr>
        <w:t>En l</w:t>
      </w:r>
      <w:r w:rsidR="0070292F" w:rsidRPr="0070292F">
        <w:rPr>
          <w:lang w:val="fr-FR"/>
        </w:rPr>
        <w:t>’</w:t>
      </w:r>
      <w:r w:rsidR="007C3EC1" w:rsidRPr="0070292F">
        <w:rPr>
          <w:lang w:val="fr-FR"/>
        </w:rPr>
        <w:t xml:space="preserve">occurrence, </w:t>
      </w:r>
      <w:r w:rsidR="0053226B" w:rsidRPr="0070292F">
        <w:rPr>
          <w:lang w:val="fr-FR"/>
        </w:rPr>
        <w:t>la procédure dans son ensemble s</w:t>
      </w:r>
      <w:r w:rsidR="0070292F" w:rsidRPr="0070292F">
        <w:rPr>
          <w:lang w:val="fr-FR"/>
        </w:rPr>
        <w:t>’</w:t>
      </w:r>
      <w:r w:rsidR="0053226B" w:rsidRPr="0070292F">
        <w:rPr>
          <w:lang w:val="fr-FR"/>
        </w:rPr>
        <w:t>est déroulée conformément aux exigences du procès équitable.</w:t>
      </w:r>
      <w:r w:rsidR="00B72DDF" w:rsidRPr="0070292F">
        <w:rPr>
          <w:lang w:val="fr-FR"/>
        </w:rPr>
        <w:t xml:space="preserve"> </w:t>
      </w:r>
      <w:r w:rsidR="0053226B" w:rsidRPr="0070292F">
        <w:rPr>
          <w:lang w:val="fr-FR"/>
        </w:rPr>
        <w:t>Le requérant se plaint pour l</w:t>
      </w:r>
      <w:r w:rsidR="0070292F" w:rsidRPr="0070292F">
        <w:rPr>
          <w:lang w:val="fr-FR"/>
        </w:rPr>
        <w:t>’</w:t>
      </w:r>
      <w:r w:rsidR="0053226B" w:rsidRPr="0070292F">
        <w:rPr>
          <w:lang w:val="fr-FR"/>
        </w:rPr>
        <w:t>essentiel d</w:t>
      </w:r>
      <w:r w:rsidR="0070292F" w:rsidRPr="0070292F">
        <w:rPr>
          <w:lang w:val="fr-FR"/>
        </w:rPr>
        <w:t>’</w:t>
      </w:r>
      <w:r w:rsidR="0053226B" w:rsidRPr="0070292F">
        <w:rPr>
          <w:lang w:val="fr-FR"/>
        </w:rPr>
        <w:t xml:space="preserve">une appréciation arbitraire des preuves par le tribunal de Bari, mais la Cour </w:t>
      </w:r>
      <w:r w:rsidR="00A83D22" w:rsidRPr="0070292F">
        <w:rPr>
          <w:lang w:val="fr-FR"/>
        </w:rPr>
        <w:t xml:space="preserve">souligne </w:t>
      </w:r>
      <w:r w:rsidR="0053226B" w:rsidRPr="0070292F">
        <w:rPr>
          <w:lang w:val="fr-FR"/>
        </w:rPr>
        <w:t>qu</w:t>
      </w:r>
      <w:r w:rsidR="0070292F" w:rsidRPr="0070292F">
        <w:rPr>
          <w:lang w:val="fr-FR"/>
        </w:rPr>
        <w:t>’</w:t>
      </w:r>
      <w:r w:rsidR="0053226B" w:rsidRPr="0070292F">
        <w:rPr>
          <w:lang w:val="fr-FR"/>
        </w:rPr>
        <w:t xml:space="preserve">il a </w:t>
      </w:r>
      <w:r w:rsidR="00A83D22" w:rsidRPr="0070292F">
        <w:rPr>
          <w:lang w:val="fr-FR"/>
        </w:rPr>
        <w:t xml:space="preserve">obtenu </w:t>
      </w:r>
      <w:r w:rsidR="0053226B" w:rsidRPr="0070292F">
        <w:rPr>
          <w:lang w:val="fr-FR"/>
        </w:rPr>
        <w:t>gain</w:t>
      </w:r>
      <w:r w:rsidR="007808BE" w:rsidRPr="0070292F">
        <w:rPr>
          <w:lang w:val="fr-FR"/>
        </w:rPr>
        <w:t xml:space="preserve"> de cause devant </w:t>
      </w:r>
      <w:r w:rsidR="0053226B" w:rsidRPr="0070292F">
        <w:rPr>
          <w:lang w:val="fr-FR"/>
        </w:rPr>
        <w:t>la cour d</w:t>
      </w:r>
      <w:r w:rsidR="0070292F" w:rsidRPr="0070292F">
        <w:rPr>
          <w:lang w:val="fr-FR"/>
        </w:rPr>
        <w:t>’</w:t>
      </w:r>
      <w:r w:rsidR="0053226B" w:rsidRPr="0070292F">
        <w:rPr>
          <w:lang w:val="fr-FR"/>
        </w:rPr>
        <w:t>appel</w:t>
      </w:r>
      <w:r w:rsidR="00990D2F" w:rsidRPr="0070292F">
        <w:rPr>
          <w:lang w:val="fr-FR"/>
        </w:rPr>
        <w:t xml:space="preserve"> (paragraphes 26-27 ci-dessus)</w:t>
      </w:r>
      <w:r w:rsidR="00A83D22" w:rsidRPr="0070292F">
        <w:rPr>
          <w:lang w:val="fr-FR"/>
        </w:rPr>
        <w:t>,</w:t>
      </w:r>
      <w:r w:rsidR="0053226B" w:rsidRPr="0070292F">
        <w:rPr>
          <w:lang w:val="fr-FR"/>
        </w:rPr>
        <w:t xml:space="preserve"> qui a ensuite annulé la mesure de prévention.</w:t>
      </w:r>
    </w:p>
    <w:p w:rsidR="00F85083" w:rsidRPr="0070292F" w:rsidRDefault="00AB04F5" w:rsidP="0070292F">
      <w:pPr>
        <w:pStyle w:val="ECHRPara"/>
        <w:rPr>
          <w:b/>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173</w:t>
      </w:r>
      <w:r w:rsidRPr="0070292F">
        <w:rPr>
          <w:lang w:val="fr-FR"/>
        </w:rPr>
        <w:fldChar w:fldCharType="end"/>
      </w:r>
      <w:r w:rsidRPr="0070292F">
        <w:rPr>
          <w:lang w:val="fr-FR"/>
        </w:rPr>
        <w:t>.  </w:t>
      </w:r>
      <w:r w:rsidR="005B27BF" w:rsidRPr="0070292F">
        <w:rPr>
          <w:lang w:val="fr-FR"/>
        </w:rPr>
        <w:t>Partant, il n</w:t>
      </w:r>
      <w:r w:rsidR="0070292F" w:rsidRPr="0070292F">
        <w:rPr>
          <w:lang w:val="fr-FR"/>
        </w:rPr>
        <w:t>’</w:t>
      </w:r>
      <w:r w:rsidR="005B27BF" w:rsidRPr="0070292F">
        <w:rPr>
          <w:lang w:val="fr-FR"/>
        </w:rPr>
        <w:t>y a p</w:t>
      </w:r>
      <w:r w:rsidR="004F7DC8" w:rsidRPr="0070292F">
        <w:rPr>
          <w:lang w:val="fr-FR"/>
        </w:rPr>
        <w:t>as eu violation de l</w:t>
      </w:r>
      <w:r w:rsidR="0070292F" w:rsidRPr="0070292F">
        <w:rPr>
          <w:lang w:val="fr-FR"/>
        </w:rPr>
        <w:t>’</w:t>
      </w:r>
      <w:r w:rsidR="004F7DC8" w:rsidRPr="0070292F">
        <w:rPr>
          <w:lang w:val="fr-FR"/>
        </w:rPr>
        <w:t xml:space="preserve">article 6 </w:t>
      </w:r>
      <w:r w:rsidR="00F85083" w:rsidRPr="0070292F">
        <w:rPr>
          <w:lang w:val="fr-FR"/>
        </w:rPr>
        <w:t>de ce chef.</w:t>
      </w:r>
    </w:p>
    <w:p w:rsidR="00E77CB3" w:rsidRPr="0070292F" w:rsidRDefault="004F25E2" w:rsidP="0070292F">
      <w:pPr>
        <w:pStyle w:val="ECHRHeading1"/>
        <w:rPr>
          <w:lang w:val="fr-FR"/>
        </w:rPr>
      </w:pPr>
      <w:bookmarkStart w:id="51" w:name="_Toc475451860"/>
      <w:r w:rsidRPr="0070292F">
        <w:rPr>
          <w:lang w:val="fr-FR"/>
        </w:rPr>
        <w:lastRenderedPageBreak/>
        <w:t>III</w:t>
      </w:r>
      <w:r w:rsidR="00E77CB3" w:rsidRPr="0070292F">
        <w:rPr>
          <w:lang w:val="fr-FR"/>
        </w:rPr>
        <w:t>.  SUR LA VIOLATION ALLÉGUÉE DE L</w:t>
      </w:r>
      <w:r w:rsidR="0070292F" w:rsidRPr="0070292F">
        <w:rPr>
          <w:lang w:val="fr-FR"/>
        </w:rPr>
        <w:t>’</w:t>
      </w:r>
      <w:r w:rsidR="00E77CB3" w:rsidRPr="0070292F">
        <w:rPr>
          <w:lang w:val="fr-FR"/>
        </w:rPr>
        <w:t xml:space="preserve">ARTICLE </w:t>
      </w:r>
      <w:r w:rsidR="004A6C11" w:rsidRPr="0070292F">
        <w:rPr>
          <w:lang w:val="fr-FR"/>
        </w:rPr>
        <w:t>13</w:t>
      </w:r>
      <w:r w:rsidR="00E77CB3" w:rsidRPr="0070292F">
        <w:rPr>
          <w:lang w:val="fr-FR"/>
        </w:rPr>
        <w:t xml:space="preserve"> DE LA CONVENTION</w:t>
      </w:r>
      <w:bookmarkEnd w:id="51"/>
    </w:p>
    <w:p w:rsidR="004A6C11" w:rsidRPr="0070292F" w:rsidRDefault="00AB04F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174</w:t>
      </w:r>
      <w:r w:rsidRPr="0070292F">
        <w:rPr>
          <w:lang w:val="fr-FR"/>
        </w:rPr>
        <w:fldChar w:fldCharType="end"/>
      </w:r>
      <w:r w:rsidRPr="0070292F">
        <w:rPr>
          <w:lang w:val="fr-FR"/>
        </w:rPr>
        <w:t>.  </w:t>
      </w:r>
      <w:r w:rsidR="003F7A1B" w:rsidRPr="0070292F">
        <w:rPr>
          <w:lang w:val="fr-FR"/>
        </w:rPr>
        <w:t xml:space="preserve">Plaidant </w:t>
      </w:r>
      <w:r w:rsidR="004A6C11" w:rsidRPr="0070292F">
        <w:rPr>
          <w:lang w:val="fr-FR"/>
        </w:rPr>
        <w:t>qu</w:t>
      </w:r>
      <w:r w:rsidR="0070292F" w:rsidRPr="0070292F">
        <w:rPr>
          <w:lang w:val="fr-FR"/>
        </w:rPr>
        <w:t>’</w:t>
      </w:r>
      <w:r w:rsidR="004A6C11" w:rsidRPr="0070292F">
        <w:rPr>
          <w:lang w:val="fr-FR"/>
        </w:rPr>
        <w:t xml:space="preserve">il </w:t>
      </w:r>
      <w:r w:rsidR="00A83D22" w:rsidRPr="0070292F">
        <w:rPr>
          <w:lang w:val="fr-FR"/>
        </w:rPr>
        <w:t>ne dispose d</w:t>
      </w:r>
      <w:r w:rsidR="0070292F" w:rsidRPr="0070292F">
        <w:rPr>
          <w:lang w:val="fr-FR"/>
        </w:rPr>
        <w:t>’</w:t>
      </w:r>
      <w:r w:rsidR="00A83D22" w:rsidRPr="0070292F">
        <w:rPr>
          <w:lang w:val="fr-FR"/>
        </w:rPr>
        <w:t>aucun</w:t>
      </w:r>
      <w:r w:rsidR="004A6C11" w:rsidRPr="0070292F">
        <w:rPr>
          <w:lang w:val="fr-FR"/>
        </w:rPr>
        <w:t xml:space="preserve"> recours pour demander réparation devant les juridictions nationales</w:t>
      </w:r>
      <w:r w:rsidR="003F7A1B" w:rsidRPr="0070292F">
        <w:rPr>
          <w:lang w:val="fr-FR"/>
        </w:rPr>
        <w:t>, le requérant allègue également la violation de l</w:t>
      </w:r>
      <w:r w:rsidR="0070292F" w:rsidRPr="0070292F">
        <w:rPr>
          <w:lang w:val="fr-FR"/>
        </w:rPr>
        <w:t>’</w:t>
      </w:r>
      <w:r w:rsidR="003F7A1B" w:rsidRPr="0070292F">
        <w:rPr>
          <w:lang w:val="fr-FR"/>
        </w:rPr>
        <w:t xml:space="preserve">article 13 de la Convention, </w:t>
      </w:r>
      <w:r w:rsidR="004B4400" w:rsidRPr="0070292F">
        <w:rPr>
          <w:lang w:val="fr-FR"/>
        </w:rPr>
        <w:t>lequel</w:t>
      </w:r>
      <w:r w:rsidR="004A6C11" w:rsidRPr="0070292F">
        <w:rPr>
          <w:lang w:val="fr-FR"/>
        </w:rPr>
        <w:t xml:space="preserve"> dispose</w:t>
      </w:r>
      <w:r w:rsidR="004B4400" w:rsidRPr="0070292F">
        <w:rPr>
          <w:lang w:val="fr-FR"/>
        </w:rPr>
        <w:t> </w:t>
      </w:r>
      <w:r w:rsidR="004A6C11" w:rsidRPr="0070292F">
        <w:rPr>
          <w:lang w:val="fr-FR"/>
        </w:rPr>
        <w:t>:</w:t>
      </w:r>
    </w:p>
    <w:p w:rsidR="004A6C11" w:rsidRPr="0070292F" w:rsidRDefault="004A6C11" w:rsidP="0070292F">
      <w:pPr>
        <w:pStyle w:val="ECHRParaQuote"/>
        <w:rPr>
          <w:lang w:val="fr-FR"/>
        </w:rPr>
      </w:pPr>
      <w:r w:rsidRPr="0070292F">
        <w:rPr>
          <w:lang w:val="fr-FR"/>
        </w:rPr>
        <w:t>« Toute personne dont les droits et libertés reconnus dans la (...) Convention ont été violés, a droit à l</w:t>
      </w:r>
      <w:r w:rsidR="0070292F" w:rsidRPr="0070292F">
        <w:rPr>
          <w:lang w:val="fr-FR"/>
        </w:rPr>
        <w:t>’</w:t>
      </w:r>
      <w:r w:rsidRPr="0070292F">
        <w:rPr>
          <w:lang w:val="fr-FR"/>
        </w:rPr>
        <w:t>octroi d</w:t>
      </w:r>
      <w:r w:rsidR="0070292F" w:rsidRPr="0070292F">
        <w:rPr>
          <w:lang w:val="fr-FR"/>
        </w:rPr>
        <w:t>’</w:t>
      </w:r>
      <w:r w:rsidRPr="0070292F">
        <w:rPr>
          <w:lang w:val="fr-FR"/>
        </w:rPr>
        <w:t>un recours effectif devant une instance nationale, alors même que la violation aurait été commise par des personnes agissant dans l</w:t>
      </w:r>
      <w:r w:rsidR="0070292F" w:rsidRPr="0070292F">
        <w:rPr>
          <w:lang w:val="fr-FR"/>
        </w:rPr>
        <w:t>’</w:t>
      </w:r>
      <w:r w:rsidRPr="0070292F">
        <w:rPr>
          <w:lang w:val="fr-FR"/>
        </w:rPr>
        <w:t>exercice de leurs fonctions officielles. »</w:t>
      </w:r>
    </w:p>
    <w:p w:rsidR="00E77CB3" w:rsidRPr="0070292F" w:rsidRDefault="00AB04F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175</w:t>
      </w:r>
      <w:r w:rsidRPr="0070292F">
        <w:rPr>
          <w:lang w:val="fr-FR"/>
        </w:rPr>
        <w:fldChar w:fldCharType="end"/>
      </w:r>
      <w:r w:rsidRPr="0070292F">
        <w:rPr>
          <w:lang w:val="fr-FR"/>
        </w:rPr>
        <w:t>.  </w:t>
      </w:r>
      <w:r w:rsidR="00E77CB3" w:rsidRPr="0070292F">
        <w:rPr>
          <w:lang w:val="fr-FR"/>
        </w:rPr>
        <w:t>Le Gouvernement conteste cette thèse.</w:t>
      </w:r>
    </w:p>
    <w:p w:rsidR="00DA6CCB" w:rsidRPr="0070292F" w:rsidRDefault="00DA6CCB" w:rsidP="0070292F">
      <w:pPr>
        <w:pStyle w:val="ECHRHeading2"/>
        <w:rPr>
          <w:lang w:val="fr-FR"/>
        </w:rPr>
      </w:pPr>
      <w:bookmarkStart w:id="52" w:name="_Toc475451861"/>
      <w:r w:rsidRPr="0070292F">
        <w:rPr>
          <w:lang w:val="fr-FR"/>
        </w:rPr>
        <w:t>A.</w:t>
      </w:r>
      <w:r w:rsidR="00D747CA" w:rsidRPr="0070292F">
        <w:rPr>
          <w:lang w:val="fr-FR"/>
        </w:rPr>
        <w:t>  </w:t>
      </w:r>
      <w:r w:rsidRPr="0070292F">
        <w:rPr>
          <w:lang w:val="fr-FR"/>
        </w:rPr>
        <w:t>Sur la recevabilité</w:t>
      </w:r>
      <w:bookmarkEnd w:id="52"/>
    </w:p>
    <w:p w:rsidR="00DA6CCB" w:rsidRPr="0070292F" w:rsidRDefault="00AB04F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176</w:t>
      </w:r>
      <w:r w:rsidRPr="0070292F">
        <w:rPr>
          <w:lang w:val="fr-FR"/>
        </w:rPr>
        <w:fldChar w:fldCharType="end"/>
      </w:r>
      <w:r w:rsidRPr="0070292F">
        <w:rPr>
          <w:lang w:val="fr-FR"/>
        </w:rPr>
        <w:t>.  </w:t>
      </w:r>
      <w:r w:rsidR="00DA6CCB" w:rsidRPr="0070292F">
        <w:rPr>
          <w:lang w:val="fr-FR"/>
        </w:rPr>
        <w:t>La Cour constate que</w:t>
      </w:r>
      <w:r w:rsidR="00A83D22" w:rsidRPr="0070292F">
        <w:rPr>
          <w:lang w:val="fr-FR"/>
        </w:rPr>
        <w:t xml:space="preserve"> ce grief</w:t>
      </w:r>
      <w:r w:rsidR="00F83C53" w:rsidRPr="0070292F">
        <w:rPr>
          <w:lang w:val="fr-FR"/>
        </w:rPr>
        <w:t>,</w:t>
      </w:r>
      <w:r w:rsidR="00DA6CCB" w:rsidRPr="0070292F">
        <w:rPr>
          <w:lang w:val="fr-FR"/>
        </w:rPr>
        <w:t xml:space="preserve"> </w:t>
      </w:r>
      <w:r w:rsidR="00F83C53" w:rsidRPr="0070292F">
        <w:rPr>
          <w:lang w:val="fr-FR"/>
        </w:rPr>
        <w:t xml:space="preserve">pour autant </w:t>
      </w:r>
      <w:r w:rsidR="00A83D22" w:rsidRPr="0070292F">
        <w:rPr>
          <w:lang w:val="fr-FR"/>
        </w:rPr>
        <w:t>qu</w:t>
      </w:r>
      <w:r w:rsidR="0070292F" w:rsidRPr="0070292F">
        <w:rPr>
          <w:lang w:val="fr-FR"/>
        </w:rPr>
        <w:t>’</w:t>
      </w:r>
      <w:r w:rsidR="00A83D22" w:rsidRPr="0070292F">
        <w:rPr>
          <w:lang w:val="fr-FR"/>
        </w:rPr>
        <w:t>il</w:t>
      </w:r>
      <w:r w:rsidR="00F83C53" w:rsidRPr="0070292F">
        <w:rPr>
          <w:lang w:val="fr-FR"/>
        </w:rPr>
        <w:t xml:space="preserve"> concerne l</w:t>
      </w:r>
      <w:r w:rsidR="0070292F" w:rsidRPr="0070292F">
        <w:rPr>
          <w:lang w:val="fr-FR"/>
        </w:rPr>
        <w:t>’</w:t>
      </w:r>
      <w:r w:rsidR="00F83C53" w:rsidRPr="0070292F">
        <w:rPr>
          <w:lang w:val="fr-FR"/>
        </w:rPr>
        <w:t>existence d</w:t>
      </w:r>
      <w:r w:rsidR="0070292F" w:rsidRPr="0070292F">
        <w:rPr>
          <w:lang w:val="fr-FR"/>
        </w:rPr>
        <w:t>’</w:t>
      </w:r>
      <w:r w:rsidR="00F83C53" w:rsidRPr="0070292F">
        <w:rPr>
          <w:lang w:val="fr-FR"/>
        </w:rPr>
        <w:t>un recours interne qui eût permis de formuler le grief fondé sur l</w:t>
      </w:r>
      <w:r w:rsidR="0070292F" w:rsidRPr="0070292F">
        <w:rPr>
          <w:lang w:val="fr-FR"/>
        </w:rPr>
        <w:t>’</w:t>
      </w:r>
      <w:r w:rsidR="00F83C53" w:rsidRPr="0070292F">
        <w:rPr>
          <w:lang w:val="fr-FR"/>
        </w:rPr>
        <w:t>article 2 du Protocole</w:t>
      </w:r>
      <w:r w:rsidR="004B4400" w:rsidRPr="0070292F">
        <w:rPr>
          <w:lang w:val="fr-FR"/>
        </w:rPr>
        <w:t xml:space="preserve"> </w:t>
      </w:r>
      <w:r w:rsidR="00F83C53" w:rsidRPr="0070292F">
        <w:rPr>
          <w:lang w:val="fr-FR"/>
        </w:rPr>
        <w:t>n</w:t>
      </w:r>
      <w:r w:rsidR="008C1E94" w:rsidRPr="0070292F">
        <w:rPr>
          <w:vertAlign w:val="superscript"/>
          <w:lang w:val="fr-FR"/>
        </w:rPr>
        <w:t>o</w:t>
      </w:r>
      <w:r w:rsidR="00A83D22" w:rsidRPr="0070292F">
        <w:rPr>
          <w:lang w:val="fr-FR"/>
        </w:rPr>
        <w:t> </w:t>
      </w:r>
      <w:r w:rsidR="00F83C53" w:rsidRPr="0070292F">
        <w:rPr>
          <w:lang w:val="fr-FR"/>
        </w:rPr>
        <w:t xml:space="preserve">4, </w:t>
      </w:r>
      <w:r w:rsidR="00DA6CCB" w:rsidRPr="0070292F">
        <w:rPr>
          <w:lang w:val="fr-FR"/>
        </w:rPr>
        <w:t>n</w:t>
      </w:r>
      <w:r w:rsidR="0070292F" w:rsidRPr="0070292F">
        <w:rPr>
          <w:lang w:val="fr-FR"/>
        </w:rPr>
        <w:t>’</w:t>
      </w:r>
      <w:r w:rsidR="00DA6CCB" w:rsidRPr="0070292F">
        <w:rPr>
          <w:lang w:val="fr-FR"/>
        </w:rPr>
        <w:t>est pas manifestement mal fondé au sens de l</w:t>
      </w:r>
      <w:r w:rsidR="0070292F" w:rsidRPr="0070292F">
        <w:rPr>
          <w:lang w:val="fr-FR"/>
        </w:rPr>
        <w:t>’</w:t>
      </w:r>
      <w:r w:rsidR="00DA6CCB" w:rsidRPr="0070292F">
        <w:rPr>
          <w:lang w:val="fr-FR"/>
        </w:rPr>
        <w:t>article 35 § 3 a) de la Convention. Elle relève</w:t>
      </w:r>
      <w:r w:rsidR="00FF3CC6" w:rsidRPr="0070292F">
        <w:rPr>
          <w:lang w:val="fr-FR"/>
        </w:rPr>
        <w:t>,</w:t>
      </w:r>
      <w:r w:rsidR="00DA6CCB" w:rsidRPr="0070292F">
        <w:rPr>
          <w:lang w:val="fr-FR"/>
        </w:rPr>
        <w:t xml:space="preserve"> par ailleurs</w:t>
      </w:r>
      <w:r w:rsidR="00FF3CC6" w:rsidRPr="0070292F">
        <w:rPr>
          <w:lang w:val="fr-FR"/>
        </w:rPr>
        <w:t>,</w:t>
      </w:r>
      <w:r w:rsidR="00DA6CCB" w:rsidRPr="0070292F">
        <w:rPr>
          <w:lang w:val="fr-FR"/>
        </w:rPr>
        <w:t xml:space="preserve"> qu</w:t>
      </w:r>
      <w:r w:rsidR="0070292F" w:rsidRPr="0070292F">
        <w:rPr>
          <w:lang w:val="fr-FR"/>
        </w:rPr>
        <w:t>’</w:t>
      </w:r>
      <w:r w:rsidR="00DA6CCB" w:rsidRPr="0070292F">
        <w:rPr>
          <w:lang w:val="fr-FR"/>
        </w:rPr>
        <w:t>il ne se heurte à aucun autre motif d</w:t>
      </w:r>
      <w:r w:rsidR="0070292F" w:rsidRPr="0070292F">
        <w:rPr>
          <w:lang w:val="fr-FR"/>
        </w:rPr>
        <w:t>’</w:t>
      </w:r>
      <w:r w:rsidR="00DA6CCB" w:rsidRPr="0070292F">
        <w:rPr>
          <w:lang w:val="fr-FR"/>
        </w:rPr>
        <w:t>irrecevabilité. Il convient donc de le déclarer recevable.</w:t>
      </w:r>
    </w:p>
    <w:p w:rsidR="00DA6CCB" w:rsidRPr="0070292F" w:rsidRDefault="00DA6CCB" w:rsidP="0070292F">
      <w:pPr>
        <w:pStyle w:val="ECHRHeading2"/>
        <w:rPr>
          <w:lang w:val="fr-FR"/>
        </w:rPr>
      </w:pPr>
      <w:bookmarkStart w:id="53" w:name="_Toc475451862"/>
      <w:r w:rsidRPr="0070292F">
        <w:rPr>
          <w:lang w:val="fr-FR"/>
        </w:rPr>
        <w:t>B.</w:t>
      </w:r>
      <w:r w:rsidR="00D747CA" w:rsidRPr="0070292F">
        <w:rPr>
          <w:lang w:val="fr-FR"/>
        </w:rPr>
        <w:t>  </w:t>
      </w:r>
      <w:r w:rsidRPr="0070292F">
        <w:rPr>
          <w:lang w:val="fr-FR"/>
        </w:rPr>
        <w:t>Sur le fond</w:t>
      </w:r>
      <w:bookmarkEnd w:id="53"/>
    </w:p>
    <w:p w:rsidR="00DA6CCB" w:rsidRPr="0070292F" w:rsidRDefault="00606BC8" w:rsidP="0070292F">
      <w:pPr>
        <w:pStyle w:val="ECHRHeading3"/>
        <w:rPr>
          <w:lang w:val="fr-FR"/>
        </w:rPr>
      </w:pPr>
      <w:bookmarkStart w:id="54" w:name="_Toc475451863"/>
      <w:r w:rsidRPr="0070292F">
        <w:rPr>
          <w:lang w:val="fr-FR"/>
        </w:rPr>
        <w:t>1.  </w:t>
      </w:r>
      <w:r w:rsidR="00DA6CCB" w:rsidRPr="0070292F">
        <w:rPr>
          <w:lang w:val="fr-FR"/>
        </w:rPr>
        <w:t>Thèses des parties</w:t>
      </w:r>
      <w:bookmarkEnd w:id="54"/>
    </w:p>
    <w:p w:rsidR="00DA6CCB" w:rsidRPr="0070292F" w:rsidRDefault="00DA6CCB" w:rsidP="0070292F">
      <w:pPr>
        <w:pStyle w:val="ECHRHeading4"/>
        <w:rPr>
          <w:lang w:val="fr-FR"/>
        </w:rPr>
      </w:pPr>
      <w:r w:rsidRPr="0070292F">
        <w:rPr>
          <w:lang w:val="fr-FR"/>
        </w:rPr>
        <w:t>a)</w:t>
      </w:r>
      <w:r w:rsidR="00D747CA" w:rsidRPr="0070292F">
        <w:rPr>
          <w:lang w:val="fr-FR"/>
        </w:rPr>
        <w:t>  </w:t>
      </w:r>
      <w:r w:rsidRPr="0070292F">
        <w:rPr>
          <w:lang w:val="fr-FR"/>
        </w:rPr>
        <w:t>Le Gouvernement</w:t>
      </w:r>
    </w:p>
    <w:p w:rsidR="00DA6CCB" w:rsidRPr="0070292F" w:rsidRDefault="00AB04F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177</w:t>
      </w:r>
      <w:r w:rsidRPr="0070292F">
        <w:rPr>
          <w:lang w:val="fr-FR"/>
        </w:rPr>
        <w:fldChar w:fldCharType="end"/>
      </w:r>
      <w:r w:rsidRPr="0070292F">
        <w:rPr>
          <w:lang w:val="fr-FR"/>
        </w:rPr>
        <w:t>.  </w:t>
      </w:r>
      <w:r w:rsidR="00A83D22" w:rsidRPr="0070292F">
        <w:rPr>
          <w:lang w:val="fr-FR"/>
        </w:rPr>
        <w:t>L</w:t>
      </w:r>
      <w:r w:rsidR="00DA6CCB" w:rsidRPr="0070292F">
        <w:rPr>
          <w:lang w:val="fr-FR"/>
        </w:rPr>
        <w:t xml:space="preserve">e Gouvernement </w:t>
      </w:r>
      <w:r w:rsidR="00A83D22" w:rsidRPr="0070292F">
        <w:rPr>
          <w:lang w:val="fr-FR"/>
        </w:rPr>
        <w:t xml:space="preserve">soutient que </w:t>
      </w:r>
      <w:r w:rsidR="00DA6CCB" w:rsidRPr="0070292F">
        <w:rPr>
          <w:lang w:val="fr-FR"/>
        </w:rPr>
        <w:t>le grief du r</w:t>
      </w:r>
      <w:r w:rsidR="00065B36" w:rsidRPr="0070292F">
        <w:rPr>
          <w:lang w:val="fr-FR"/>
        </w:rPr>
        <w:t>equérant n</w:t>
      </w:r>
      <w:r w:rsidR="0070292F" w:rsidRPr="0070292F">
        <w:rPr>
          <w:lang w:val="fr-FR"/>
        </w:rPr>
        <w:t>’</w:t>
      </w:r>
      <w:r w:rsidR="00065B36" w:rsidRPr="0070292F">
        <w:rPr>
          <w:lang w:val="fr-FR"/>
        </w:rPr>
        <w:t>est pas défendable (</w:t>
      </w:r>
      <w:r w:rsidR="00193601" w:rsidRPr="0070292F">
        <w:rPr>
          <w:i/>
          <w:lang w:val="fr-FR"/>
        </w:rPr>
        <w:t>Monno</w:t>
      </w:r>
      <w:r w:rsidR="00193601" w:rsidRPr="0070292F">
        <w:rPr>
          <w:lang w:val="fr-FR"/>
        </w:rPr>
        <w:t xml:space="preserve">, </w:t>
      </w:r>
      <w:r w:rsidR="00A83D22" w:rsidRPr="0070292F">
        <w:rPr>
          <w:lang w:val="fr-FR"/>
        </w:rPr>
        <w:t xml:space="preserve">décision </w:t>
      </w:r>
      <w:r w:rsidR="00193601" w:rsidRPr="0070292F">
        <w:rPr>
          <w:lang w:val="fr-FR"/>
        </w:rPr>
        <w:t>précité</w:t>
      </w:r>
      <w:r w:rsidR="00A83D22" w:rsidRPr="0070292F">
        <w:rPr>
          <w:lang w:val="fr-FR"/>
        </w:rPr>
        <w:t>e,</w:t>
      </w:r>
      <w:r w:rsidR="00193601" w:rsidRPr="0070292F">
        <w:rPr>
          <w:lang w:val="fr-FR"/>
        </w:rPr>
        <w:t xml:space="preserve"> § 30</w:t>
      </w:r>
      <w:r w:rsidR="00DA6CCB" w:rsidRPr="0070292F">
        <w:rPr>
          <w:lang w:val="fr-FR"/>
        </w:rPr>
        <w:t xml:space="preserve">). </w:t>
      </w:r>
      <w:r w:rsidR="00A83D22" w:rsidRPr="0070292F">
        <w:rPr>
          <w:lang w:val="fr-FR"/>
        </w:rPr>
        <w:t>I</w:t>
      </w:r>
      <w:r w:rsidR="00DA6CCB" w:rsidRPr="0070292F">
        <w:rPr>
          <w:lang w:val="fr-FR"/>
        </w:rPr>
        <w:t xml:space="preserve">l rappelle </w:t>
      </w:r>
      <w:r w:rsidR="00A83D22" w:rsidRPr="0070292F">
        <w:rPr>
          <w:lang w:val="fr-FR"/>
        </w:rPr>
        <w:t xml:space="preserve">ensuite </w:t>
      </w:r>
      <w:r w:rsidR="00DA6CCB" w:rsidRPr="0070292F">
        <w:rPr>
          <w:lang w:val="fr-FR"/>
        </w:rPr>
        <w:t xml:space="preserve">que le requérant a </w:t>
      </w:r>
      <w:r w:rsidR="00A83D22" w:rsidRPr="0070292F">
        <w:rPr>
          <w:lang w:val="fr-FR"/>
        </w:rPr>
        <w:t xml:space="preserve">obtenu </w:t>
      </w:r>
      <w:r w:rsidR="00DA6CCB" w:rsidRPr="0070292F">
        <w:rPr>
          <w:lang w:val="fr-FR"/>
        </w:rPr>
        <w:t xml:space="preserve">gain de cause devant la </w:t>
      </w:r>
      <w:r w:rsidR="00521FEC" w:rsidRPr="0070292F">
        <w:rPr>
          <w:lang w:val="fr-FR"/>
        </w:rPr>
        <w:t>c</w:t>
      </w:r>
      <w:r w:rsidR="00193601" w:rsidRPr="0070292F">
        <w:rPr>
          <w:lang w:val="fr-FR"/>
        </w:rPr>
        <w:t xml:space="preserve">our </w:t>
      </w:r>
      <w:r w:rsidR="00DA6CCB" w:rsidRPr="0070292F">
        <w:rPr>
          <w:lang w:val="fr-FR"/>
        </w:rPr>
        <w:t>d</w:t>
      </w:r>
      <w:r w:rsidR="0070292F" w:rsidRPr="0070292F">
        <w:rPr>
          <w:lang w:val="fr-FR"/>
        </w:rPr>
        <w:t>’</w:t>
      </w:r>
      <w:r w:rsidR="00DA6CCB" w:rsidRPr="0070292F">
        <w:rPr>
          <w:lang w:val="fr-FR"/>
        </w:rPr>
        <w:t>appel</w:t>
      </w:r>
      <w:r w:rsidR="00193601" w:rsidRPr="0070292F">
        <w:rPr>
          <w:lang w:val="fr-FR"/>
        </w:rPr>
        <w:t>.</w:t>
      </w:r>
    </w:p>
    <w:p w:rsidR="00DA6CCB" w:rsidRPr="0070292F" w:rsidRDefault="00DA6CCB" w:rsidP="0070292F">
      <w:pPr>
        <w:pStyle w:val="ECHRHeading4"/>
        <w:rPr>
          <w:lang w:val="fr-FR"/>
        </w:rPr>
      </w:pPr>
      <w:r w:rsidRPr="0070292F">
        <w:rPr>
          <w:lang w:val="fr-FR"/>
        </w:rPr>
        <w:t>b)</w:t>
      </w:r>
      <w:r w:rsidR="00D747CA" w:rsidRPr="0070292F">
        <w:rPr>
          <w:lang w:val="fr-FR"/>
        </w:rPr>
        <w:t>  </w:t>
      </w:r>
      <w:r w:rsidRPr="0070292F">
        <w:rPr>
          <w:lang w:val="fr-FR"/>
        </w:rPr>
        <w:t>Le requérant</w:t>
      </w:r>
    </w:p>
    <w:p w:rsidR="00DA6CCB" w:rsidRPr="0070292F" w:rsidRDefault="00AB04F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178</w:t>
      </w:r>
      <w:r w:rsidRPr="0070292F">
        <w:rPr>
          <w:lang w:val="fr-FR"/>
        </w:rPr>
        <w:fldChar w:fldCharType="end"/>
      </w:r>
      <w:r w:rsidRPr="0070292F">
        <w:rPr>
          <w:lang w:val="fr-FR"/>
        </w:rPr>
        <w:t>.  </w:t>
      </w:r>
      <w:r w:rsidR="00DA6CCB" w:rsidRPr="0070292F">
        <w:rPr>
          <w:lang w:val="fr-FR"/>
        </w:rPr>
        <w:t xml:space="preserve">Le requérant </w:t>
      </w:r>
      <w:r w:rsidR="00A83D22" w:rsidRPr="0070292F">
        <w:rPr>
          <w:lang w:val="fr-FR"/>
        </w:rPr>
        <w:t xml:space="preserve">allègue </w:t>
      </w:r>
      <w:r w:rsidR="00DA6CCB" w:rsidRPr="0070292F">
        <w:rPr>
          <w:lang w:val="fr-FR"/>
        </w:rPr>
        <w:t>qu</w:t>
      </w:r>
      <w:r w:rsidR="0070292F" w:rsidRPr="0070292F">
        <w:rPr>
          <w:lang w:val="fr-FR"/>
        </w:rPr>
        <w:t>’</w:t>
      </w:r>
      <w:r w:rsidR="00DA6CCB" w:rsidRPr="0070292F">
        <w:rPr>
          <w:lang w:val="fr-FR"/>
        </w:rPr>
        <w:t>il n</w:t>
      </w:r>
      <w:r w:rsidR="0070292F" w:rsidRPr="0070292F">
        <w:rPr>
          <w:lang w:val="fr-FR"/>
        </w:rPr>
        <w:t>’</w:t>
      </w:r>
      <w:r w:rsidR="00DA6CCB" w:rsidRPr="0070292F">
        <w:rPr>
          <w:lang w:val="fr-FR"/>
        </w:rPr>
        <w:t>a dispos</w:t>
      </w:r>
      <w:r w:rsidR="00A83D22" w:rsidRPr="0070292F">
        <w:rPr>
          <w:lang w:val="fr-FR"/>
        </w:rPr>
        <w:t>é</w:t>
      </w:r>
      <w:r w:rsidR="00DA6CCB" w:rsidRPr="0070292F">
        <w:rPr>
          <w:lang w:val="fr-FR"/>
        </w:rPr>
        <w:t xml:space="preserve"> d</w:t>
      </w:r>
      <w:r w:rsidR="0070292F" w:rsidRPr="0070292F">
        <w:rPr>
          <w:lang w:val="fr-FR"/>
        </w:rPr>
        <w:t>’</w:t>
      </w:r>
      <w:r w:rsidR="00A83D22" w:rsidRPr="0070292F">
        <w:rPr>
          <w:lang w:val="fr-FR"/>
        </w:rPr>
        <w:t>auc</w:t>
      </w:r>
      <w:r w:rsidR="00DA6CCB" w:rsidRPr="0070292F">
        <w:rPr>
          <w:lang w:val="fr-FR"/>
        </w:rPr>
        <w:t xml:space="preserve">un recours </w:t>
      </w:r>
      <w:r w:rsidR="00AC7B9B" w:rsidRPr="0070292F">
        <w:rPr>
          <w:lang w:val="fr-FR"/>
        </w:rPr>
        <w:t xml:space="preserve">effectif </w:t>
      </w:r>
      <w:r w:rsidR="001C72AC" w:rsidRPr="0070292F">
        <w:rPr>
          <w:lang w:val="fr-FR"/>
        </w:rPr>
        <w:t xml:space="preserve">permettant de </w:t>
      </w:r>
      <w:r w:rsidR="00DA6CCB" w:rsidRPr="0070292F">
        <w:rPr>
          <w:lang w:val="fr-FR"/>
        </w:rPr>
        <w:t>demander réparation</w:t>
      </w:r>
      <w:r w:rsidR="00AC7B9B" w:rsidRPr="0070292F">
        <w:rPr>
          <w:lang w:val="fr-FR"/>
        </w:rPr>
        <w:t xml:space="preserve"> </w:t>
      </w:r>
      <w:r w:rsidR="00A83D22" w:rsidRPr="0070292F">
        <w:rPr>
          <w:lang w:val="fr-FR"/>
        </w:rPr>
        <w:t xml:space="preserve">de </w:t>
      </w:r>
      <w:r w:rsidR="00AC7B9B" w:rsidRPr="0070292F">
        <w:rPr>
          <w:lang w:val="fr-FR"/>
        </w:rPr>
        <w:t xml:space="preserve">la violation des articles 5 </w:t>
      </w:r>
      <w:r w:rsidR="004B4400" w:rsidRPr="0070292F">
        <w:rPr>
          <w:lang w:val="fr-FR"/>
        </w:rPr>
        <w:t xml:space="preserve">de la Convention </w:t>
      </w:r>
      <w:r w:rsidR="00AC7B9B" w:rsidRPr="0070292F">
        <w:rPr>
          <w:lang w:val="fr-FR"/>
        </w:rPr>
        <w:t>et 2 du Protocole n</w:t>
      </w:r>
      <w:r w:rsidR="008C1E94" w:rsidRPr="0070292F">
        <w:rPr>
          <w:vertAlign w:val="superscript"/>
          <w:lang w:val="fr-FR"/>
        </w:rPr>
        <w:t>o</w:t>
      </w:r>
      <w:r w:rsidR="00FF3CC6" w:rsidRPr="0070292F">
        <w:rPr>
          <w:lang w:val="fr-FR"/>
        </w:rPr>
        <w:t xml:space="preserve"> </w:t>
      </w:r>
      <w:r w:rsidR="00AC7B9B" w:rsidRPr="0070292F">
        <w:rPr>
          <w:lang w:val="fr-FR"/>
        </w:rPr>
        <w:t>4.</w:t>
      </w:r>
    </w:p>
    <w:p w:rsidR="00B72DDF" w:rsidRPr="0070292F" w:rsidRDefault="00B72DDF" w:rsidP="0070292F">
      <w:pPr>
        <w:pStyle w:val="ECHRHeading3"/>
        <w:rPr>
          <w:lang w:val="fr-FR"/>
        </w:rPr>
      </w:pPr>
      <w:bookmarkStart w:id="55" w:name="_Toc475451864"/>
      <w:r w:rsidRPr="0070292F">
        <w:rPr>
          <w:lang w:val="fr-FR"/>
        </w:rPr>
        <w:t>2.  Appréciation de la Cour</w:t>
      </w:r>
      <w:bookmarkEnd w:id="55"/>
    </w:p>
    <w:p w:rsidR="00B72DDF" w:rsidRPr="0070292F" w:rsidRDefault="00B72DDF" w:rsidP="0070292F">
      <w:pPr>
        <w:pStyle w:val="ECHRHeading4"/>
        <w:rPr>
          <w:lang w:val="fr-FR"/>
        </w:rPr>
      </w:pPr>
      <w:r w:rsidRPr="0070292F">
        <w:rPr>
          <w:lang w:val="fr-FR"/>
        </w:rPr>
        <w:t>a)  Les principes applicables</w:t>
      </w:r>
    </w:p>
    <w:p w:rsidR="00B72DDF" w:rsidRPr="0070292F" w:rsidRDefault="00AB04F5" w:rsidP="0070292F">
      <w:pPr>
        <w:pStyle w:val="ECHRPara"/>
        <w:rPr>
          <w:i/>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179</w:t>
      </w:r>
      <w:r w:rsidRPr="0070292F">
        <w:rPr>
          <w:lang w:val="fr-FR"/>
        </w:rPr>
        <w:fldChar w:fldCharType="end"/>
      </w:r>
      <w:r w:rsidRPr="0070292F">
        <w:rPr>
          <w:lang w:val="fr-FR"/>
        </w:rPr>
        <w:t>.  </w:t>
      </w:r>
      <w:r w:rsidR="00B72DDF" w:rsidRPr="0070292F">
        <w:rPr>
          <w:lang w:val="fr-FR"/>
        </w:rPr>
        <w:t>La Cour rappelle que l</w:t>
      </w:r>
      <w:r w:rsidR="0070292F" w:rsidRPr="0070292F">
        <w:rPr>
          <w:lang w:val="fr-FR"/>
        </w:rPr>
        <w:t>’</w:t>
      </w:r>
      <w:r w:rsidR="00B72DDF" w:rsidRPr="0070292F">
        <w:rPr>
          <w:lang w:val="fr-FR"/>
        </w:rPr>
        <w:t>article 13 garantit l</w:t>
      </w:r>
      <w:r w:rsidR="0070292F" w:rsidRPr="0070292F">
        <w:rPr>
          <w:lang w:val="fr-FR"/>
        </w:rPr>
        <w:t>’</w:t>
      </w:r>
      <w:r w:rsidR="00B72DDF" w:rsidRPr="0070292F">
        <w:rPr>
          <w:lang w:val="fr-FR"/>
        </w:rPr>
        <w:t xml:space="preserve">existence en droit interne de recours permettant de dénoncer les atteintes aux droits et libertés protégés par la Convention. Ainsi, même si les </w:t>
      </w:r>
      <w:r w:rsidR="00A83D22" w:rsidRPr="0070292F">
        <w:rPr>
          <w:rFonts w:cstheme="minorHAnsi"/>
          <w:lang w:val="fr-FR"/>
        </w:rPr>
        <w:t>É</w:t>
      </w:r>
      <w:r w:rsidR="00B72DDF" w:rsidRPr="0070292F">
        <w:rPr>
          <w:lang w:val="fr-FR"/>
        </w:rPr>
        <w:t>tats contractants jouissent d</w:t>
      </w:r>
      <w:r w:rsidR="0070292F" w:rsidRPr="0070292F">
        <w:rPr>
          <w:lang w:val="fr-FR"/>
        </w:rPr>
        <w:t>’</w:t>
      </w:r>
      <w:r w:rsidR="00B72DDF" w:rsidRPr="0070292F">
        <w:rPr>
          <w:lang w:val="fr-FR"/>
        </w:rPr>
        <w:t>une certaine marge d</w:t>
      </w:r>
      <w:r w:rsidR="0070292F" w:rsidRPr="0070292F">
        <w:rPr>
          <w:lang w:val="fr-FR"/>
        </w:rPr>
        <w:t>’</w:t>
      </w:r>
      <w:r w:rsidR="00B72DDF" w:rsidRPr="0070292F">
        <w:rPr>
          <w:lang w:val="fr-FR"/>
        </w:rPr>
        <w:t xml:space="preserve">appréciation quant à la manière de se conformer aux obligations que leur impose cette disposition, il faut </w:t>
      </w:r>
      <w:r w:rsidR="007032D5" w:rsidRPr="0070292F">
        <w:rPr>
          <w:lang w:val="fr-FR"/>
        </w:rPr>
        <w:t>qu</w:t>
      </w:r>
      <w:r w:rsidR="0070292F" w:rsidRPr="0070292F">
        <w:rPr>
          <w:lang w:val="fr-FR"/>
        </w:rPr>
        <w:t>’</w:t>
      </w:r>
      <w:r w:rsidR="00B72DDF" w:rsidRPr="0070292F">
        <w:rPr>
          <w:lang w:val="fr-FR"/>
        </w:rPr>
        <w:t xml:space="preserve">existe au niveau </w:t>
      </w:r>
      <w:r w:rsidR="00B72DDF" w:rsidRPr="0070292F">
        <w:rPr>
          <w:lang w:val="fr-FR"/>
        </w:rPr>
        <w:lastRenderedPageBreak/>
        <w:t xml:space="preserve">interne un recours dans le cadre duquel </w:t>
      </w:r>
      <w:r w:rsidR="007032D5" w:rsidRPr="0070292F">
        <w:rPr>
          <w:lang w:val="fr-FR"/>
        </w:rPr>
        <w:t>l</w:t>
      </w:r>
      <w:r w:rsidR="0070292F" w:rsidRPr="0070292F">
        <w:rPr>
          <w:lang w:val="fr-FR"/>
        </w:rPr>
        <w:t>’</w:t>
      </w:r>
      <w:r w:rsidR="007032D5" w:rsidRPr="0070292F">
        <w:rPr>
          <w:lang w:val="fr-FR"/>
        </w:rPr>
        <w:t>instance</w:t>
      </w:r>
      <w:r w:rsidR="00B72DDF" w:rsidRPr="0070292F">
        <w:rPr>
          <w:lang w:val="fr-FR"/>
        </w:rPr>
        <w:t xml:space="preserve"> nationale compétente peut examiner les griefs fondés sur la Convention et ordonner le redressement approprié. La portée de l</w:t>
      </w:r>
      <w:r w:rsidR="0070292F" w:rsidRPr="0070292F">
        <w:rPr>
          <w:lang w:val="fr-FR"/>
        </w:rPr>
        <w:t>’</w:t>
      </w:r>
      <w:r w:rsidR="00B72DDF" w:rsidRPr="0070292F">
        <w:rPr>
          <w:lang w:val="fr-FR"/>
        </w:rPr>
        <w:t>obligation découlant de l</w:t>
      </w:r>
      <w:r w:rsidR="0070292F" w:rsidRPr="0070292F">
        <w:rPr>
          <w:lang w:val="fr-FR"/>
        </w:rPr>
        <w:t>’</w:t>
      </w:r>
      <w:r w:rsidR="00B72DDF" w:rsidRPr="0070292F">
        <w:rPr>
          <w:lang w:val="fr-FR"/>
        </w:rPr>
        <w:t>article 13 varie en fonction de la nature du grief tiré de la Convention, mais le recours doit en tout cas être « effectif » en pratique comme en droit, c</w:t>
      </w:r>
      <w:r w:rsidR="0070292F" w:rsidRPr="0070292F">
        <w:rPr>
          <w:lang w:val="fr-FR"/>
        </w:rPr>
        <w:t>’</w:t>
      </w:r>
      <w:r w:rsidR="00B72DDF" w:rsidRPr="0070292F">
        <w:rPr>
          <w:lang w:val="fr-FR"/>
        </w:rPr>
        <w:t>est-à-dire notamment que son exercice ne doit pas être entravé de manière injustifiée par les actes ou omissions des autorités de l</w:t>
      </w:r>
      <w:r w:rsidR="0070292F" w:rsidRPr="0070292F">
        <w:rPr>
          <w:lang w:val="fr-FR"/>
        </w:rPr>
        <w:t>’</w:t>
      </w:r>
      <w:r w:rsidR="00A83D22" w:rsidRPr="0070292F">
        <w:rPr>
          <w:rFonts w:cstheme="minorHAnsi"/>
          <w:lang w:val="fr-FR"/>
        </w:rPr>
        <w:t>É</w:t>
      </w:r>
      <w:r w:rsidR="00B72DDF" w:rsidRPr="0070292F">
        <w:rPr>
          <w:lang w:val="fr-FR"/>
        </w:rPr>
        <w:t>tat (</w:t>
      </w:r>
      <w:r w:rsidR="00B507CF" w:rsidRPr="0070292F">
        <w:rPr>
          <w:i/>
          <w:lang w:val="fr-FR"/>
        </w:rPr>
        <w:t>Nada</w:t>
      </w:r>
      <w:r w:rsidR="00B507CF" w:rsidRPr="0070292F">
        <w:rPr>
          <w:snapToGrid w:val="0"/>
          <w:szCs w:val="24"/>
          <w:lang w:val="fr-FR"/>
        </w:rPr>
        <w:t xml:space="preserve">, </w:t>
      </w:r>
      <w:r w:rsidR="00A83D22" w:rsidRPr="0070292F">
        <w:rPr>
          <w:snapToGrid w:val="0"/>
          <w:szCs w:val="24"/>
          <w:lang w:val="fr-FR"/>
        </w:rPr>
        <w:t xml:space="preserve">précité, </w:t>
      </w:r>
      <w:r w:rsidR="00B507CF" w:rsidRPr="0070292F">
        <w:rPr>
          <w:snapToGrid w:val="0"/>
          <w:szCs w:val="24"/>
          <w:lang w:val="fr-FR"/>
        </w:rPr>
        <w:t>§§ 208-209</w:t>
      </w:r>
      <w:r w:rsidR="00AA147C" w:rsidRPr="0070292F">
        <w:rPr>
          <w:snapToGrid w:val="0"/>
          <w:szCs w:val="24"/>
          <w:lang w:val="fr-FR"/>
        </w:rPr>
        <w:t> ;</w:t>
      </w:r>
      <w:r w:rsidR="00B507CF" w:rsidRPr="0070292F">
        <w:rPr>
          <w:snapToGrid w:val="0"/>
          <w:lang w:val="fr-FR"/>
        </w:rPr>
        <w:t xml:space="preserve"> </w:t>
      </w:r>
      <w:r w:rsidR="004B4400" w:rsidRPr="0070292F">
        <w:rPr>
          <w:snapToGrid w:val="0"/>
          <w:lang w:val="fr-FR"/>
        </w:rPr>
        <w:t xml:space="preserve">voir aussi </w:t>
      </w:r>
      <w:r w:rsidR="00B72DDF" w:rsidRPr="0070292F">
        <w:rPr>
          <w:i/>
          <w:iCs/>
          <w:lang w:val="fr-FR"/>
        </w:rPr>
        <w:t>Büyükdağ c. Turquie</w:t>
      </w:r>
      <w:r w:rsidR="00B72DDF" w:rsidRPr="0070292F">
        <w:rPr>
          <w:lang w:val="fr-FR"/>
        </w:rPr>
        <w:t>, n</w:t>
      </w:r>
      <w:r w:rsidR="008C1E94" w:rsidRPr="0070292F">
        <w:rPr>
          <w:szCs w:val="24"/>
          <w:vertAlign w:val="superscript"/>
          <w:lang w:val="fr-FR"/>
        </w:rPr>
        <w:t>o</w:t>
      </w:r>
      <w:r w:rsidR="00B72DDF" w:rsidRPr="0070292F">
        <w:rPr>
          <w:szCs w:val="24"/>
          <w:lang w:val="fr-FR"/>
        </w:rPr>
        <w:t> </w:t>
      </w:r>
      <w:hyperlink r:id="rId35" w:anchor="{&quot;" w:history="1">
        <w:r w:rsidR="00B72DDF" w:rsidRPr="0070292F">
          <w:rPr>
            <w:szCs w:val="24"/>
            <w:lang w:val="fr-FR"/>
          </w:rPr>
          <w:t>28340/95</w:t>
        </w:r>
      </w:hyperlink>
      <w:r w:rsidR="00B72DDF" w:rsidRPr="0070292F">
        <w:rPr>
          <w:lang w:val="fr-FR"/>
        </w:rPr>
        <w:t xml:space="preserve">, § 64, 21 décembre 2000, </w:t>
      </w:r>
      <w:r w:rsidR="00B507CF" w:rsidRPr="0070292F">
        <w:rPr>
          <w:lang w:val="fr-FR"/>
        </w:rPr>
        <w:t>avec les renvois notamment à l</w:t>
      </w:r>
      <w:r w:rsidR="0070292F" w:rsidRPr="0070292F">
        <w:rPr>
          <w:lang w:val="fr-FR"/>
        </w:rPr>
        <w:t>’</w:t>
      </w:r>
      <w:r w:rsidR="00B72DDF" w:rsidRPr="0070292F">
        <w:rPr>
          <w:lang w:val="fr-FR"/>
        </w:rPr>
        <w:t xml:space="preserve">arrêt </w:t>
      </w:r>
      <w:r w:rsidR="00B72DDF" w:rsidRPr="0070292F">
        <w:rPr>
          <w:i/>
          <w:iCs/>
          <w:lang w:val="fr-FR"/>
        </w:rPr>
        <w:t>Aksoy c. Turquie</w:t>
      </w:r>
      <w:r w:rsidR="00B72DDF" w:rsidRPr="0070292F">
        <w:rPr>
          <w:lang w:val="fr-FR"/>
        </w:rPr>
        <w:t xml:space="preserve">, 18 décembre 1996, § 95, </w:t>
      </w:r>
      <w:r w:rsidR="00B72DDF" w:rsidRPr="0070292F">
        <w:rPr>
          <w:i/>
          <w:lang w:val="fr-FR"/>
        </w:rPr>
        <w:t>Recueil</w:t>
      </w:r>
      <w:r w:rsidR="00B72DDF" w:rsidRPr="0070292F">
        <w:rPr>
          <w:lang w:val="fr-FR"/>
        </w:rPr>
        <w:t xml:space="preserve"> 1996</w:t>
      </w:r>
      <w:r w:rsidR="00B72DDF" w:rsidRPr="0070292F">
        <w:rPr>
          <w:lang w:val="fr-FR"/>
        </w:rPr>
        <w:noBreakHyphen/>
        <w:t>VI). Dans certaines conditions, les recours offerts par le droit interne considérés dans leur ensemble peuvent répondre aux exigences de l</w:t>
      </w:r>
      <w:r w:rsidR="0070292F" w:rsidRPr="0070292F">
        <w:rPr>
          <w:lang w:val="fr-FR"/>
        </w:rPr>
        <w:t>’article </w:t>
      </w:r>
      <w:r w:rsidR="00B72DDF" w:rsidRPr="0070292F">
        <w:rPr>
          <w:lang w:val="fr-FR"/>
        </w:rPr>
        <w:t>13 (voir</w:t>
      </w:r>
      <w:r w:rsidR="004B4400" w:rsidRPr="0070292F">
        <w:rPr>
          <w:lang w:val="fr-FR"/>
        </w:rPr>
        <w:t>,</w:t>
      </w:r>
      <w:r w:rsidR="00B72DDF" w:rsidRPr="0070292F">
        <w:rPr>
          <w:lang w:val="fr-FR"/>
        </w:rPr>
        <w:t xml:space="preserve"> notamment</w:t>
      </w:r>
      <w:r w:rsidR="004B4400" w:rsidRPr="0070292F">
        <w:rPr>
          <w:lang w:val="fr-FR"/>
        </w:rPr>
        <w:t>,</w:t>
      </w:r>
      <w:r w:rsidR="00B72DDF" w:rsidRPr="0070292F">
        <w:rPr>
          <w:lang w:val="fr-FR"/>
        </w:rPr>
        <w:t xml:space="preserve"> </w:t>
      </w:r>
      <w:r w:rsidR="00B72DDF" w:rsidRPr="0070292F">
        <w:rPr>
          <w:i/>
          <w:iCs/>
          <w:lang w:val="fr-FR"/>
        </w:rPr>
        <w:t>Leander c. Suède</w:t>
      </w:r>
      <w:r w:rsidR="00B72DDF" w:rsidRPr="0070292F">
        <w:rPr>
          <w:lang w:val="fr-FR"/>
        </w:rPr>
        <w:t>, 26 mars 1987, § 77, série A n</w:t>
      </w:r>
      <w:r w:rsidR="00A83D22" w:rsidRPr="0070292F">
        <w:rPr>
          <w:vertAlign w:val="superscript"/>
          <w:lang w:val="fr-FR"/>
        </w:rPr>
        <w:t>o</w:t>
      </w:r>
      <w:r w:rsidR="00B72DDF" w:rsidRPr="0070292F">
        <w:rPr>
          <w:lang w:val="fr-FR"/>
        </w:rPr>
        <w:t> 116).</w:t>
      </w:r>
    </w:p>
    <w:p w:rsidR="00B72DDF" w:rsidRPr="0070292F" w:rsidRDefault="00AB04F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180</w:t>
      </w:r>
      <w:r w:rsidRPr="0070292F">
        <w:rPr>
          <w:lang w:val="fr-FR"/>
        </w:rPr>
        <w:fldChar w:fldCharType="end"/>
      </w:r>
      <w:r w:rsidRPr="0070292F">
        <w:rPr>
          <w:lang w:val="fr-FR"/>
        </w:rPr>
        <w:t>.  </w:t>
      </w:r>
      <w:r w:rsidR="00B72DDF" w:rsidRPr="0070292F">
        <w:rPr>
          <w:lang w:val="fr-FR"/>
        </w:rPr>
        <w:t>Cela étant, l</w:t>
      </w:r>
      <w:r w:rsidR="0070292F" w:rsidRPr="0070292F">
        <w:rPr>
          <w:lang w:val="fr-FR"/>
        </w:rPr>
        <w:t>’</w:t>
      </w:r>
      <w:r w:rsidR="00B72DDF" w:rsidRPr="0070292F">
        <w:rPr>
          <w:lang w:val="fr-FR"/>
        </w:rPr>
        <w:t>article 13 exige seulement qu</w:t>
      </w:r>
      <w:r w:rsidR="0070292F" w:rsidRPr="0070292F">
        <w:rPr>
          <w:lang w:val="fr-FR"/>
        </w:rPr>
        <w:t>’</w:t>
      </w:r>
      <w:r w:rsidR="00B72DDF" w:rsidRPr="0070292F">
        <w:rPr>
          <w:lang w:val="fr-FR"/>
        </w:rPr>
        <w:t>existe un recours en droit interne à l</w:t>
      </w:r>
      <w:r w:rsidR="0070292F" w:rsidRPr="0070292F">
        <w:rPr>
          <w:lang w:val="fr-FR"/>
        </w:rPr>
        <w:t>’</w:t>
      </w:r>
      <w:r w:rsidR="00B72DDF" w:rsidRPr="0070292F">
        <w:rPr>
          <w:lang w:val="fr-FR"/>
        </w:rPr>
        <w:t>égard des griefs que l</w:t>
      </w:r>
      <w:r w:rsidR="0070292F" w:rsidRPr="0070292F">
        <w:rPr>
          <w:lang w:val="fr-FR"/>
        </w:rPr>
        <w:t>’</w:t>
      </w:r>
      <w:r w:rsidR="00B72DDF" w:rsidRPr="0070292F">
        <w:rPr>
          <w:lang w:val="fr-FR"/>
        </w:rPr>
        <w:t xml:space="preserve">on peut estimer « défendables » au regard de la Convention (voir, par exemple, </w:t>
      </w:r>
      <w:r w:rsidR="00B72DDF" w:rsidRPr="0070292F">
        <w:rPr>
          <w:i/>
          <w:iCs/>
          <w:lang w:val="fr-FR"/>
        </w:rPr>
        <w:t>Boyle et Rice</w:t>
      </w:r>
      <w:r w:rsidR="00B72DDF" w:rsidRPr="0070292F">
        <w:rPr>
          <w:lang w:val="fr-FR"/>
        </w:rPr>
        <w:t xml:space="preserve"> </w:t>
      </w:r>
      <w:r w:rsidR="00B72DDF" w:rsidRPr="0070292F">
        <w:rPr>
          <w:i/>
          <w:lang w:val="fr-FR"/>
        </w:rPr>
        <w:t>c. Royaume-Uni</w:t>
      </w:r>
      <w:r w:rsidR="00B72DDF" w:rsidRPr="0070292F">
        <w:rPr>
          <w:lang w:val="fr-FR"/>
        </w:rPr>
        <w:t>, 27 avril 1988, § 54, série A n</w:t>
      </w:r>
      <w:r w:rsidR="008C1E94" w:rsidRPr="0070292F">
        <w:rPr>
          <w:vertAlign w:val="superscript"/>
          <w:lang w:val="fr-FR"/>
        </w:rPr>
        <w:t>o</w:t>
      </w:r>
      <w:r w:rsidR="00B72DDF" w:rsidRPr="0070292F">
        <w:rPr>
          <w:lang w:val="fr-FR"/>
        </w:rPr>
        <w:t xml:space="preserve"> 131). Il n</w:t>
      </w:r>
      <w:r w:rsidR="0070292F" w:rsidRPr="0070292F">
        <w:rPr>
          <w:lang w:val="fr-FR"/>
        </w:rPr>
        <w:t>’</w:t>
      </w:r>
      <w:r w:rsidR="00B72DDF" w:rsidRPr="0070292F">
        <w:rPr>
          <w:lang w:val="fr-FR"/>
        </w:rPr>
        <w:t xml:space="preserve">impose pas aux </w:t>
      </w:r>
      <w:r w:rsidR="00A83D22" w:rsidRPr="0070292F">
        <w:rPr>
          <w:rFonts w:cstheme="minorHAnsi"/>
          <w:lang w:val="fr-FR"/>
        </w:rPr>
        <w:t>É</w:t>
      </w:r>
      <w:r w:rsidR="00B72DDF" w:rsidRPr="0070292F">
        <w:rPr>
          <w:lang w:val="fr-FR"/>
        </w:rPr>
        <w:t>tats de permettre aux individus de dénoncer</w:t>
      </w:r>
      <w:r w:rsidR="00533AE2" w:rsidRPr="0070292F">
        <w:rPr>
          <w:lang w:val="fr-FR"/>
        </w:rPr>
        <w:t>,</w:t>
      </w:r>
      <w:r w:rsidR="00B72DDF" w:rsidRPr="0070292F">
        <w:rPr>
          <w:lang w:val="fr-FR"/>
        </w:rPr>
        <w:t xml:space="preserve"> devant une autorité interne</w:t>
      </w:r>
      <w:r w:rsidR="00533AE2" w:rsidRPr="0070292F">
        <w:rPr>
          <w:lang w:val="fr-FR"/>
        </w:rPr>
        <w:t>,</w:t>
      </w:r>
      <w:r w:rsidR="00B72DDF" w:rsidRPr="0070292F">
        <w:rPr>
          <w:lang w:val="fr-FR"/>
        </w:rPr>
        <w:t xml:space="preserve"> </w:t>
      </w:r>
      <w:r w:rsidR="00533AE2" w:rsidRPr="0070292F">
        <w:rPr>
          <w:lang w:val="fr-FR"/>
        </w:rPr>
        <w:t>les</w:t>
      </w:r>
      <w:r w:rsidR="00B72DDF" w:rsidRPr="0070292F">
        <w:rPr>
          <w:lang w:val="fr-FR"/>
        </w:rPr>
        <w:t xml:space="preserve"> lois nationales </w:t>
      </w:r>
      <w:r w:rsidR="00533AE2" w:rsidRPr="0070292F">
        <w:rPr>
          <w:lang w:val="fr-FR"/>
        </w:rPr>
        <w:t xml:space="preserve">comme contraires à la Convention </w:t>
      </w:r>
      <w:r w:rsidR="00B72DDF" w:rsidRPr="0070292F">
        <w:rPr>
          <w:lang w:val="fr-FR"/>
        </w:rPr>
        <w:t>(</w:t>
      </w:r>
      <w:r w:rsidR="00B72DDF" w:rsidRPr="0070292F">
        <w:rPr>
          <w:i/>
          <w:iCs/>
          <w:lang w:val="fr-FR"/>
        </w:rPr>
        <w:t>Costello-Roberts c. Royaume-Uni</w:t>
      </w:r>
      <w:r w:rsidR="00B72DDF" w:rsidRPr="0070292F">
        <w:rPr>
          <w:lang w:val="fr-FR"/>
        </w:rPr>
        <w:t>, 25 mars 1993, § 40</w:t>
      </w:r>
      <w:r w:rsidR="00A83D22" w:rsidRPr="0070292F">
        <w:rPr>
          <w:lang w:val="fr-FR"/>
        </w:rPr>
        <w:t>,</w:t>
      </w:r>
      <w:r w:rsidR="00B72DDF" w:rsidRPr="0070292F">
        <w:rPr>
          <w:lang w:val="fr-FR"/>
        </w:rPr>
        <w:t xml:space="preserve"> série A n</w:t>
      </w:r>
      <w:r w:rsidR="008C1E94" w:rsidRPr="0070292F">
        <w:rPr>
          <w:vertAlign w:val="superscript"/>
          <w:lang w:val="fr-FR"/>
        </w:rPr>
        <w:t>o</w:t>
      </w:r>
      <w:r w:rsidR="00B72DDF" w:rsidRPr="0070292F">
        <w:rPr>
          <w:lang w:val="fr-FR"/>
        </w:rPr>
        <w:t xml:space="preserve"> 247</w:t>
      </w:r>
      <w:r w:rsidR="00B72DDF" w:rsidRPr="0070292F">
        <w:rPr>
          <w:lang w:val="fr-FR"/>
        </w:rPr>
        <w:noBreakHyphen/>
        <w:t>C), mais vise seulement à offrir à ceux qui expriment un grief défendable de violation d</w:t>
      </w:r>
      <w:r w:rsidR="0070292F" w:rsidRPr="0070292F">
        <w:rPr>
          <w:lang w:val="fr-FR"/>
        </w:rPr>
        <w:t>’</w:t>
      </w:r>
      <w:r w:rsidR="00B72DDF" w:rsidRPr="0070292F">
        <w:rPr>
          <w:lang w:val="fr-FR"/>
        </w:rPr>
        <w:t>un droit protégé par la Convention un recours effectif dans l</w:t>
      </w:r>
      <w:r w:rsidR="0070292F" w:rsidRPr="0070292F">
        <w:rPr>
          <w:lang w:val="fr-FR"/>
        </w:rPr>
        <w:t>’</w:t>
      </w:r>
      <w:r w:rsidR="00B72DDF" w:rsidRPr="0070292F">
        <w:rPr>
          <w:lang w:val="fr-FR"/>
        </w:rPr>
        <w:t>ordre juridique interne (</w:t>
      </w:r>
      <w:r w:rsidR="00B72DDF" w:rsidRPr="0070292F">
        <w:rPr>
          <w:i/>
          <w:lang w:val="fr-FR"/>
        </w:rPr>
        <w:t>ibidem</w:t>
      </w:r>
      <w:r w:rsidR="00B72DDF" w:rsidRPr="0070292F">
        <w:rPr>
          <w:lang w:val="fr-FR"/>
        </w:rPr>
        <w:t>, § 39).</w:t>
      </w:r>
    </w:p>
    <w:p w:rsidR="00B72DDF" w:rsidRPr="0070292F" w:rsidRDefault="00B72DDF" w:rsidP="0070292F">
      <w:pPr>
        <w:pStyle w:val="ECHRHeading4"/>
        <w:rPr>
          <w:lang w:val="fr-FR"/>
        </w:rPr>
      </w:pPr>
      <w:r w:rsidRPr="0070292F">
        <w:rPr>
          <w:lang w:val="fr-FR"/>
        </w:rPr>
        <w:t>b)  </w:t>
      </w:r>
      <w:r w:rsidR="008B46B9" w:rsidRPr="0070292F">
        <w:rPr>
          <w:lang w:val="fr-FR"/>
        </w:rPr>
        <w:t>L</w:t>
      </w:r>
      <w:r w:rsidR="0070292F" w:rsidRPr="0070292F">
        <w:rPr>
          <w:lang w:val="fr-FR"/>
        </w:rPr>
        <w:t>’</w:t>
      </w:r>
      <w:r w:rsidR="008B46B9" w:rsidRPr="0070292F">
        <w:rPr>
          <w:lang w:val="fr-FR"/>
        </w:rPr>
        <w:t>application</w:t>
      </w:r>
      <w:r w:rsidRPr="0070292F">
        <w:rPr>
          <w:lang w:val="fr-FR"/>
        </w:rPr>
        <w:t xml:space="preserve"> de ces principes au cas </w:t>
      </w:r>
      <w:r w:rsidR="008B46B9" w:rsidRPr="0070292F">
        <w:rPr>
          <w:lang w:val="fr-FR"/>
        </w:rPr>
        <w:t>d</w:t>
      </w:r>
      <w:r w:rsidR="0070292F" w:rsidRPr="0070292F">
        <w:rPr>
          <w:lang w:val="fr-FR"/>
        </w:rPr>
        <w:t>’</w:t>
      </w:r>
      <w:r w:rsidR="008B46B9" w:rsidRPr="0070292F">
        <w:rPr>
          <w:lang w:val="fr-FR"/>
        </w:rPr>
        <w:t>espèce</w:t>
      </w:r>
    </w:p>
    <w:p w:rsidR="00B72DDF" w:rsidRPr="0070292F" w:rsidRDefault="00AB04F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181</w:t>
      </w:r>
      <w:r w:rsidRPr="0070292F">
        <w:rPr>
          <w:lang w:val="fr-FR"/>
        </w:rPr>
        <w:fldChar w:fldCharType="end"/>
      </w:r>
      <w:r w:rsidRPr="0070292F">
        <w:rPr>
          <w:lang w:val="fr-FR"/>
        </w:rPr>
        <w:t>.  </w:t>
      </w:r>
      <w:r w:rsidR="00B72DDF" w:rsidRPr="0070292F">
        <w:rPr>
          <w:lang w:val="fr-FR"/>
        </w:rPr>
        <w:t xml:space="preserve">La Cour note que, compte tenu du constat de violation de </w:t>
      </w:r>
      <w:r w:rsidR="008B46B9" w:rsidRPr="0070292F">
        <w:rPr>
          <w:lang w:val="fr-FR"/>
        </w:rPr>
        <w:t>l</w:t>
      </w:r>
      <w:r w:rsidR="0070292F" w:rsidRPr="0070292F">
        <w:rPr>
          <w:lang w:val="fr-FR"/>
        </w:rPr>
        <w:t>’</w:t>
      </w:r>
      <w:r w:rsidR="008B46B9" w:rsidRPr="0070292F">
        <w:rPr>
          <w:lang w:val="fr-FR"/>
        </w:rPr>
        <w:t>article</w:t>
      </w:r>
      <w:r w:rsidR="00B72DDF" w:rsidRPr="0070292F">
        <w:rPr>
          <w:lang w:val="fr-FR"/>
        </w:rPr>
        <w:t xml:space="preserve"> 2 du </w:t>
      </w:r>
      <w:r w:rsidR="00A83D22" w:rsidRPr="0070292F">
        <w:rPr>
          <w:lang w:val="fr-FR"/>
        </w:rPr>
        <w:t>P</w:t>
      </w:r>
      <w:r w:rsidR="00B72DDF" w:rsidRPr="0070292F">
        <w:rPr>
          <w:lang w:val="fr-FR"/>
        </w:rPr>
        <w:t>rotocole n</w:t>
      </w:r>
      <w:r w:rsidR="008C1E94" w:rsidRPr="0070292F">
        <w:rPr>
          <w:vertAlign w:val="superscript"/>
          <w:lang w:val="fr-FR"/>
        </w:rPr>
        <w:t>o</w:t>
      </w:r>
      <w:r w:rsidR="00B72DDF" w:rsidRPr="0070292F">
        <w:rPr>
          <w:lang w:val="fr-FR"/>
        </w:rPr>
        <w:t xml:space="preserve"> 4 énoncé ci-dessus (paragraphe </w:t>
      </w:r>
      <w:r w:rsidRPr="0070292F">
        <w:rPr>
          <w:lang w:val="fr-FR"/>
        </w:rPr>
        <w:t>12</w:t>
      </w:r>
      <w:r w:rsidR="00BC25EE" w:rsidRPr="0070292F">
        <w:rPr>
          <w:lang w:val="fr-FR"/>
        </w:rPr>
        <w:t>6</w:t>
      </w:r>
      <w:r w:rsidRPr="0070292F">
        <w:rPr>
          <w:lang w:val="fr-FR"/>
        </w:rPr>
        <w:t xml:space="preserve"> ci-dessus</w:t>
      </w:r>
      <w:r w:rsidR="00B72DDF" w:rsidRPr="0070292F">
        <w:rPr>
          <w:lang w:val="fr-FR"/>
        </w:rPr>
        <w:t>)</w:t>
      </w:r>
      <w:r w:rsidR="00A83D22" w:rsidRPr="0070292F">
        <w:rPr>
          <w:lang w:val="fr-FR"/>
        </w:rPr>
        <w:t>,</w:t>
      </w:r>
      <w:r w:rsidR="00B72DDF" w:rsidRPr="0070292F">
        <w:rPr>
          <w:lang w:val="fr-FR"/>
        </w:rPr>
        <w:t xml:space="preserve"> le grief est défendable. Il reste dès lors à rechercher si le requérant a disposé en droit italien d</w:t>
      </w:r>
      <w:r w:rsidR="0070292F" w:rsidRPr="0070292F">
        <w:rPr>
          <w:lang w:val="fr-FR"/>
        </w:rPr>
        <w:t>’</w:t>
      </w:r>
      <w:r w:rsidR="00B72DDF" w:rsidRPr="0070292F">
        <w:rPr>
          <w:lang w:val="fr-FR"/>
        </w:rPr>
        <w:t>un recours effectif lui permettant de dénoncer les atteintes à ses droits protégés par la Convention.</w:t>
      </w:r>
    </w:p>
    <w:p w:rsidR="00B72DDF" w:rsidRPr="0070292F" w:rsidRDefault="00AB04F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182</w:t>
      </w:r>
      <w:r w:rsidRPr="0070292F">
        <w:rPr>
          <w:lang w:val="fr-FR"/>
        </w:rPr>
        <w:fldChar w:fldCharType="end"/>
      </w:r>
      <w:r w:rsidRPr="0070292F">
        <w:rPr>
          <w:lang w:val="fr-FR"/>
        </w:rPr>
        <w:t>.  </w:t>
      </w:r>
      <w:r w:rsidR="00B72DDF" w:rsidRPr="0070292F">
        <w:rPr>
          <w:lang w:val="fr-FR"/>
        </w:rPr>
        <w:t>La Cour rappelle que</w:t>
      </w:r>
      <w:r w:rsidR="00A83D22" w:rsidRPr="0070292F">
        <w:rPr>
          <w:lang w:val="fr-FR"/>
        </w:rPr>
        <w:t>,</w:t>
      </w:r>
      <w:r w:rsidR="00B72DDF" w:rsidRPr="0070292F">
        <w:rPr>
          <w:lang w:val="fr-FR"/>
        </w:rPr>
        <w:t xml:space="preserve"> lorsqu</w:t>
      </w:r>
      <w:r w:rsidR="0070292F" w:rsidRPr="0070292F">
        <w:rPr>
          <w:lang w:val="fr-FR"/>
        </w:rPr>
        <w:t>’</w:t>
      </w:r>
      <w:r w:rsidR="00B72DDF" w:rsidRPr="0070292F">
        <w:rPr>
          <w:lang w:val="fr-FR"/>
        </w:rPr>
        <w:t xml:space="preserve">il existe un grief défendable </w:t>
      </w:r>
      <w:r w:rsidR="00A83D22" w:rsidRPr="0070292F">
        <w:rPr>
          <w:lang w:val="fr-FR"/>
        </w:rPr>
        <w:t xml:space="preserve">selon lequel </w:t>
      </w:r>
      <w:r w:rsidR="00B72DDF" w:rsidRPr="0070292F">
        <w:rPr>
          <w:lang w:val="fr-FR"/>
        </w:rPr>
        <w:t>une mesure adoptée par les autorités peut violer le droi</w:t>
      </w:r>
      <w:r w:rsidR="003075E2" w:rsidRPr="0070292F">
        <w:rPr>
          <w:lang w:val="fr-FR"/>
        </w:rPr>
        <w:t>t de circulation d</w:t>
      </w:r>
      <w:r w:rsidR="0070292F" w:rsidRPr="0070292F">
        <w:rPr>
          <w:lang w:val="fr-FR"/>
        </w:rPr>
        <w:t>’</w:t>
      </w:r>
      <w:r w:rsidR="003075E2" w:rsidRPr="0070292F">
        <w:rPr>
          <w:lang w:val="fr-FR"/>
        </w:rPr>
        <w:t>un requérant</w:t>
      </w:r>
      <w:r w:rsidR="00A83D22" w:rsidRPr="0070292F">
        <w:rPr>
          <w:lang w:val="fr-FR"/>
        </w:rPr>
        <w:t>,</w:t>
      </w:r>
      <w:r w:rsidR="00B72DDF" w:rsidRPr="0070292F">
        <w:rPr>
          <w:lang w:val="fr-FR"/>
        </w:rPr>
        <w:t xml:space="preserve"> l</w:t>
      </w:r>
      <w:r w:rsidR="0070292F" w:rsidRPr="0070292F">
        <w:rPr>
          <w:lang w:val="fr-FR"/>
        </w:rPr>
        <w:t>’</w:t>
      </w:r>
      <w:r w:rsidR="00B72DDF" w:rsidRPr="0070292F">
        <w:rPr>
          <w:lang w:val="fr-FR"/>
        </w:rPr>
        <w:t>article 13 de la Convention</w:t>
      </w:r>
      <w:r w:rsidR="00A83D22" w:rsidRPr="0070292F">
        <w:rPr>
          <w:lang w:val="fr-FR"/>
        </w:rPr>
        <w:t xml:space="preserve"> exige </w:t>
      </w:r>
      <w:r w:rsidR="00B72DDF" w:rsidRPr="0070292F">
        <w:rPr>
          <w:lang w:val="fr-FR"/>
        </w:rPr>
        <w:t xml:space="preserve">que les systèmes nationaux offrent aux </w:t>
      </w:r>
      <w:r w:rsidR="00A83D22" w:rsidRPr="0070292F">
        <w:rPr>
          <w:lang w:val="fr-FR"/>
        </w:rPr>
        <w:t xml:space="preserve">intéressés la possibilité </w:t>
      </w:r>
      <w:r w:rsidR="00B72DDF" w:rsidRPr="0070292F">
        <w:rPr>
          <w:lang w:val="fr-FR"/>
        </w:rPr>
        <w:t>de bénéficier d</w:t>
      </w:r>
      <w:r w:rsidR="0070292F" w:rsidRPr="0070292F">
        <w:rPr>
          <w:lang w:val="fr-FR"/>
        </w:rPr>
        <w:t>’</w:t>
      </w:r>
      <w:r w:rsidR="00B72DDF" w:rsidRPr="0070292F">
        <w:rPr>
          <w:lang w:val="fr-FR"/>
        </w:rPr>
        <w:t>une procédure contradictoire de recours devant les juridictions (</w:t>
      </w:r>
      <w:r w:rsidR="00A83D22" w:rsidRPr="0070292F">
        <w:rPr>
          <w:lang w:val="fr-FR"/>
        </w:rPr>
        <w:t xml:space="preserve">voir, </w:t>
      </w:r>
      <w:r w:rsidR="003075E2" w:rsidRPr="0070292F">
        <w:rPr>
          <w:i/>
          <w:lang w:val="fr-FR"/>
        </w:rPr>
        <w:t>mutatis mutandis</w:t>
      </w:r>
      <w:r w:rsidR="003075E2" w:rsidRPr="0070292F">
        <w:rPr>
          <w:lang w:val="fr-FR"/>
        </w:rPr>
        <w:t xml:space="preserve">, </w:t>
      </w:r>
      <w:r w:rsidR="00B72DDF" w:rsidRPr="0070292F">
        <w:rPr>
          <w:i/>
          <w:iCs/>
          <w:lang w:val="fr-FR"/>
        </w:rPr>
        <w:t>Riener</w:t>
      </w:r>
      <w:r w:rsidR="00B72DDF" w:rsidRPr="0070292F">
        <w:rPr>
          <w:iCs/>
          <w:lang w:val="fr-FR"/>
        </w:rPr>
        <w:t>,</w:t>
      </w:r>
      <w:r w:rsidR="00B72DDF" w:rsidRPr="0070292F">
        <w:rPr>
          <w:i/>
          <w:iCs/>
          <w:lang w:val="fr-FR"/>
        </w:rPr>
        <w:t xml:space="preserve"> </w:t>
      </w:r>
      <w:r w:rsidR="00977A95" w:rsidRPr="0070292F">
        <w:rPr>
          <w:lang w:val="fr-FR"/>
        </w:rPr>
        <w:t>précité</w:t>
      </w:r>
      <w:r w:rsidR="00A83D22" w:rsidRPr="0070292F">
        <w:rPr>
          <w:lang w:val="fr-FR"/>
        </w:rPr>
        <w:t>,</w:t>
      </w:r>
      <w:r w:rsidR="00977A95" w:rsidRPr="0070292F">
        <w:rPr>
          <w:lang w:val="fr-FR"/>
        </w:rPr>
        <w:t xml:space="preserve"> § 138</w:t>
      </w:r>
      <w:r w:rsidR="00B72DDF" w:rsidRPr="0070292F">
        <w:rPr>
          <w:lang w:val="fr-FR"/>
        </w:rPr>
        <w:t>).</w:t>
      </w:r>
    </w:p>
    <w:p w:rsidR="00B72DDF" w:rsidRPr="0070292F" w:rsidRDefault="00AB04F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183</w:t>
      </w:r>
      <w:r w:rsidRPr="0070292F">
        <w:rPr>
          <w:lang w:val="fr-FR"/>
        </w:rPr>
        <w:fldChar w:fldCharType="end"/>
      </w:r>
      <w:r w:rsidRPr="0070292F">
        <w:rPr>
          <w:lang w:val="fr-FR"/>
        </w:rPr>
        <w:t>.  </w:t>
      </w:r>
      <w:r w:rsidR="00B72DDF" w:rsidRPr="0070292F">
        <w:rPr>
          <w:lang w:val="fr-FR"/>
        </w:rPr>
        <w:t>Toutefois</w:t>
      </w:r>
      <w:r w:rsidR="00A83D22" w:rsidRPr="0070292F">
        <w:rPr>
          <w:lang w:val="fr-FR"/>
        </w:rPr>
        <w:t>,</w:t>
      </w:r>
      <w:r w:rsidR="00B72DDF" w:rsidRPr="0070292F">
        <w:rPr>
          <w:lang w:val="fr-FR"/>
        </w:rPr>
        <w:t xml:space="preserve"> une procédure de recours interne ne saurait être jugée effective au sens de </w:t>
      </w:r>
      <w:r w:rsidR="008B46B9" w:rsidRPr="0070292F">
        <w:rPr>
          <w:lang w:val="fr-FR"/>
        </w:rPr>
        <w:t>l</w:t>
      </w:r>
      <w:r w:rsidR="0070292F" w:rsidRPr="0070292F">
        <w:rPr>
          <w:lang w:val="fr-FR"/>
        </w:rPr>
        <w:t>’</w:t>
      </w:r>
      <w:r w:rsidR="008B46B9" w:rsidRPr="0070292F">
        <w:rPr>
          <w:lang w:val="fr-FR"/>
        </w:rPr>
        <w:t>article</w:t>
      </w:r>
      <w:r w:rsidR="00B72DDF" w:rsidRPr="0070292F">
        <w:rPr>
          <w:lang w:val="fr-FR"/>
        </w:rPr>
        <w:t xml:space="preserve"> 13 de la Convention si elle </w:t>
      </w:r>
      <w:r w:rsidR="007032D5" w:rsidRPr="0070292F">
        <w:rPr>
          <w:lang w:val="fr-FR"/>
        </w:rPr>
        <w:t>n</w:t>
      </w:r>
      <w:r w:rsidR="0070292F" w:rsidRPr="0070292F">
        <w:rPr>
          <w:lang w:val="fr-FR"/>
        </w:rPr>
        <w:t>’</w:t>
      </w:r>
      <w:r w:rsidR="007032D5" w:rsidRPr="0070292F">
        <w:rPr>
          <w:lang w:val="fr-FR"/>
        </w:rPr>
        <w:t>offre</w:t>
      </w:r>
      <w:r w:rsidR="00B72DDF" w:rsidRPr="0070292F">
        <w:rPr>
          <w:lang w:val="fr-FR"/>
        </w:rPr>
        <w:t xml:space="preserve"> pas la possibilité de traiter la substance </w:t>
      </w:r>
      <w:r w:rsidR="007032D5" w:rsidRPr="0070292F">
        <w:rPr>
          <w:lang w:val="fr-FR"/>
        </w:rPr>
        <w:t>d</w:t>
      </w:r>
      <w:r w:rsidR="0070292F" w:rsidRPr="0070292F">
        <w:rPr>
          <w:lang w:val="fr-FR"/>
        </w:rPr>
        <w:t>’</w:t>
      </w:r>
      <w:r w:rsidR="007032D5" w:rsidRPr="0070292F">
        <w:rPr>
          <w:lang w:val="fr-FR"/>
        </w:rPr>
        <w:t>un</w:t>
      </w:r>
      <w:r w:rsidR="00B72DDF" w:rsidRPr="0070292F">
        <w:rPr>
          <w:lang w:val="fr-FR"/>
        </w:rPr>
        <w:t xml:space="preserve"> «</w:t>
      </w:r>
      <w:r w:rsidR="00A83D22" w:rsidRPr="0070292F">
        <w:rPr>
          <w:lang w:val="fr-FR"/>
        </w:rPr>
        <w:t> </w:t>
      </w:r>
      <w:r w:rsidR="00B72DDF" w:rsidRPr="0070292F">
        <w:rPr>
          <w:lang w:val="fr-FR"/>
        </w:rPr>
        <w:t>grief défendable</w:t>
      </w:r>
      <w:r w:rsidR="00A83D22" w:rsidRPr="0070292F">
        <w:rPr>
          <w:lang w:val="fr-FR"/>
        </w:rPr>
        <w:t> </w:t>
      </w:r>
      <w:r w:rsidR="00B72DDF" w:rsidRPr="0070292F">
        <w:rPr>
          <w:lang w:val="fr-FR"/>
        </w:rPr>
        <w:t xml:space="preserve">» au sens de la Convention et </w:t>
      </w:r>
      <w:r w:rsidR="007032D5" w:rsidRPr="0070292F">
        <w:rPr>
          <w:lang w:val="fr-FR"/>
        </w:rPr>
        <w:t>d</w:t>
      </w:r>
      <w:r w:rsidR="0070292F" w:rsidRPr="0070292F">
        <w:rPr>
          <w:lang w:val="fr-FR"/>
        </w:rPr>
        <w:t>’</w:t>
      </w:r>
      <w:r w:rsidR="007032D5" w:rsidRPr="0070292F">
        <w:rPr>
          <w:lang w:val="fr-FR"/>
        </w:rPr>
        <w:t>apporter</w:t>
      </w:r>
      <w:r w:rsidR="00B72DDF" w:rsidRPr="0070292F">
        <w:rPr>
          <w:lang w:val="fr-FR"/>
        </w:rPr>
        <w:t xml:space="preserve"> une réparation adéquate. Ainsi, en énonçant de manière explicite l</w:t>
      </w:r>
      <w:r w:rsidR="0070292F" w:rsidRPr="0070292F">
        <w:rPr>
          <w:lang w:val="fr-FR"/>
        </w:rPr>
        <w:t>’</w:t>
      </w:r>
      <w:r w:rsidR="00B72DDF" w:rsidRPr="0070292F">
        <w:rPr>
          <w:lang w:val="fr-FR"/>
        </w:rPr>
        <w:t xml:space="preserve">obligation pour les </w:t>
      </w:r>
      <w:r w:rsidR="00A83D22" w:rsidRPr="0070292F">
        <w:rPr>
          <w:rFonts w:cstheme="minorHAnsi"/>
          <w:lang w:val="fr-FR"/>
        </w:rPr>
        <w:t>É</w:t>
      </w:r>
      <w:r w:rsidR="00B72DDF" w:rsidRPr="0070292F">
        <w:rPr>
          <w:lang w:val="fr-FR"/>
        </w:rPr>
        <w:t>tats de protéger les droits de l</w:t>
      </w:r>
      <w:r w:rsidR="0070292F" w:rsidRPr="0070292F">
        <w:rPr>
          <w:lang w:val="fr-FR"/>
        </w:rPr>
        <w:t>’</w:t>
      </w:r>
      <w:r w:rsidR="00B72DDF" w:rsidRPr="0070292F">
        <w:rPr>
          <w:lang w:val="fr-FR"/>
        </w:rPr>
        <w:t>homme en premier lieu au sein de leur propre ordre juridique, l</w:t>
      </w:r>
      <w:r w:rsidR="0070292F" w:rsidRPr="0070292F">
        <w:rPr>
          <w:lang w:val="fr-FR"/>
        </w:rPr>
        <w:t>’</w:t>
      </w:r>
      <w:r w:rsidR="00B72DDF" w:rsidRPr="0070292F">
        <w:rPr>
          <w:lang w:val="fr-FR"/>
        </w:rPr>
        <w:t>article 13 établit au profit des justiciables une garantie supplémentaire de jouissance effective des droits en question (</w:t>
      </w:r>
      <w:r w:rsidR="00B72DDF" w:rsidRPr="0070292F">
        <w:rPr>
          <w:i/>
          <w:iCs/>
          <w:lang w:val="fr-FR"/>
        </w:rPr>
        <w:t>Riener</w:t>
      </w:r>
      <w:r w:rsidR="00B72DDF" w:rsidRPr="0070292F">
        <w:rPr>
          <w:iCs/>
          <w:lang w:val="fr-FR"/>
        </w:rPr>
        <w:t>,</w:t>
      </w:r>
      <w:r w:rsidR="00B72DDF" w:rsidRPr="0070292F">
        <w:rPr>
          <w:lang w:val="fr-FR"/>
        </w:rPr>
        <w:t xml:space="preserve"> précité</w:t>
      </w:r>
      <w:r w:rsidR="00F736A3" w:rsidRPr="0070292F">
        <w:rPr>
          <w:lang w:val="fr-FR"/>
        </w:rPr>
        <w:t>,</w:t>
      </w:r>
      <w:r w:rsidR="00B72DDF" w:rsidRPr="0070292F">
        <w:rPr>
          <w:lang w:val="fr-FR"/>
        </w:rPr>
        <w:t xml:space="preserve"> § 142</w:t>
      </w:r>
      <w:r w:rsidR="009E66EB" w:rsidRPr="0070292F">
        <w:rPr>
          <w:lang w:val="fr-FR"/>
        </w:rPr>
        <w:t xml:space="preserve"> ; voir aussi </w:t>
      </w:r>
      <w:r w:rsidR="00B72DDF" w:rsidRPr="0070292F">
        <w:rPr>
          <w:i/>
          <w:iCs/>
          <w:lang w:val="fr-FR"/>
        </w:rPr>
        <w:t xml:space="preserve">Kudła </w:t>
      </w:r>
      <w:r w:rsidR="00B72DDF" w:rsidRPr="0070292F">
        <w:rPr>
          <w:i/>
          <w:iCs/>
          <w:lang w:val="fr-FR"/>
        </w:rPr>
        <w:lastRenderedPageBreak/>
        <w:t>c.</w:t>
      </w:r>
      <w:r w:rsidR="006E67C3" w:rsidRPr="0070292F">
        <w:rPr>
          <w:i/>
          <w:iCs/>
          <w:lang w:val="fr-FR"/>
        </w:rPr>
        <w:t> </w:t>
      </w:r>
      <w:r w:rsidR="00B72DDF" w:rsidRPr="0070292F">
        <w:rPr>
          <w:i/>
          <w:iCs/>
          <w:lang w:val="fr-FR"/>
        </w:rPr>
        <w:t xml:space="preserve">Pologne </w:t>
      </w:r>
      <w:r w:rsidR="00B72DDF" w:rsidRPr="0070292F">
        <w:rPr>
          <w:lang w:val="fr-FR"/>
        </w:rPr>
        <w:t>[GC], n</w:t>
      </w:r>
      <w:r w:rsidR="008C1E94" w:rsidRPr="0070292F">
        <w:rPr>
          <w:vertAlign w:val="superscript"/>
          <w:lang w:val="fr-FR"/>
        </w:rPr>
        <w:t>o</w:t>
      </w:r>
      <w:r w:rsidR="00B72DDF" w:rsidRPr="0070292F">
        <w:rPr>
          <w:lang w:val="fr-FR"/>
        </w:rPr>
        <w:t xml:space="preserve"> 30210/96, § 152, CEDH 2000</w:t>
      </w:r>
      <w:r w:rsidR="00B72DDF" w:rsidRPr="0070292F">
        <w:rPr>
          <w:lang w:val="fr-FR"/>
        </w:rPr>
        <w:noBreakHyphen/>
        <w:t>XI,</w:t>
      </w:r>
      <w:r w:rsidR="009E66EB" w:rsidRPr="0070292F">
        <w:rPr>
          <w:lang w:val="fr-FR"/>
        </w:rPr>
        <w:t xml:space="preserve"> et</w:t>
      </w:r>
      <w:r w:rsidR="00B72DDF" w:rsidRPr="0070292F">
        <w:rPr>
          <w:lang w:val="fr-FR"/>
        </w:rPr>
        <w:t xml:space="preserve"> </w:t>
      </w:r>
      <w:r w:rsidR="00B72DDF" w:rsidRPr="0070292F">
        <w:rPr>
          <w:i/>
          <w:iCs/>
          <w:lang w:val="fr-FR"/>
        </w:rPr>
        <w:t>T.P. et K.M. c.</w:t>
      </w:r>
      <w:r w:rsidR="009E66EB" w:rsidRPr="0070292F">
        <w:rPr>
          <w:i/>
          <w:iCs/>
          <w:lang w:val="fr-FR"/>
        </w:rPr>
        <w:t> </w:t>
      </w:r>
      <w:r w:rsidR="00B72DDF" w:rsidRPr="0070292F">
        <w:rPr>
          <w:i/>
          <w:iCs/>
          <w:lang w:val="fr-FR"/>
        </w:rPr>
        <w:t xml:space="preserve">Royaume-Uni </w:t>
      </w:r>
      <w:r w:rsidR="00B72DDF" w:rsidRPr="0070292F">
        <w:rPr>
          <w:lang w:val="fr-FR"/>
        </w:rPr>
        <w:t>[GC], n</w:t>
      </w:r>
      <w:r w:rsidR="008C1E94" w:rsidRPr="0070292F">
        <w:rPr>
          <w:vertAlign w:val="superscript"/>
          <w:lang w:val="fr-FR"/>
        </w:rPr>
        <w:t>o</w:t>
      </w:r>
      <w:r w:rsidR="00B72DDF" w:rsidRPr="0070292F">
        <w:rPr>
          <w:lang w:val="fr-FR"/>
        </w:rPr>
        <w:t xml:space="preserve"> 28945/95, § 107, CEDH 2001</w:t>
      </w:r>
      <w:r w:rsidR="00B72DDF" w:rsidRPr="0070292F">
        <w:rPr>
          <w:lang w:val="fr-FR"/>
        </w:rPr>
        <w:noBreakHyphen/>
        <w:t>V).</w:t>
      </w:r>
    </w:p>
    <w:p w:rsidR="0070292F" w:rsidRPr="0070292F" w:rsidRDefault="009E66EB" w:rsidP="0070292F">
      <w:pPr>
        <w:pStyle w:val="ECHRPara"/>
        <w:rPr>
          <w:lang w:val="fr-FR"/>
        </w:rPr>
      </w:pPr>
      <w:r w:rsidRPr="0070292F">
        <w:rPr>
          <w:rFonts w:asciiTheme="majorHAnsi" w:eastAsiaTheme="majorEastAsia" w:hAnsiTheme="majorHAnsi" w:cstheme="majorBidi"/>
          <w:sz w:val="20"/>
          <w:lang w:val="fr-FR"/>
        </w:rPr>
        <w:fldChar w:fldCharType="begin"/>
      </w:r>
      <w:r w:rsidRPr="0070292F">
        <w:rPr>
          <w:lang w:val="fr-FR"/>
        </w:rPr>
        <w:instrText xml:space="preserve"> SEQ level0 \*arabic </w:instrText>
      </w:r>
      <w:r w:rsidRPr="0070292F">
        <w:rPr>
          <w:rFonts w:asciiTheme="majorHAnsi" w:eastAsiaTheme="majorEastAsia" w:hAnsiTheme="majorHAnsi" w:cstheme="majorBidi"/>
          <w:sz w:val="20"/>
          <w:lang w:val="fr-FR"/>
        </w:rPr>
        <w:fldChar w:fldCharType="separate"/>
      </w:r>
      <w:r w:rsidR="0070292F" w:rsidRPr="0070292F">
        <w:rPr>
          <w:noProof/>
          <w:lang w:val="fr-FR"/>
        </w:rPr>
        <w:t>184</w:t>
      </w:r>
      <w:r w:rsidRPr="0070292F">
        <w:rPr>
          <w:rFonts w:asciiTheme="majorHAnsi" w:eastAsiaTheme="majorEastAsia" w:hAnsiTheme="majorHAnsi" w:cstheme="majorBidi"/>
          <w:sz w:val="20"/>
          <w:lang w:val="fr-FR"/>
        </w:rPr>
        <w:fldChar w:fldCharType="end"/>
      </w:r>
      <w:r w:rsidRPr="0070292F">
        <w:rPr>
          <w:lang w:val="fr-FR"/>
        </w:rPr>
        <w:t>.  </w:t>
      </w:r>
      <w:r w:rsidR="00B72DDF" w:rsidRPr="0070292F">
        <w:rPr>
          <w:lang w:val="fr-FR"/>
        </w:rPr>
        <w:t xml:space="preserve">La Cour observe que le requérant a pu </w:t>
      </w:r>
      <w:r w:rsidR="00F736A3" w:rsidRPr="0070292F">
        <w:rPr>
          <w:lang w:val="fr-FR"/>
        </w:rPr>
        <w:t xml:space="preserve">former </w:t>
      </w:r>
      <w:r w:rsidR="00B72DDF" w:rsidRPr="0070292F">
        <w:rPr>
          <w:lang w:val="fr-FR"/>
        </w:rPr>
        <w:t>un recours devant la cour d</w:t>
      </w:r>
      <w:r w:rsidR="0070292F" w:rsidRPr="0070292F">
        <w:rPr>
          <w:lang w:val="fr-FR"/>
        </w:rPr>
        <w:t>’</w:t>
      </w:r>
      <w:r w:rsidR="00B72DDF" w:rsidRPr="0070292F">
        <w:rPr>
          <w:lang w:val="fr-FR"/>
        </w:rPr>
        <w:t xml:space="preserve">appel de Bari en </w:t>
      </w:r>
      <w:r w:rsidR="00F736A3" w:rsidRPr="0070292F">
        <w:rPr>
          <w:lang w:val="fr-FR"/>
        </w:rPr>
        <w:t>plaidant</w:t>
      </w:r>
      <w:r w:rsidR="00B72DDF" w:rsidRPr="0070292F">
        <w:rPr>
          <w:lang w:val="fr-FR"/>
        </w:rPr>
        <w:t xml:space="preserve"> que la mesure de surve</w:t>
      </w:r>
      <w:r w:rsidR="007032D5" w:rsidRPr="0070292F">
        <w:rPr>
          <w:lang w:val="fr-FR"/>
        </w:rPr>
        <w:t>illance spéciale assortie de l</w:t>
      </w:r>
      <w:r w:rsidR="0070292F" w:rsidRPr="0070292F">
        <w:rPr>
          <w:lang w:val="fr-FR"/>
        </w:rPr>
        <w:t>’</w:t>
      </w:r>
      <w:r w:rsidR="00B72DDF" w:rsidRPr="0070292F">
        <w:rPr>
          <w:lang w:val="fr-FR"/>
        </w:rPr>
        <w:t xml:space="preserve">assignation à résidence avait été appliquée </w:t>
      </w:r>
      <w:r w:rsidR="00F736A3" w:rsidRPr="0070292F">
        <w:rPr>
          <w:lang w:val="fr-FR"/>
        </w:rPr>
        <w:t>irrégulièrement</w:t>
      </w:r>
      <w:r w:rsidR="00B72DDF" w:rsidRPr="0070292F">
        <w:rPr>
          <w:lang w:val="fr-FR"/>
        </w:rPr>
        <w:t>. Après avoir réévalué les conditions d</w:t>
      </w:r>
      <w:r w:rsidR="0070292F" w:rsidRPr="0070292F">
        <w:rPr>
          <w:lang w:val="fr-FR"/>
        </w:rPr>
        <w:t>’</w:t>
      </w:r>
      <w:r w:rsidR="00B72DDF" w:rsidRPr="0070292F">
        <w:rPr>
          <w:lang w:val="fr-FR"/>
        </w:rPr>
        <w:t xml:space="preserve">application </w:t>
      </w:r>
      <w:r w:rsidR="00F736A3" w:rsidRPr="0070292F">
        <w:rPr>
          <w:lang w:val="fr-FR"/>
        </w:rPr>
        <w:t xml:space="preserve">et la proportionnalité </w:t>
      </w:r>
      <w:r w:rsidR="00B72DDF" w:rsidRPr="0070292F">
        <w:rPr>
          <w:lang w:val="fr-FR"/>
        </w:rPr>
        <w:t xml:space="preserve">de la mesure de surveillance spéciale, la cour </w:t>
      </w:r>
      <w:r w:rsidR="008B46B9" w:rsidRPr="0070292F">
        <w:rPr>
          <w:lang w:val="fr-FR"/>
        </w:rPr>
        <w:t>d</w:t>
      </w:r>
      <w:r w:rsidR="0070292F" w:rsidRPr="0070292F">
        <w:rPr>
          <w:lang w:val="fr-FR"/>
        </w:rPr>
        <w:t>’</w:t>
      </w:r>
      <w:r w:rsidR="008B46B9" w:rsidRPr="0070292F">
        <w:rPr>
          <w:lang w:val="fr-FR"/>
        </w:rPr>
        <w:t>appel</w:t>
      </w:r>
      <w:r w:rsidR="00B72DDF" w:rsidRPr="0070292F">
        <w:rPr>
          <w:lang w:val="fr-FR"/>
        </w:rPr>
        <w:t xml:space="preserve"> a annulé la mesure litigieuse.</w:t>
      </w:r>
    </w:p>
    <w:p w:rsidR="00433657" w:rsidRPr="0070292F" w:rsidRDefault="00795985" w:rsidP="0070292F">
      <w:pPr>
        <w:pStyle w:val="ECHRPara"/>
        <w:rPr>
          <w:rFonts w:eastAsiaTheme="minorHAnsi"/>
          <w:b/>
          <w:szCs w:val="24"/>
          <w:lang w:val="fr-FR"/>
        </w:rPr>
      </w:pPr>
      <w:r w:rsidRPr="0070292F">
        <w:rPr>
          <w:rFonts w:eastAsiaTheme="minorHAnsi" w:cstheme="minorHAnsi"/>
          <w:szCs w:val="24"/>
          <w:lang w:val="fr-FR"/>
        </w:rPr>
        <w:fldChar w:fldCharType="begin"/>
      </w:r>
      <w:r w:rsidRPr="0070292F">
        <w:rPr>
          <w:rFonts w:eastAsiaTheme="minorHAnsi" w:cstheme="minorHAnsi"/>
          <w:szCs w:val="24"/>
          <w:lang w:val="fr-FR"/>
        </w:rPr>
        <w:instrText xml:space="preserve"> SEQ level0 \*arabic </w:instrText>
      </w:r>
      <w:r w:rsidRPr="0070292F">
        <w:rPr>
          <w:rFonts w:eastAsiaTheme="minorHAnsi" w:cstheme="minorHAnsi"/>
          <w:szCs w:val="24"/>
          <w:lang w:val="fr-FR"/>
        </w:rPr>
        <w:fldChar w:fldCharType="separate"/>
      </w:r>
      <w:r w:rsidR="0070292F" w:rsidRPr="0070292F">
        <w:rPr>
          <w:rFonts w:eastAsiaTheme="minorHAnsi" w:cstheme="minorHAnsi"/>
          <w:noProof/>
          <w:szCs w:val="24"/>
          <w:lang w:val="fr-FR"/>
        </w:rPr>
        <w:t>185</w:t>
      </w:r>
      <w:r w:rsidRPr="0070292F">
        <w:rPr>
          <w:rFonts w:eastAsiaTheme="minorHAnsi" w:cstheme="minorHAnsi"/>
          <w:szCs w:val="24"/>
          <w:lang w:val="fr-FR"/>
        </w:rPr>
        <w:fldChar w:fldCharType="end"/>
      </w:r>
      <w:r w:rsidRPr="0070292F">
        <w:rPr>
          <w:rFonts w:eastAsiaTheme="minorHAnsi" w:cstheme="minorHAnsi"/>
          <w:szCs w:val="24"/>
          <w:lang w:val="fr-FR"/>
        </w:rPr>
        <w:t>.  </w:t>
      </w:r>
      <w:r w:rsidR="00F736A3" w:rsidRPr="0070292F">
        <w:rPr>
          <w:rFonts w:eastAsiaTheme="minorHAnsi" w:cstheme="minorHAnsi"/>
          <w:szCs w:val="24"/>
          <w:lang w:val="fr-FR"/>
        </w:rPr>
        <w:t>À</w:t>
      </w:r>
      <w:r w:rsidR="00B72DDF" w:rsidRPr="0070292F">
        <w:rPr>
          <w:rFonts w:eastAsiaTheme="minorHAnsi"/>
          <w:szCs w:val="24"/>
          <w:lang w:val="fr-FR"/>
        </w:rPr>
        <w:t xml:space="preserve"> la lumière de ce qui précède, la Cour estime que le requérant a donc disposé en droit italien d</w:t>
      </w:r>
      <w:r w:rsidR="0070292F" w:rsidRPr="0070292F">
        <w:rPr>
          <w:rFonts w:eastAsiaTheme="minorHAnsi"/>
          <w:szCs w:val="24"/>
          <w:lang w:val="fr-FR"/>
        </w:rPr>
        <w:t>’</w:t>
      </w:r>
      <w:r w:rsidR="00B72DDF" w:rsidRPr="0070292F">
        <w:rPr>
          <w:rFonts w:eastAsiaTheme="minorHAnsi"/>
          <w:szCs w:val="24"/>
          <w:lang w:val="fr-FR"/>
        </w:rPr>
        <w:t xml:space="preserve">un recours effectif </w:t>
      </w:r>
      <w:r w:rsidR="004B4400" w:rsidRPr="0070292F">
        <w:rPr>
          <w:rFonts w:eastAsiaTheme="minorHAnsi"/>
          <w:szCs w:val="24"/>
          <w:lang w:val="fr-FR"/>
        </w:rPr>
        <w:t>qui lui a permis d</w:t>
      </w:r>
      <w:r w:rsidR="0070292F" w:rsidRPr="0070292F">
        <w:rPr>
          <w:rFonts w:eastAsiaTheme="minorHAnsi"/>
          <w:szCs w:val="24"/>
          <w:lang w:val="fr-FR"/>
        </w:rPr>
        <w:t>’</w:t>
      </w:r>
      <w:r w:rsidR="00B72DDF" w:rsidRPr="0070292F">
        <w:rPr>
          <w:rFonts w:eastAsiaTheme="minorHAnsi"/>
          <w:szCs w:val="24"/>
          <w:lang w:val="fr-FR"/>
        </w:rPr>
        <w:t>exposer les violations de la Convention qu</w:t>
      </w:r>
      <w:r w:rsidR="0070292F" w:rsidRPr="0070292F">
        <w:rPr>
          <w:rFonts w:eastAsiaTheme="minorHAnsi"/>
          <w:szCs w:val="24"/>
          <w:lang w:val="fr-FR"/>
        </w:rPr>
        <w:t>’</w:t>
      </w:r>
      <w:r w:rsidR="00B72DDF" w:rsidRPr="0070292F">
        <w:rPr>
          <w:rFonts w:eastAsiaTheme="minorHAnsi"/>
          <w:szCs w:val="24"/>
          <w:lang w:val="fr-FR"/>
        </w:rPr>
        <w:t xml:space="preserve">il alléguait. Partant, il </w:t>
      </w:r>
      <w:r w:rsidR="008B46B9" w:rsidRPr="0070292F">
        <w:rPr>
          <w:rFonts w:eastAsiaTheme="minorHAnsi"/>
          <w:szCs w:val="24"/>
          <w:lang w:val="fr-FR"/>
        </w:rPr>
        <w:t>n</w:t>
      </w:r>
      <w:r w:rsidR="0070292F" w:rsidRPr="0070292F">
        <w:rPr>
          <w:rFonts w:eastAsiaTheme="minorHAnsi"/>
          <w:szCs w:val="24"/>
          <w:lang w:val="fr-FR"/>
        </w:rPr>
        <w:t>’</w:t>
      </w:r>
      <w:r w:rsidR="008B46B9" w:rsidRPr="0070292F">
        <w:rPr>
          <w:rFonts w:eastAsiaTheme="minorHAnsi"/>
          <w:szCs w:val="24"/>
          <w:lang w:val="fr-FR"/>
        </w:rPr>
        <w:t>y</w:t>
      </w:r>
      <w:r w:rsidR="00B72DDF" w:rsidRPr="0070292F">
        <w:rPr>
          <w:rFonts w:eastAsiaTheme="minorHAnsi"/>
          <w:szCs w:val="24"/>
          <w:lang w:val="fr-FR"/>
        </w:rPr>
        <w:t xml:space="preserve"> a pas eu violation de </w:t>
      </w:r>
      <w:r w:rsidR="008B46B9" w:rsidRPr="0070292F">
        <w:rPr>
          <w:rFonts w:eastAsiaTheme="minorHAnsi"/>
          <w:szCs w:val="24"/>
          <w:lang w:val="fr-FR"/>
        </w:rPr>
        <w:t>l</w:t>
      </w:r>
      <w:r w:rsidR="0070292F" w:rsidRPr="0070292F">
        <w:rPr>
          <w:rFonts w:eastAsiaTheme="minorHAnsi"/>
          <w:szCs w:val="24"/>
          <w:lang w:val="fr-FR"/>
        </w:rPr>
        <w:t>’</w:t>
      </w:r>
      <w:r w:rsidR="008B46B9" w:rsidRPr="0070292F">
        <w:rPr>
          <w:rFonts w:eastAsiaTheme="minorHAnsi"/>
          <w:szCs w:val="24"/>
          <w:lang w:val="fr-FR"/>
        </w:rPr>
        <w:t>article</w:t>
      </w:r>
      <w:r w:rsidR="00B72DDF" w:rsidRPr="0070292F">
        <w:rPr>
          <w:rFonts w:eastAsiaTheme="minorHAnsi"/>
          <w:szCs w:val="24"/>
          <w:lang w:val="fr-FR"/>
        </w:rPr>
        <w:t xml:space="preserve"> 13 combiné avec </w:t>
      </w:r>
      <w:r w:rsidR="008B46B9" w:rsidRPr="0070292F">
        <w:rPr>
          <w:rFonts w:eastAsiaTheme="minorHAnsi"/>
          <w:szCs w:val="24"/>
          <w:lang w:val="fr-FR"/>
        </w:rPr>
        <w:t>l</w:t>
      </w:r>
      <w:r w:rsidR="0070292F" w:rsidRPr="0070292F">
        <w:rPr>
          <w:rFonts w:eastAsiaTheme="minorHAnsi"/>
          <w:szCs w:val="24"/>
          <w:lang w:val="fr-FR"/>
        </w:rPr>
        <w:t>’</w:t>
      </w:r>
      <w:r w:rsidR="008B46B9" w:rsidRPr="0070292F">
        <w:rPr>
          <w:rFonts w:eastAsiaTheme="minorHAnsi"/>
          <w:szCs w:val="24"/>
          <w:lang w:val="fr-FR"/>
        </w:rPr>
        <w:t>article</w:t>
      </w:r>
      <w:r w:rsidR="00B72DDF" w:rsidRPr="0070292F">
        <w:rPr>
          <w:rFonts w:eastAsiaTheme="minorHAnsi"/>
          <w:szCs w:val="24"/>
          <w:lang w:val="fr-FR"/>
        </w:rPr>
        <w:t xml:space="preserve"> 2 du Protocole n</w:t>
      </w:r>
      <w:r w:rsidR="008C1E94" w:rsidRPr="0070292F">
        <w:rPr>
          <w:rFonts w:eastAsiaTheme="minorHAnsi"/>
          <w:szCs w:val="24"/>
          <w:vertAlign w:val="superscript"/>
          <w:lang w:val="fr-FR"/>
        </w:rPr>
        <w:t>o</w:t>
      </w:r>
      <w:r w:rsidR="00B72DDF" w:rsidRPr="0070292F">
        <w:rPr>
          <w:rFonts w:eastAsiaTheme="minorHAnsi"/>
          <w:szCs w:val="24"/>
          <w:lang w:val="fr-FR"/>
        </w:rPr>
        <w:t> 4.</w:t>
      </w:r>
    </w:p>
    <w:p w:rsidR="004A6C11" w:rsidRPr="0070292F" w:rsidRDefault="00CB3A13" w:rsidP="0070292F">
      <w:pPr>
        <w:pStyle w:val="ECHRHeading1"/>
        <w:rPr>
          <w:lang w:val="fr-FR"/>
        </w:rPr>
      </w:pPr>
      <w:bookmarkStart w:id="56" w:name="_Toc475451865"/>
      <w:r w:rsidRPr="0070292F">
        <w:rPr>
          <w:lang w:val="fr-FR"/>
        </w:rPr>
        <w:t xml:space="preserve">IV.  SUR </w:t>
      </w:r>
      <w:r w:rsidR="003C179F" w:rsidRPr="0070292F">
        <w:rPr>
          <w:lang w:val="fr-FR"/>
        </w:rPr>
        <w:t>L</w:t>
      </w:r>
      <w:r w:rsidR="0070292F" w:rsidRPr="0070292F">
        <w:rPr>
          <w:lang w:val="fr-FR"/>
        </w:rPr>
        <w:t>’</w:t>
      </w:r>
      <w:r w:rsidR="003C179F" w:rsidRPr="0070292F">
        <w:rPr>
          <w:lang w:val="fr-FR"/>
        </w:rPr>
        <w:t>APPLICATION</w:t>
      </w:r>
      <w:r w:rsidRPr="0070292F">
        <w:rPr>
          <w:lang w:val="fr-FR"/>
        </w:rPr>
        <w:t xml:space="preserve"> DE </w:t>
      </w:r>
      <w:r w:rsidR="003C179F" w:rsidRPr="0070292F">
        <w:rPr>
          <w:lang w:val="fr-FR"/>
        </w:rPr>
        <w:t>L</w:t>
      </w:r>
      <w:r w:rsidR="0070292F" w:rsidRPr="0070292F">
        <w:rPr>
          <w:lang w:val="fr-FR"/>
        </w:rPr>
        <w:t>’</w:t>
      </w:r>
      <w:r w:rsidR="003C179F" w:rsidRPr="0070292F">
        <w:rPr>
          <w:lang w:val="fr-FR"/>
        </w:rPr>
        <w:t>ARTICLE</w:t>
      </w:r>
      <w:r w:rsidRPr="0070292F">
        <w:rPr>
          <w:lang w:val="fr-FR"/>
        </w:rPr>
        <w:t xml:space="preserve"> 41 DE LA CONVENTION</w:t>
      </w:r>
      <w:bookmarkEnd w:id="56"/>
    </w:p>
    <w:p w:rsidR="00E77CB3" w:rsidRPr="0070292F" w:rsidRDefault="00B72CD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186</w:t>
      </w:r>
      <w:r w:rsidRPr="0070292F">
        <w:rPr>
          <w:lang w:val="fr-FR"/>
        </w:rPr>
        <w:fldChar w:fldCharType="end"/>
      </w:r>
      <w:r w:rsidRPr="0070292F">
        <w:rPr>
          <w:lang w:val="fr-FR"/>
        </w:rPr>
        <w:t>.  </w:t>
      </w:r>
      <w:r w:rsidR="00E77CB3" w:rsidRPr="0070292F">
        <w:rPr>
          <w:lang w:val="fr-FR"/>
        </w:rPr>
        <w:t>Aux termes de l</w:t>
      </w:r>
      <w:r w:rsidR="0070292F" w:rsidRPr="0070292F">
        <w:rPr>
          <w:lang w:val="fr-FR"/>
        </w:rPr>
        <w:t>’</w:t>
      </w:r>
      <w:r w:rsidR="00E77CB3" w:rsidRPr="0070292F">
        <w:rPr>
          <w:lang w:val="fr-FR"/>
        </w:rPr>
        <w:t>article 41 de la Convention,</w:t>
      </w:r>
    </w:p>
    <w:p w:rsidR="00E77CB3" w:rsidRPr="0070292F" w:rsidRDefault="00E77CB3" w:rsidP="0070292F">
      <w:pPr>
        <w:pStyle w:val="ECHRParaQuote"/>
        <w:keepNext/>
        <w:keepLines/>
        <w:rPr>
          <w:lang w:val="fr-FR"/>
        </w:rPr>
      </w:pPr>
      <w:r w:rsidRPr="0070292F">
        <w:rPr>
          <w:lang w:val="fr-FR"/>
        </w:rPr>
        <w:t>« Si la Cour déclare qu</w:t>
      </w:r>
      <w:r w:rsidR="0070292F" w:rsidRPr="0070292F">
        <w:rPr>
          <w:lang w:val="fr-FR"/>
        </w:rPr>
        <w:t>’</w:t>
      </w:r>
      <w:r w:rsidRPr="0070292F">
        <w:rPr>
          <w:lang w:val="fr-FR"/>
        </w:rPr>
        <w:t>il y a eu violation de la Convention ou de ses Protocoles, et si le droit interne de la Haute Partie contractante ne permet d</w:t>
      </w:r>
      <w:r w:rsidR="0070292F" w:rsidRPr="0070292F">
        <w:rPr>
          <w:lang w:val="fr-FR"/>
        </w:rPr>
        <w:t>’</w:t>
      </w:r>
      <w:r w:rsidRPr="0070292F">
        <w:rPr>
          <w:lang w:val="fr-FR"/>
        </w:rPr>
        <w:t>effacer qu</w:t>
      </w:r>
      <w:r w:rsidR="0070292F" w:rsidRPr="0070292F">
        <w:rPr>
          <w:lang w:val="fr-FR"/>
        </w:rPr>
        <w:t>’</w:t>
      </w:r>
      <w:r w:rsidRPr="0070292F">
        <w:rPr>
          <w:lang w:val="fr-FR"/>
        </w:rPr>
        <w:t>imparfaitement les conséquences de cette violation, la Cour accorde à la partie lésée, s</w:t>
      </w:r>
      <w:r w:rsidR="0070292F" w:rsidRPr="0070292F">
        <w:rPr>
          <w:lang w:val="fr-FR"/>
        </w:rPr>
        <w:t>’</w:t>
      </w:r>
      <w:r w:rsidRPr="0070292F">
        <w:rPr>
          <w:lang w:val="fr-FR"/>
        </w:rPr>
        <w:t>il y a lieu, une satisfaction équitable. »</w:t>
      </w:r>
    </w:p>
    <w:p w:rsidR="00E77CB3" w:rsidRPr="0070292F" w:rsidRDefault="00E77CB3" w:rsidP="0070292F">
      <w:pPr>
        <w:pStyle w:val="ECHRHeading2"/>
        <w:rPr>
          <w:lang w:val="fr-FR"/>
        </w:rPr>
      </w:pPr>
      <w:bookmarkStart w:id="57" w:name="_Toc475451866"/>
      <w:r w:rsidRPr="0070292F">
        <w:rPr>
          <w:lang w:val="fr-FR"/>
        </w:rPr>
        <w:t>A.  Dommage</w:t>
      </w:r>
      <w:bookmarkEnd w:id="57"/>
    </w:p>
    <w:p w:rsidR="001D3CE4" w:rsidRPr="0070292F" w:rsidRDefault="00B72CD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187</w:t>
      </w:r>
      <w:r w:rsidRPr="0070292F">
        <w:rPr>
          <w:lang w:val="fr-FR"/>
        </w:rPr>
        <w:fldChar w:fldCharType="end"/>
      </w:r>
      <w:r w:rsidRPr="0070292F">
        <w:rPr>
          <w:lang w:val="fr-FR"/>
        </w:rPr>
        <w:t>.  </w:t>
      </w:r>
      <w:r w:rsidR="001D3CE4" w:rsidRPr="0070292F">
        <w:rPr>
          <w:lang w:val="fr-FR"/>
        </w:rPr>
        <w:t xml:space="preserve">Le requérant demande à la Cour de lui allouer </w:t>
      </w:r>
      <w:r w:rsidR="00F736A3" w:rsidRPr="0070292F">
        <w:rPr>
          <w:lang w:val="fr-FR"/>
        </w:rPr>
        <w:t>au titre du</w:t>
      </w:r>
      <w:r w:rsidR="001D3CE4" w:rsidRPr="0070292F">
        <w:rPr>
          <w:lang w:val="fr-FR"/>
        </w:rPr>
        <w:t xml:space="preserve"> dommage matériel </w:t>
      </w:r>
      <w:r w:rsidR="00F736A3" w:rsidRPr="0070292F">
        <w:rPr>
          <w:lang w:val="fr-FR"/>
        </w:rPr>
        <w:t xml:space="preserve">une somme </w:t>
      </w:r>
      <w:r w:rsidR="001D3CE4" w:rsidRPr="0070292F">
        <w:rPr>
          <w:lang w:val="fr-FR"/>
        </w:rPr>
        <w:t>qui devra être quantifiée par la Cour.</w:t>
      </w:r>
    </w:p>
    <w:p w:rsidR="001D3CE4" w:rsidRPr="0070292F" w:rsidRDefault="00B72CD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188</w:t>
      </w:r>
      <w:r w:rsidRPr="0070292F">
        <w:rPr>
          <w:lang w:val="fr-FR"/>
        </w:rPr>
        <w:fldChar w:fldCharType="end"/>
      </w:r>
      <w:r w:rsidRPr="0070292F">
        <w:rPr>
          <w:lang w:val="fr-FR"/>
        </w:rPr>
        <w:t>.  </w:t>
      </w:r>
      <w:r w:rsidR="00F736A3" w:rsidRPr="0070292F">
        <w:rPr>
          <w:lang w:val="fr-FR"/>
        </w:rPr>
        <w:t>Concernant le</w:t>
      </w:r>
      <w:r w:rsidR="001D3CE4" w:rsidRPr="0070292F">
        <w:rPr>
          <w:lang w:val="fr-FR"/>
        </w:rPr>
        <w:t xml:space="preserve"> dommage moral, il réclame la somme de 20 000</w:t>
      </w:r>
      <w:r w:rsidR="005119D6" w:rsidRPr="0070292F">
        <w:rPr>
          <w:lang w:val="fr-FR"/>
        </w:rPr>
        <w:t> </w:t>
      </w:r>
      <w:r w:rsidR="00F736A3" w:rsidRPr="0070292F">
        <w:rPr>
          <w:lang w:val="fr-FR"/>
        </w:rPr>
        <w:t>euros (</w:t>
      </w:r>
      <w:r w:rsidR="001D3CE4" w:rsidRPr="0070292F">
        <w:rPr>
          <w:lang w:val="fr-FR"/>
        </w:rPr>
        <w:t>EUR</w:t>
      </w:r>
      <w:r w:rsidR="00F736A3" w:rsidRPr="0070292F">
        <w:rPr>
          <w:lang w:val="fr-FR"/>
        </w:rPr>
        <w:t>)</w:t>
      </w:r>
      <w:r w:rsidR="001D3CE4" w:rsidRPr="0070292F">
        <w:rPr>
          <w:lang w:val="fr-FR"/>
        </w:rPr>
        <w:t xml:space="preserve"> pour </w:t>
      </w:r>
      <w:r w:rsidR="00ED68FA" w:rsidRPr="0070292F">
        <w:rPr>
          <w:lang w:val="fr-FR"/>
        </w:rPr>
        <w:t>la période</w:t>
      </w:r>
      <w:r w:rsidR="001D3CE4" w:rsidRPr="0070292F">
        <w:rPr>
          <w:lang w:val="fr-FR"/>
        </w:rPr>
        <w:t xml:space="preserve"> qu</w:t>
      </w:r>
      <w:r w:rsidR="0070292F" w:rsidRPr="0070292F">
        <w:rPr>
          <w:lang w:val="fr-FR"/>
        </w:rPr>
        <w:t>’</w:t>
      </w:r>
      <w:r w:rsidR="001D3CE4" w:rsidRPr="0070292F">
        <w:rPr>
          <w:lang w:val="fr-FR"/>
        </w:rPr>
        <w:t>il a passé</w:t>
      </w:r>
      <w:r w:rsidR="00F736A3" w:rsidRPr="0070292F">
        <w:rPr>
          <w:lang w:val="fr-FR"/>
        </w:rPr>
        <w:t>e</w:t>
      </w:r>
      <w:r w:rsidR="001D3CE4" w:rsidRPr="0070292F">
        <w:rPr>
          <w:lang w:val="fr-FR"/>
        </w:rPr>
        <w:t xml:space="preserve"> en </w:t>
      </w:r>
      <w:r w:rsidR="00F736A3" w:rsidRPr="0070292F">
        <w:rPr>
          <w:lang w:val="fr-FR"/>
        </w:rPr>
        <w:t xml:space="preserve">étant soumis au </w:t>
      </w:r>
      <w:r w:rsidR="001D3CE4" w:rsidRPr="0070292F">
        <w:rPr>
          <w:lang w:val="fr-FR"/>
        </w:rPr>
        <w:t>régime de surveillance spéciale.</w:t>
      </w:r>
    </w:p>
    <w:p w:rsidR="001D3CE4" w:rsidRPr="0070292F" w:rsidRDefault="00B72CD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189</w:t>
      </w:r>
      <w:r w:rsidRPr="0070292F">
        <w:rPr>
          <w:lang w:val="fr-FR"/>
        </w:rPr>
        <w:fldChar w:fldCharType="end"/>
      </w:r>
      <w:r w:rsidRPr="0070292F">
        <w:rPr>
          <w:lang w:val="fr-FR"/>
        </w:rPr>
        <w:t>.  </w:t>
      </w:r>
      <w:r w:rsidR="001D3CE4" w:rsidRPr="0070292F">
        <w:rPr>
          <w:lang w:val="fr-FR"/>
        </w:rPr>
        <w:t>Le Gouvernement n</w:t>
      </w:r>
      <w:r w:rsidR="0070292F" w:rsidRPr="0070292F">
        <w:rPr>
          <w:lang w:val="fr-FR"/>
        </w:rPr>
        <w:t>’</w:t>
      </w:r>
      <w:r w:rsidR="001D3CE4" w:rsidRPr="0070292F">
        <w:rPr>
          <w:lang w:val="fr-FR"/>
        </w:rPr>
        <w:t>a pas présenté d</w:t>
      </w:r>
      <w:r w:rsidR="0070292F" w:rsidRPr="0070292F">
        <w:rPr>
          <w:lang w:val="fr-FR"/>
        </w:rPr>
        <w:t>’</w:t>
      </w:r>
      <w:r w:rsidR="001D3CE4" w:rsidRPr="0070292F">
        <w:rPr>
          <w:lang w:val="fr-FR"/>
        </w:rPr>
        <w:t>observation</w:t>
      </w:r>
      <w:r w:rsidR="00F736A3" w:rsidRPr="0070292F">
        <w:rPr>
          <w:lang w:val="fr-FR"/>
        </w:rPr>
        <w:t>s</w:t>
      </w:r>
      <w:r w:rsidR="001D3CE4" w:rsidRPr="0070292F">
        <w:rPr>
          <w:lang w:val="fr-FR"/>
        </w:rPr>
        <w:t xml:space="preserve"> sur l</w:t>
      </w:r>
      <w:r w:rsidR="0070292F" w:rsidRPr="0070292F">
        <w:rPr>
          <w:lang w:val="fr-FR"/>
        </w:rPr>
        <w:t>’</w:t>
      </w:r>
      <w:r w:rsidR="001D3CE4" w:rsidRPr="0070292F">
        <w:rPr>
          <w:lang w:val="fr-FR"/>
        </w:rPr>
        <w:t>article 41.</w:t>
      </w:r>
    </w:p>
    <w:p w:rsidR="00E77CB3" w:rsidRPr="0070292F" w:rsidRDefault="00B72CD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190</w:t>
      </w:r>
      <w:r w:rsidRPr="0070292F">
        <w:rPr>
          <w:lang w:val="fr-FR"/>
        </w:rPr>
        <w:fldChar w:fldCharType="end"/>
      </w:r>
      <w:r w:rsidRPr="0070292F">
        <w:rPr>
          <w:lang w:val="fr-FR"/>
        </w:rPr>
        <w:t>.  </w:t>
      </w:r>
      <w:r w:rsidR="00795985" w:rsidRPr="0070292F">
        <w:rPr>
          <w:lang w:val="fr-FR"/>
        </w:rPr>
        <w:t>La Cour relève que la demande au titre du dommage matériel n</w:t>
      </w:r>
      <w:r w:rsidR="0070292F" w:rsidRPr="0070292F">
        <w:rPr>
          <w:lang w:val="fr-FR"/>
        </w:rPr>
        <w:t>’</w:t>
      </w:r>
      <w:r w:rsidR="00795985" w:rsidRPr="0070292F">
        <w:rPr>
          <w:lang w:val="fr-FR"/>
        </w:rPr>
        <w:t>a pas été</w:t>
      </w:r>
      <w:r w:rsidR="00213449" w:rsidRPr="0070292F">
        <w:rPr>
          <w:lang w:val="fr-FR"/>
        </w:rPr>
        <w:t xml:space="preserve"> chiffrée </w:t>
      </w:r>
      <w:r w:rsidR="00795985" w:rsidRPr="0070292F">
        <w:rPr>
          <w:lang w:val="fr-FR"/>
        </w:rPr>
        <w:t xml:space="preserve">; dès lors, elle </w:t>
      </w:r>
      <w:r w:rsidR="00213449" w:rsidRPr="0070292F">
        <w:rPr>
          <w:lang w:val="fr-FR"/>
        </w:rPr>
        <w:t xml:space="preserve">la </w:t>
      </w:r>
      <w:r w:rsidR="00E77CB3" w:rsidRPr="0070292F">
        <w:rPr>
          <w:lang w:val="fr-FR"/>
        </w:rPr>
        <w:t>rejette. En revanche, elle considère qu</w:t>
      </w:r>
      <w:r w:rsidR="0070292F" w:rsidRPr="0070292F">
        <w:rPr>
          <w:lang w:val="fr-FR"/>
        </w:rPr>
        <w:t>’</w:t>
      </w:r>
      <w:r w:rsidR="00E77CB3" w:rsidRPr="0070292F">
        <w:rPr>
          <w:lang w:val="fr-FR"/>
        </w:rPr>
        <w:t>il y a lieu d</w:t>
      </w:r>
      <w:r w:rsidR="0070292F" w:rsidRPr="0070292F">
        <w:rPr>
          <w:lang w:val="fr-FR"/>
        </w:rPr>
        <w:t>’</w:t>
      </w:r>
      <w:r w:rsidR="00E77CB3" w:rsidRPr="0070292F">
        <w:rPr>
          <w:lang w:val="fr-FR"/>
        </w:rPr>
        <w:t xml:space="preserve">octroyer </w:t>
      </w:r>
      <w:r w:rsidR="004405A5" w:rsidRPr="0070292F">
        <w:rPr>
          <w:lang w:val="fr-FR"/>
        </w:rPr>
        <w:t>au requérant</w:t>
      </w:r>
      <w:r w:rsidR="00E77CB3" w:rsidRPr="0070292F">
        <w:rPr>
          <w:lang w:val="fr-FR"/>
        </w:rPr>
        <w:t xml:space="preserve"> </w:t>
      </w:r>
      <w:r w:rsidR="001D3CE4" w:rsidRPr="0070292F">
        <w:rPr>
          <w:lang w:val="fr-FR"/>
        </w:rPr>
        <w:t>5 000</w:t>
      </w:r>
      <w:r w:rsidR="00E77CB3" w:rsidRPr="0070292F">
        <w:rPr>
          <w:lang w:val="fr-FR"/>
        </w:rPr>
        <w:t xml:space="preserve"> EUR au titre du préjudice moral.</w:t>
      </w:r>
    </w:p>
    <w:p w:rsidR="00E77CB3" w:rsidRPr="0070292F" w:rsidRDefault="00E77CB3" w:rsidP="0070292F">
      <w:pPr>
        <w:pStyle w:val="ECHRHeading2"/>
        <w:rPr>
          <w:lang w:val="fr-FR"/>
        </w:rPr>
      </w:pPr>
      <w:bookmarkStart w:id="58" w:name="_Toc475451867"/>
      <w:r w:rsidRPr="0070292F">
        <w:rPr>
          <w:lang w:val="fr-FR"/>
        </w:rPr>
        <w:t>B.  Frais et dépens</w:t>
      </w:r>
      <w:bookmarkEnd w:id="58"/>
    </w:p>
    <w:p w:rsidR="00477FF9" w:rsidRPr="0070292F" w:rsidRDefault="00B72CD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191</w:t>
      </w:r>
      <w:r w:rsidRPr="0070292F">
        <w:rPr>
          <w:lang w:val="fr-FR"/>
        </w:rPr>
        <w:fldChar w:fldCharType="end"/>
      </w:r>
      <w:r w:rsidRPr="0070292F">
        <w:rPr>
          <w:lang w:val="fr-FR"/>
        </w:rPr>
        <w:t>.  </w:t>
      </w:r>
      <w:r w:rsidR="004405A5" w:rsidRPr="0070292F">
        <w:rPr>
          <w:lang w:val="fr-FR"/>
        </w:rPr>
        <w:t>Le requérant</w:t>
      </w:r>
      <w:r w:rsidR="00E77CB3" w:rsidRPr="0070292F">
        <w:rPr>
          <w:lang w:val="fr-FR"/>
        </w:rPr>
        <w:t xml:space="preserve"> demande également </w:t>
      </w:r>
      <w:r w:rsidR="00795985" w:rsidRPr="0070292F">
        <w:rPr>
          <w:lang w:val="fr-FR"/>
        </w:rPr>
        <w:t>6 000</w:t>
      </w:r>
      <w:r w:rsidR="00E77CB3" w:rsidRPr="0070292F">
        <w:rPr>
          <w:lang w:val="fr-FR"/>
        </w:rPr>
        <w:t xml:space="preserve"> EUR pour les frais et dépens engagés devant les juridictions internes et </w:t>
      </w:r>
      <w:r w:rsidR="00477FF9" w:rsidRPr="0070292F">
        <w:rPr>
          <w:lang w:val="fr-FR"/>
        </w:rPr>
        <w:t xml:space="preserve">5 525 EUR pour </w:t>
      </w:r>
      <w:r w:rsidR="004B4400" w:rsidRPr="0070292F">
        <w:rPr>
          <w:lang w:val="fr-FR"/>
        </w:rPr>
        <w:t>ceux exposés</w:t>
      </w:r>
      <w:r w:rsidR="00477FF9" w:rsidRPr="0070292F">
        <w:rPr>
          <w:lang w:val="fr-FR"/>
        </w:rPr>
        <w:t xml:space="preserve"> devant la Cour</w:t>
      </w:r>
      <w:r w:rsidR="004553B3" w:rsidRPr="0070292F">
        <w:rPr>
          <w:lang w:val="fr-FR"/>
        </w:rPr>
        <w:t>.</w:t>
      </w:r>
    </w:p>
    <w:p w:rsidR="00E77CB3" w:rsidRPr="0070292F" w:rsidRDefault="00B72CD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192</w:t>
      </w:r>
      <w:r w:rsidRPr="0070292F">
        <w:rPr>
          <w:lang w:val="fr-FR"/>
        </w:rPr>
        <w:fldChar w:fldCharType="end"/>
      </w:r>
      <w:r w:rsidRPr="0070292F">
        <w:rPr>
          <w:lang w:val="fr-FR"/>
        </w:rPr>
        <w:t>.  </w:t>
      </w:r>
      <w:r w:rsidR="00E77CB3" w:rsidRPr="0070292F">
        <w:rPr>
          <w:lang w:val="fr-FR"/>
        </w:rPr>
        <w:t>Le Gouvernement</w:t>
      </w:r>
      <w:r w:rsidR="0070292F" w:rsidRPr="0070292F">
        <w:rPr>
          <w:lang w:val="fr-FR"/>
        </w:rPr>
        <w:t xml:space="preserve"> </w:t>
      </w:r>
      <w:r w:rsidR="00477FF9" w:rsidRPr="0070292F">
        <w:rPr>
          <w:lang w:val="fr-FR"/>
        </w:rPr>
        <w:t>ne s</w:t>
      </w:r>
      <w:r w:rsidR="0070292F" w:rsidRPr="0070292F">
        <w:rPr>
          <w:lang w:val="fr-FR"/>
        </w:rPr>
        <w:t>’</w:t>
      </w:r>
      <w:r w:rsidR="00477FF9" w:rsidRPr="0070292F">
        <w:rPr>
          <w:lang w:val="fr-FR"/>
        </w:rPr>
        <w:t xml:space="preserve">est pas </w:t>
      </w:r>
      <w:r w:rsidR="008A1BA5" w:rsidRPr="0070292F">
        <w:rPr>
          <w:lang w:val="fr-FR"/>
        </w:rPr>
        <w:t>prononcé</w:t>
      </w:r>
      <w:r w:rsidR="00477FF9" w:rsidRPr="0070292F">
        <w:rPr>
          <w:lang w:val="fr-FR"/>
        </w:rPr>
        <w:t xml:space="preserve"> </w:t>
      </w:r>
      <w:r w:rsidR="008A1BA5" w:rsidRPr="0070292F">
        <w:rPr>
          <w:lang w:val="fr-FR"/>
        </w:rPr>
        <w:t>sur</w:t>
      </w:r>
      <w:r w:rsidR="00477FF9" w:rsidRPr="0070292F">
        <w:rPr>
          <w:lang w:val="fr-FR"/>
        </w:rPr>
        <w:t xml:space="preserve"> ce point.</w:t>
      </w:r>
    </w:p>
    <w:p w:rsidR="00E77CB3" w:rsidRPr="0070292F" w:rsidRDefault="00B72CD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193</w:t>
      </w:r>
      <w:r w:rsidRPr="0070292F">
        <w:rPr>
          <w:lang w:val="fr-FR"/>
        </w:rPr>
        <w:fldChar w:fldCharType="end"/>
      </w:r>
      <w:r w:rsidRPr="0070292F">
        <w:rPr>
          <w:lang w:val="fr-FR"/>
        </w:rPr>
        <w:t>.  </w:t>
      </w:r>
      <w:r w:rsidR="004405A5" w:rsidRPr="0070292F">
        <w:rPr>
          <w:lang w:val="fr-FR"/>
        </w:rPr>
        <w:t>Selon la jurisprudence de la Cour, un requérant ne peut obtenir le remboursement de ses frais et dépens que dans la mesure où se trouvent établis leur réalité, leur nécessité et le caractère raisonnable de leur taux. En l</w:t>
      </w:r>
      <w:r w:rsidR="0070292F" w:rsidRPr="0070292F">
        <w:rPr>
          <w:lang w:val="fr-FR"/>
        </w:rPr>
        <w:t>’</w:t>
      </w:r>
      <w:r w:rsidR="004405A5" w:rsidRPr="0070292F">
        <w:rPr>
          <w:lang w:val="fr-FR"/>
        </w:rPr>
        <w:t>espèce, compte</w:t>
      </w:r>
      <w:r w:rsidR="00E77CB3" w:rsidRPr="0070292F">
        <w:rPr>
          <w:lang w:val="fr-FR"/>
        </w:rPr>
        <w:t xml:space="preserve"> tenu des documents </w:t>
      </w:r>
      <w:r w:rsidR="00D576CF" w:rsidRPr="0070292F">
        <w:rPr>
          <w:lang w:val="fr-FR"/>
        </w:rPr>
        <w:t>dont elle dispose</w:t>
      </w:r>
      <w:r w:rsidR="00E77CB3" w:rsidRPr="0070292F">
        <w:rPr>
          <w:lang w:val="fr-FR"/>
        </w:rPr>
        <w:t xml:space="preserve"> et de sa </w:t>
      </w:r>
      <w:r w:rsidR="00E77CB3" w:rsidRPr="0070292F">
        <w:rPr>
          <w:lang w:val="fr-FR"/>
        </w:rPr>
        <w:lastRenderedPageBreak/>
        <w:t xml:space="preserve">jurisprudence, la Cour estime raisonnable </w:t>
      </w:r>
      <w:r w:rsidR="00795985" w:rsidRPr="0070292F">
        <w:rPr>
          <w:lang w:val="fr-FR"/>
        </w:rPr>
        <w:t>d</w:t>
      </w:r>
      <w:r w:rsidR="0070292F" w:rsidRPr="0070292F">
        <w:rPr>
          <w:lang w:val="fr-FR"/>
        </w:rPr>
        <w:t>’</w:t>
      </w:r>
      <w:r w:rsidR="00795985" w:rsidRPr="0070292F">
        <w:rPr>
          <w:lang w:val="fr-FR"/>
        </w:rPr>
        <w:t>allouer l</w:t>
      </w:r>
      <w:r w:rsidR="0070292F" w:rsidRPr="0070292F">
        <w:rPr>
          <w:lang w:val="fr-FR"/>
        </w:rPr>
        <w:t>’</w:t>
      </w:r>
      <w:r w:rsidR="00795985" w:rsidRPr="0070292F">
        <w:rPr>
          <w:lang w:val="fr-FR"/>
        </w:rPr>
        <w:t>intégralité du montant réclamé</w:t>
      </w:r>
      <w:r w:rsidR="000A06C6" w:rsidRPr="0070292F">
        <w:rPr>
          <w:lang w:val="fr-FR"/>
        </w:rPr>
        <w:t xml:space="preserve"> par le requérant</w:t>
      </w:r>
      <w:r w:rsidR="00795985" w:rsidRPr="0070292F">
        <w:rPr>
          <w:lang w:val="fr-FR"/>
        </w:rPr>
        <w:t xml:space="preserve">, </w:t>
      </w:r>
      <w:r w:rsidR="00E77CB3" w:rsidRPr="0070292F">
        <w:rPr>
          <w:lang w:val="fr-FR"/>
        </w:rPr>
        <w:t>tous frais confondus.</w:t>
      </w:r>
    </w:p>
    <w:p w:rsidR="00E77CB3" w:rsidRPr="0070292F" w:rsidRDefault="00E77CB3" w:rsidP="0070292F">
      <w:pPr>
        <w:pStyle w:val="ECHRHeading2"/>
        <w:rPr>
          <w:lang w:val="fr-FR"/>
        </w:rPr>
      </w:pPr>
      <w:bookmarkStart w:id="59" w:name="_Toc475451868"/>
      <w:r w:rsidRPr="0070292F">
        <w:rPr>
          <w:lang w:val="fr-FR"/>
        </w:rPr>
        <w:t>C.  Intérêts moratoires</w:t>
      </w:r>
      <w:bookmarkEnd w:id="59"/>
    </w:p>
    <w:p w:rsidR="00E77CB3" w:rsidRPr="0070292F" w:rsidRDefault="00B72CD5" w:rsidP="0070292F">
      <w:pPr>
        <w:pStyle w:val="ECHRPara"/>
        <w:rPr>
          <w:lang w:val="fr-FR"/>
        </w:rPr>
      </w:pPr>
      <w:r w:rsidRPr="0070292F">
        <w:rPr>
          <w:lang w:val="fr-FR"/>
        </w:rPr>
        <w:fldChar w:fldCharType="begin"/>
      </w:r>
      <w:r w:rsidRPr="0070292F">
        <w:rPr>
          <w:lang w:val="fr-FR"/>
        </w:rPr>
        <w:instrText xml:space="preserve"> SEQ level0 \*arabic </w:instrText>
      </w:r>
      <w:r w:rsidRPr="0070292F">
        <w:rPr>
          <w:lang w:val="fr-FR"/>
        </w:rPr>
        <w:fldChar w:fldCharType="separate"/>
      </w:r>
      <w:r w:rsidR="0070292F" w:rsidRPr="0070292F">
        <w:rPr>
          <w:noProof/>
          <w:lang w:val="fr-FR"/>
        </w:rPr>
        <w:t>194</w:t>
      </w:r>
      <w:r w:rsidRPr="0070292F">
        <w:rPr>
          <w:lang w:val="fr-FR"/>
        </w:rPr>
        <w:fldChar w:fldCharType="end"/>
      </w:r>
      <w:r w:rsidRPr="0070292F">
        <w:rPr>
          <w:lang w:val="fr-FR"/>
        </w:rPr>
        <w:t>.  </w:t>
      </w:r>
      <w:r w:rsidR="00E77CB3" w:rsidRPr="0070292F">
        <w:rPr>
          <w:lang w:val="fr-FR"/>
        </w:rPr>
        <w:t>La Cour juge approprié de calquer le taux des intérêts moratoires sur le taux d</w:t>
      </w:r>
      <w:r w:rsidR="0070292F" w:rsidRPr="0070292F">
        <w:rPr>
          <w:lang w:val="fr-FR"/>
        </w:rPr>
        <w:t>’</w:t>
      </w:r>
      <w:r w:rsidR="00E77CB3" w:rsidRPr="0070292F">
        <w:rPr>
          <w:lang w:val="fr-FR"/>
        </w:rPr>
        <w:t>intérêt de la facilité de prêt marginal de la Banque centrale européenne majoré de trois points de pourcentage.</w:t>
      </w:r>
    </w:p>
    <w:p w:rsidR="00E77CB3" w:rsidRPr="0070292F" w:rsidRDefault="00E77CB3" w:rsidP="0070292F">
      <w:pPr>
        <w:pStyle w:val="ECHRTitle1"/>
        <w:rPr>
          <w:lang w:val="fr-FR"/>
        </w:rPr>
      </w:pPr>
      <w:bookmarkStart w:id="60" w:name="_Toc475451869"/>
      <w:r w:rsidRPr="0070292F">
        <w:rPr>
          <w:lang w:val="fr-FR"/>
        </w:rPr>
        <w:t>PAR CES MOTIFS, LA COUR</w:t>
      </w:r>
      <w:bookmarkEnd w:id="60"/>
    </w:p>
    <w:p w:rsidR="000808B9" w:rsidRPr="0070292F" w:rsidRDefault="000808B9" w:rsidP="0070292F">
      <w:pPr>
        <w:pStyle w:val="JuList"/>
        <w:rPr>
          <w:lang w:val="fr-FR"/>
        </w:rPr>
      </w:pPr>
      <w:r w:rsidRPr="0070292F">
        <w:rPr>
          <w:lang w:val="fr-FR"/>
        </w:rPr>
        <w:t>1.  </w:t>
      </w:r>
      <w:r w:rsidRPr="0070292F">
        <w:rPr>
          <w:i/>
          <w:lang w:val="fr-FR"/>
        </w:rPr>
        <w:t>Rejette</w:t>
      </w:r>
      <w:r w:rsidRPr="0070292F">
        <w:rPr>
          <w:lang w:val="fr-FR"/>
        </w:rPr>
        <w:t>, à l</w:t>
      </w:r>
      <w:r w:rsidR="0070292F" w:rsidRPr="0070292F">
        <w:rPr>
          <w:lang w:val="fr-FR"/>
        </w:rPr>
        <w:t>’</w:t>
      </w:r>
      <w:r w:rsidRPr="0070292F">
        <w:rPr>
          <w:lang w:val="fr-FR"/>
        </w:rPr>
        <w:t>unanimité, la demande de radiation partielle de la requête formulée par le Gouvernement sur le fondement de sa déclaration unilatérale concernant le grief tiré du défaut de publicité des audiences devant le tribunal et la cour d</w:t>
      </w:r>
      <w:r w:rsidR="0070292F" w:rsidRPr="0070292F">
        <w:rPr>
          <w:lang w:val="fr-FR"/>
        </w:rPr>
        <w:t>’</w:t>
      </w:r>
      <w:r w:rsidRPr="0070292F">
        <w:rPr>
          <w:lang w:val="fr-FR"/>
        </w:rPr>
        <w:t>appel de Bari ;</w:t>
      </w:r>
    </w:p>
    <w:p w:rsidR="000808B9" w:rsidRPr="0070292F" w:rsidRDefault="000808B9" w:rsidP="0070292F">
      <w:pPr>
        <w:pStyle w:val="JuList"/>
        <w:ind w:left="0" w:firstLine="0"/>
        <w:rPr>
          <w:b/>
          <w:lang w:val="fr-FR"/>
        </w:rPr>
      </w:pPr>
    </w:p>
    <w:p w:rsidR="004405A5" w:rsidRPr="0070292F" w:rsidRDefault="00350395" w:rsidP="0070292F">
      <w:pPr>
        <w:pStyle w:val="JuList"/>
        <w:rPr>
          <w:lang w:val="fr-FR"/>
        </w:rPr>
      </w:pPr>
      <w:r w:rsidRPr="0070292F">
        <w:rPr>
          <w:lang w:val="fr-FR"/>
        </w:rPr>
        <w:t>2</w:t>
      </w:r>
      <w:r w:rsidR="00D747CA" w:rsidRPr="0070292F">
        <w:rPr>
          <w:lang w:val="fr-FR"/>
        </w:rPr>
        <w:t>.</w:t>
      </w:r>
      <w:r w:rsidR="004405A5" w:rsidRPr="0070292F">
        <w:rPr>
          <w:lang w:val="fr-FR"/>
        </w:rPr>
        <w:t>  </w:t>
      </w:r>
      <w:r w:rsidR="00B110C5" w:rsidRPr="0070292F">
        <w:rPr>
          <w:i/>
          <w:lang w:val="fr-FR"/>
        </w:rPr>
        <w:t>Déclare</w:t>
      </w:r>
      <w:r w:rsidR="000808B9" w:rsidRPr="0070292F">
        <w:rPr>
          <w:i/>
          <w:lang w:val="fr-FR"/>
        </w:rPr>
        <w:t>,</w:t>
      </w:r>
      <w:r w:rsidR="004D1E82" w:rsidRPr="0070292F">
        <w:rPr>
          <w:i/>
          <w:lang w:val="fr-FR"/>
        </w:rPr>
        <w:t xml:space="preserve"> </w:t>
      </w:r>
      <w:r w:rsidR="00B110C5" w:rsidRPr="0070292F">
        <w:rPr>
          <w:lang w:val="fr-FR"/>
        </w:rPr>
        <w:t xml:space="preserve">à la majorité, </w:t>
      </w:r>
      <w:r w:rsidR="000808B9" w:rsidRPr="0070292F">
        <w:rPr>
          <w:lang w:val="fr-FR"/>
        </w:rPr>
        <w:t xml:space="preserve">irrecevable </w:t>
      </w:r>
      <w:r w:rsidR="00E64D9D" w:rsidRPr="0070292F">
        <w:rPr>
          <w:lang w:val="fr-FR"/>
        </w:rPr>
        <w:t>le grief tir</w:t>
      </w:r>
      <w:r w:rsidR="00E64D9D" w:rsidRPr="0070292F">
        <w:rPr>
          <w:rFonts w:cstheme="minorHAnsi"/>
          <w:lang w:val="fr-FR"/>
        </w:rPr>
        <w:t>é</w:t>
      </w:r>
      <w:r w:rsidR="00E64D9D" w:rsidRPr="0070292F">
        <w:rPr>
          <w:lang w:val="fr-FR"/>
        </w:rPr>
        <w:t xml:space="preserve"> </w:t>
      </w:r>
      <w:r w:rsidR="00ED68FA" w:rsidRPr="0070292F">
        <w:rPr>
          <w:lang w:val="fr-FR"/>
        </w:rPr>
        <w:t xml:space="preserve">de </w:t>
      </w:r>
      <w:r w:rsidR="00B110C5" w:rsidRPr="0070292F">
        <w:rPr>
          <w:lang w:val="fr-FR"/>
        </w:rPr>
        <w:t>l</w:t>
      </w:r>
      <w:r w:rsidR="0070292F" w:rsidRPr="0070292F">
        <w:rPr>
          <w:lang w:val="fr-FR"/>
        </w:rPr>
        <w:t>’</w:t>
      </w:r>
      <w:r w:rsidR="00B110C5" w:rsidRPr="0070292F">
        <w:rPr>
          <w:lang w:val="fr-FR"/>
        </w:rPr>
        <w:t>article 5 de la Convention ;</w:t>
      </w:r>
    </w:p>
    <w:p w:rsidR="00C36119" w:rsidRPr="0070292F" w:rsidRDefault="00C36119" w:rsidP="0070292F">
      <w:pPr>
        <w:pStyle w:val="JuList"/>
        <w:rPr>
          <w:lang w:val="fr-FR"/>
        </w:rPr>
      </w:pPr>
    </w:p>
    <w:p w:rsidR="00C36119" w:rsidRPr="0070292F" w:rsidRDefault="00C36119" w:rsidP="0070292F">
      <w:pPr>
        <w:pStyle w:val="JuList"/>
        <w:rPr>
          <w:lang w:val="fr-FR"/>
        </w:rPr>
      </w:pPr>
      <w:r w:rsidRPr="0070292F">
        <w:rPr>
          <w:lang w:val="fr-FR"/>
        </w:rPr>
        <w:t>3.  </w:t>
      </w:r>
      <w:r w:rsidRPr="0070292F">
        <w:rPr>
          <w:i/>
          <w:lang w:val="fr-FR"/>
        </w:rPr>
        <w:t>Déclare</w:t>
      </w:r>
      <w:r w:rsidRPr="0070292F">
        <w:rPr>
          <w:lang w:val="fr-FR"/>
        </w:rPr>
        <w:t>, à l</w:t>
      </w:r>
      <w:r w:rsidR="0070292F" w:rsidRPr="0070292F">
        <w:rPr>
          <w:lang w:val="fr-FR"/>
        </w:rPr>
        <w:t>’</w:t>
      </w:r>
      <w:r w:rsidRPr="0070292F">
        <w:rPr>
          <w:lang w:val="fr-FR"/>
        </w:rPr>
        <w:t xml:space="preserve">unanimité, </w:t>
      </w:r>
      <w:r w:rsidR="000808B9" w:rsidRPr="0070292F">
        <w:rPr>
          <w:lang w:val="fr-FR"/>
        </w:rPr>
        <w:t xml:space="preserve">recevable </w:t>
      </w:r>
      <w:r w:rsidRPr="0070292F">
        <w:rPr>
          <w:lang w:val="fr-FR"/>
        </w:rPr>
        <w:t>le grief tiré de l</w:t>
      </w:r>
      <w:r w:rsidR="0070292F" w:rsidRPr="0070292F">
        <w:rPr>
          <w:lang w:val="fr-FR"/>
        </w:rPr>
        <w:t>’</w:t>
      </w:r>
      <w:r w:rsidRPr="0070292F">
        <w:rPr>
          <w:lang w:val="fr-FR"/>
        </w:rPr>
        <w:t xml:space="preserve">article 2 du </w:t>
      </w:r>
      <w:r w:rsidR="00051DF4" w:rsidRPr="0070292F">
        <w:rPr>
          <w:lang w:val="fr-FR"/>
        </w:rPr>
        <w:t>P</w:t>
      </w:r>
      <w:r w:rsidRPr="0070292F">
        <w:rPr>
          <w:lang w:val="fr-FR"/>
        </w:rPr>
        <w:t>rotocole n</w:t>
      </w:r>
      <w:r w:rsidR="008C1E94" w:rsidRPr="0070292F">
        <w:rPr>
          <w:vertAlign w:val="superscript"/>
          <w:lang w:val="fr-FR"/>
        </w:rPr>
        <w:t>o</w:t>
      </w:r>
      <w:r w:rsidR="00D747CA" w:rsidRPr="0070292F">
        <w:rPr>
          <w:lang w:val="fr-FR"/>
        </w:rPr>
        <w:t xml:space="preserve"> </w:t>
      </w:r>
      <w:r w:rsidRPr="0070292F">
        <w:rPr>
          <w:lang w:val="fr-FR"/>
        </w:rPr>
        <w:t>4</w:t>
      </w:r>
      <w:r w:rsidR="00D747CA" w:rsidRPr="0070292F">
        <w:rPr>
          <w:lang w:val="fr-FR"/>
        </w:rPr>
        <w:t> </w:t>
      </w:r>
      <w:r w:rsidRPr="0070292F">
        <w:rPr>
          <w:lang w:val="fr-FR"/>
        </w:rPr>
        <w:t>;</w:t>
      </w:r>
    </w:p>
    <w:p w:rsidR="00B72CD5" w:rsidRPr="0070292F" w:rsidRDefault="00B72CD5" w:rsidP="0070292F">
      <w:pPr>
        <w:pStyle w:val="JuList"/>
        <w:rPr>
          <w:rFonts w:asciiTheme="majorHAnsi" w:eastAsiaTheme="majorEastAsia" w:hAnsiTheme="majorHAnsi" w:cstheme="majorBidi"/>
          <w:b/>
          <w:bCs/>
          <w:iCs/>
          <w:sz w:val="20"/>
          <w:lang w:val="fr-FR"/>
        </w:rPr>
      </w:pPr>
    </w:p>
    <w:p w:rsidR="0070292F" w:rsidRPr="0070292F" w:rsidRDefault="00520F2A" w:rsidP="0070292F">
      <w:pPr>
        <w:pStyle w:val="JuList"/>
        <w:rPr>
          <w:lang w:val="fr-FR"/>
        </w:rPr>
      </w:pPr>
      <w:r w:rsidRPr="0070292F">
        <w:rPr>
          <w:i/>
          <w:lang w:val="fr-FR"/>
        </w:rPr>
        <w:t>4.  </w:t>
      </w:r>
      <w:r w:rsidR="00DC69B6" w:rsidRPr="0070292F">
        <w:rPr>
          <w:i/>
          <w:lang w:val="fr-FR"/>
        </w:rPr>
        <w:t>Dit</w:t>
      </w:r>
      <w:r w:rsidR="00DC69B6" w:rsidRPr="0070292F">
        <w:rPr>
          <w:lang w:val="fr-FR"/>
        </w:rPr>
        <w:t>, à l</w:t>
      </w:r>
      <w:r w:rsidR="0070292F" w:rsidRPr="0070292F">
        <w:rPr>
          <w:lang w:val="fr-FR"/>
        </w:rPr>
        <w:t>’</w:t>
      </w:r>
      <w:r w:rsidR="00DC69B6" w:rsidRPr="0070292F">
        <w:rPr>
          <w:lang w:val="fr-FR"/>
        </w:rPr>
        <w:t>unanimité, qu</w:t>
      </w:r>
      <w:r w:rsidR="0070292F" w:rsidRPr="0070292F">
        <w:rPr>
          <w:lang w:val="fr-FR"/>
        </w:rPr>
        <w:t>’</w:t>
      </w:r>
      <w:r w:rsidR="00DC69B6" w:rsidRPr="0070292F">
        <w:rPr>
          <w:lang w:val="fr-FR"/>
        </w:rPr>
        <w:t>il y a eu violation de l</w:t>
      </w:r>
      <w:r w:rsidR="0070292F" w:rsidRPr="0070292F">
        <w:rPr>
          <w:lang w:val="fr-FR"/>
        </w:rPr>
        <w:t>’</w:t>
      </w:r>
      <w:r w:rsidR="00DC69B6" w:rsidRPr="0070292F">
        <w:rPr>
          <w:lang w:val="fr-FR"/>
        </w:rPr>
        <w:t>article 2 du Protocole n</w:t>
      </w:r>
      <w:r w:rsidR="008C1E94" w:rsidRPr="0070292F">
        <w:rPr>
          <w:vertAlign w:val="superscript"/>
          <w:lang w:val="fr-FR"/>
        </w:rPr>
        <w:t>o</w:t>
      </w:r>
      <w:r w:rsidR="00DC69B6" w:rsidRPr="0070292F">
        <w:rPr>
          <w:lang w:val="fr-FR"/>
        </w:rPr>
        <w:t xml:space="preserve"> 4</w:t>
      </w:r>
      <w:r w:rsidR="0034397D" w:rsidRPr="0070292F">
        <w:rPr>
          <w:lang w:val="fr-FR"/>
        </w:rPr>
        <w:t> ;</w:t>
      </w:r>
    </w:p>
    <w:p w:rsidR="008A1BA5" w:rsidRPr="0070292F" w:rsidRDefault="008A1BA5" w:rsidP="0070292F">
      <w:pPr>
        <w:pStyle w:val="JuList"/>
        <w:rPr>
          <w:lang w:val="fr-FR"/>
        </w:rPr>
      </w:pPr>
    </w:p>
    <w:p w:rsidR="002070CA" w:rsidRPr="0070292F" w:rsidRDefault="00520F2A" w:rsidP="0070292F">
      <w:pPr>
        <w:pStyle w:val="JuList"/>
        <w:rPr>
          <w:lang w:val="fr-FR"/>
        </w:rPr>
      </w:pPr>
      <w:r w:rsidRPr="0070292F">
        <w:rPr>
          <w:lang w:val="fr-FR"/>
        </w:rPr>
        <w:t>5</w:t>
      </w:r>
      <w:r w:rsidR="00D747CA" w:rsidRPr="0070292F">
        <w:rPr>
          <w:lang w:val="fr-FR"/>
        </w:rPr>
        <w:t>.  </w:t>
      </w:r>
      <w:r w:rsidR="002070CA" w:rsidRPr="0070292F">
        <w:rPr>
          <w:i/>
          <w:lang w:val="fr-FR"/>
        </w:rPr>
        <w:t>Déclare</w:t>
      </w:r>
      <w:r w:rsidR="000808B9" w:rsidRPr="0070292F">
        <w:rPr>
          <w:i/>
          <w:lang w:val="fr-FR"/>
        </w:rPr>
        <w:t>,</w:t>
      </w:r>
      <w:r w:rsidR="004D1E82" w:rsidRPr="0070292F">
        <w:rPr>
          <w:i/>
          <w:lang w:val="fr-FR"/>
        </w:rPr>
        <w:t xml:space="preserve"> </w:t>
      </w:r>
      <w:r w:rsidR="002070CA" w:rsidRPr="0070292F">
        <w:rPr>
          <w:lang w:val="fr-FR"/>
        </w:rPr>
        <w:t>à l</w:t>
      </w:r>
      <w:r w:rsidR="0070292F" w:rsidRPr="0070292F">
        <w:rPr>
          <w:lang w:val="fr-FR"/>
        </w:rPr>
        <w:t>’</w:t>
      </w:r>
      <w:r w:rsidR="002070CA" w:rsidRPr="0070292F">
        <w:rPr>
          <w:lang w:val="fr-FR"/>
        </w:rPr>
        <w:t xml:space="preserve">unanimité, </w:t>
      </w:r>
      <w:r w:rsidR="000808B9" w:rsidRPr="0070292F">
        <w:rPr>
          <w:lang w:val="fr-FR"/>
        </w:rPr>
        <w:t>recevable l</w:t>
      </w:r>
      <w:r w:rsidR="002070CA" w:rsidRPr="0070292F">
        <w:rPr>
          <w:lang w:val="fr-FR"/>
        </w:rPr>
        <w:t>e grief tiré de l</w:t>
      </w:r>
      <w:r w:rsidR="0070292F" w:rsidRPr="0070292F">
        <w:rPr>
          <w:lang w:val="fr-FR"/>
        </w:rPr>
        <w:t>’</w:t>
      </w:r>
      <w:r w:rsidR="002070CA" w:rsidRPr="0070292F">
        <w:rPr>
          <w:lang w:val="fr-FR"/>
        </w:rPr>
        <w:t>article 6 §</w:t>
      </w:r>
      <w:r w:rsidR="004553B3" w:rsidRPr="0070292F">
        <w:rPr>
          <w:lang w:val="fr-FR"/>
        </w:rPr>
        <w:t xml:space="preserve"> </w:t>
      </w:r>
      <w:r w:rsidR="002070CA" w:rsidRPr="0070292F">
        <w:rPr>
          <w:lang w:val="fr-FR"/>
        </w:rPr>
        <w:t>1 de la Convention</w:t>
      </w:r>
      <w:r w:rsidR="00402734" w:rsidRPr="0070292F">
        <w:rPr>
          <w:lang w:val="fr-FR"/>
        </w:rPr>
        <w:t xml:space="preserve"> </w:t>
      </w:r>
      <w:r w:rsidR="002070CA" w:rsidRPr="0070292F">
        <w:rPr>
          <w:lang w:val="fr-FR"/>
        </w:rPr>
        <w:t>;</w:t>
      </w:r>
    </w:p>
    <w:p w:rsidR="00C36119" w:rsidRPr="0070292F" w:rsidRDefault="00C36119" w:rsidP="0070292F">
      <w:pPr>
        <w:pStyle w:val="JuList"/>
        <w:rPr>
          <w:lang w:val="fr-FR"/>
        </w:rPr>
      </w:pPr>
    </w:p>
    <w:p w:rsidR="00C36119" w:rsidRPr="0070292F" w:rsidRDefault="00355F1E" w:rsidP="0070292F">
      <w:pPr>
        <w:pStyle w:val="JuList"/>
        <w:rPr>
          <w:lang w:val="fr-FR"/>
        </w:rPr>
      </w:pPr>
      <w:r w:rsidRPr="0070292F">
        <w:rPr>
          <w:lang w:val="fr-FR"/>
        </w:rPr>
        <w:t>6</w:t>
      </w:r>
      <w:r w:rsidR="00350395" w:rsidRPr="0070292F">
        <w:rPr>
          <w:lang w:val="fr-FR"/>
        </w:rPr>
        <w:t>.  </w:t>
      </w:r>
      <w:r w:rsidR="00350395" w:rsidRPr="0070292F">
        <w:rPr>
          <w:i/>
          <w:lang w:val="fr-FR"/>
        </w:rPr>
        <w:t>Dit</w:t>
      </w:r>
      <w:r w:rsidR="00350395" w:rsidRPr="0070292F">
        <w:rPr>
          <w:lang w:val="fr-FR"/>
        </w:rPr>
        <w:t>, à l</w:t>
      </w:r>
      <w:r w:rsidR="0070292F" w:rsidRPr="0070292F">
        <w:rPr>
          <w:lang w:val="fr-FR"/>
        </w:rPr>
        <w:t>’</w:t>
      </w:r>
      <w:r w:rsidR="00350395" w:rsidRPr="0070292F">
        <w:rPr>
          <w:lang w:val="fr-FR"/>
        </w:rPr>
        <w:t>unanimité, qu</w:t>
      </w:r>
      <w:r w:rsidR="0070292F" w:rsidRPr="0070292F">
        <w:rPr>
          <w:lang w:val="fr-FR"/>
        </w:rPr>
        <w:t>’</w:t>
      </w:r>
      <w:r w:rsidR="00350395" w:rsidRPr="0070292F">
        <w:rPr>
          <w:lang w:val="fr-FR"/>
        </w:rPr>
        <w:t>il y a</w:t>
      </w:r>
      <w:r w:rsidR="008A1BA5" w:rsidRPr="0070292F">
        <w:rPr>
          <w:lang w:val="fr-FR"/>
        </w:rPr>
        <w:t xml:space="preserve"> </w:t>
      </w:r>
      <w:r w:rsidR="00350395" w:rsidRPr="0070292F">
        <w:rPr>
          <w:lang w:val="fr-FR"/>
        </w:rPr>
        <w:t>eu violation de l</w:t>
      </w:r>
      <w:r w:rsidR="0070292F" w:rsidRPr="0070292F">
        <w:rPr>
          <w:lang w:val="fr-FR"/>
        </w:rPr>
        <w:t>’</w:t>
      </w:r>
      <w:r w:rsidR="00350395" w:rsidRPr="0070292F">
        <w:rPr>
          <w:lang w:val="fr-FR"/>
        </w:rPr>
        <w:t>article 6 § 1</w:t>
      </w:r>
      <w:r w:rsidR="009679A7" w:rsidRPr="0070292F">
        <w:rPr>
          <w:lang w:val="fr-FR"/>
        </w:rPr>
        <w:t xml:space="preserve"> </w:t>
      </w:r>
      <w:r w:rsidR="00C36119" w:rsidRPr="0070292F">
        <w:rPr>
          <w:lang w:val="fr-FR"/>
        </w:rPr>
        <w:t xml:space="preserve">en raison </w:t>
      </w:r>
      <w:r w:rsidR="004D1E82" w:rsidRPr="0070292F">
        <w:rPr>
          <w:lang w:val="fr-FR"/>
        </w:rPr>
        <w:t>du défaut de publicité des audiences</w:t>
      </w:r>
      <w:r w:rsidR="00C36119" w:rsidRPr="0070292F">
        <w:rPr>
          <w:lang w:val="fr-FR"/>
        </w:rPr>
        <w:t xml:space="preserve"> devant le tribunal et </w:t>
      </w:r>
      <w:r w:rsidR="00C2110C" w:rsidRPr="0070292F">
        <w:rPr>
          <w:lang w:val="fr-FR"/>
        </w:rPr>
        <w:t xml:space="preserve">la </w:t>
      </w:r>
      <w:r w:rsidR="00C36119" w:rsidRPr="0070292F">
        <w:rPr>
          <w:lang w:val="fr-FR"/>
        </w:rPr>
        <w:t>cour d</w:t>
      </w:r>
      <w:r w:rsidR="0070292F" w:rsidRPr="0070292F">
        <w:rPr>
          <w:lang w:val="fr-FR"/>
        </w:rPr>
        <w:t>’</w:t>
      </w:r>
      <w:r w:rsidR="00C36119" w:rsidRPr="0070292F">
        <w:rPr>
          <w:lang w:val="fr-FR"/>
        </w:rPr>
        <w:t xml:space="preserve">appel </w:t>
      </w:r>
      <w:r w:rsidR="002070CA" w:rsidRPr="0070292F">
        <w:rPr>
          <w:lang w:val="fr-FR"/>
        </w:rPr>
        <w:t>de Bari</w:t>
      </w:r>
      <w:r w:rsidR="00C36119" w:rsidRPr="0070292F">
        <w:rPr>
          <w:lang w:val="fr-FR"/>
        </w:rPr>
        <w:t> ;</w:t>
      </w:r>
    </w:p>
    <w:p w:rsidR="00AF635A" w:rsidRPr="0070292F" w:rsidRDefault="00AF635A" w:rsidP="0070292F">
      <w:pPr>
        <w:pStyle w:val="JuList"/>
        <w:rPr>
          <w:lang w:val="fr-FR"/>
        </w:rPr>
      </w:pPr>
    </w:p>
    <w:p w:rsidR="00B110C5" w:rsidRPr="0070292F" w:rsidRDefault="00355F1E" w:rsidP="0070292F">
      <w:pPr>
        <w:pStyle w:val="JuList"/>
        <w:rPr>
          <w:lang w:val="fr-FR"/>
        </w:rPr>
      </w:pPr>
      <w:r w:rsidRPr="0070292F">
        <w:rPr>
          <w:lang w:val="fr-FR"/>
        </w:rPr>
        <w:t>7</w:t>
      </w:r>
      <w:r w:rsidR="00B110C5" w:rsidRPr="0070292F">
        <w:rPr>
          <w:lang w:val="fr-FR"/>
        </w:rPr>
        <w:t>.  </w:t>
      </w:r>
      <w:r w:rsidR="00B110C5" w:rsidRPr="0070292F">
        <w:rPr>
          <w:i/>
          <w:lang w:val="fr-FR"/>
        </w:rPr>
        <w:t>Dit</w:t>
      </w:r>
      <w:r w:rsidR="00B110C5" w:rsidRPr="0070292F">
        <w:rPr>
          <w:lang w:val="fr-FR"/>
        </w:rPr>
        <w:t xml:space="preserve">, par </w:t>
      </w:r>
      <w:r w:rsidR="0034397D" w:rsidRPr="0070292F">
        <w:rPr>
          <w:lang w:val="fr-FR"/>
        </w:rPr>
        <w:t>quatorze</w:t>
      </w:r>
      <w:r w:rsidR="00B110C5" w:rsidRPr="0070292F">
        <w:rPr>
          <w:lang w:val="fr-FR"/>
        </w:rPr>
        <w:t xml:space="preserve"> voix contre </w:t>
      </w:r>
      <w:r w:rsidR="0034397D" w:rsidRPr="0070292F">
        <w:rPr>
          <w:lang w:val="fr-FR"/>
        </w:rPr>
        <w:t>trois</w:t>
      </w:r>
      <w:r w:rsidR="00B110C5" w:rsidRPr="0070292F">
        <w:rPr>
          <w:lang w:val="fr-FR"/>
        </w:rPr>
        <w:t>, qu</w:t>
      </w:r>
      <w:r w:rsidR="0070292F" w:rsidRPr="0070292F">
        <w:rPr>
          <w:lang w:val="fr-FR"/>
        </w:rPr>
        <w:t>’</w:t>
      </w:r>
      <w:r w:rsidR="00B110C5" w:rsidRPr="0070292F">
        <w:rPr>
          <w:lang w:val="fr-FR"/>
        </w:rPr>
        <w:t>il n</w:t>
      </w:r>
      <w:r w:rsidR="0070292F" w:rsidRPr="0070292F">
        <w:rPr>
          <w:lang w:val="fr-FR"/>
        </w:rPr>
        <w:t>’</w:t>
      </w:r>
      <w:r w:rsidR="00B110C5" w:rsidRPr="0070292F">
        <w:rPr>
          <w:lang w:val="fr-FR"/>
        </w:rPr>
        <w:t>y a pas eu violation de l</w:t>
      </w:r>
      <w:r w:rsidR="0070292F" w:rsidRPr="0070292F">
        <w:rPr>
          <w:lang w:val="fr-FR"/>
        </w:rPr>
        <w:t>’</w:t>
      </w:r>
      <w:r w:rsidR="00B110C5" w:rsidRPr="0070292F">
        <w:rPr>
          <w:lang w:val="fr-FR"/>
        </w:rPr>
        <w:t>article</w:t>
      </w:r>
      <w:r w:rsidR="000808B9" w:rsidRPr="0070292F">
        <w:rPr>
          <w:lang w:val="fr-FR"/>
        </w:rPr>
        <w:t> </w:t>
      </w:r>
      <w:r w:rsidR="00B110C5" w:rsidRPr="0070292F">
        <w:rPr>
          <w:lang w:val="fr-FR"/>
        </w:rPr>
        <w:t>6</w:t>
      </w:r>
      <w:r w:rsidR="000808B9" w:rsidRPr="0070292F">
        <w:rPr>
          <w:lang w:val="fr-FR"/>
        </w:rPr>
        <w:t> </w:t>
      </w:r>
      <w:r w:rsidR="00B110C5" w:rsidRPr="0070292F">
        <w:rPr>
          <w:lang w:val="fr-FR"/>
        </w:rPr>
        <w:t>§</w:t>
      </w:r>
      <w:r w:rsidR="000808B9" w:rsidRPr="0070292F">
        <w:rPr>
          <w:lang w:val="fr-FR"/>
        </w:rPr>
        <w:t> </w:t>
      </w:r>
      <w:r w:rsidR="00B110C5" w:rsidRPr="0070292F">
        <w:rPr>
          <w:lang w:val="fr-FR"/>
        </w:rPr>
        <w:t>1</w:t>
      </w:r>
      <w:r w:rsidR="009679A7" w:rsidRPr="0070292F">
        <w:rPr>
          <w:lang w:val="fr-FR"/>
        </w:rPr>
        <w:t xml:space="preserve"> </w:t>
      </w:r>
      <w:r w:rsidR="00B110C5" w:rsidRPr="0070292F">
        <w:rPr>
          <w:lang w:val="fr-FR"/>
        </w:rPr>
        <w:t>quant au droit à un procès équitable</w:t>
      </w:r>
      <w:r w:rsidR="00051DF4" w:rsidRPr="0070292F">
        <w:rPr>
          <w:lang w:val="fr-FR"/>
        </w:rPr>
        <w:t> </w:t>
      </w:r>
      <w:r w:rsidR="00B110C5" w:rsidRPr="0070292F">
        <w:rPr>
          <w:lang w:val="fr-FR"/>
        </w:rPr>
        <w:t>;</w:t>
      </w:r>
    </w:p>
    <w:p w:rsidR="00ED68FA" w:rsidRPr="0070292F" w:rsidRDefault="00ED68FA" w:rsidP="0070292F">
      <w:pPr>
        <w:pStyle w:val="JuList"/>
        <w:rPr>
          <w:lang w:val="fr-FR"/>
        </w:rPr>
      </w:pPr>
    </w:p>
    <w:p w:rsidR="00B631CA" w:rsidRPr="0070292F" w:rsidRDefault="0034397D" w:rsidP="0070292F">
      <w:pPr>
        <w:pStyle w:val="JuList"/>
        <w:rPr>
          <w:lang w:val="fr-FR"/>
        </w:rPr>
      </w:pPr>
      <w:r w:rsidRPr="0070292F">
        <w:rPr>
          <w:lang w:val="fr-FR"/>
        </w:rPr>
        <w:t>8</w:t>
      </w:r>
      <w:r w:rsidR="00AB25A0" w:rsidRPr="0070292F">
        <w:rPr>
          <w:lang w:val="fr-FR"/>
        </w:rPr>
        <w:t>.  </w:t>
      </w:r>
      <w:r w:rsidR="00AB25A0" w:rsidRPr="0070292F">
        <w:rPr>
          <w:i/>
          <w:lang w:val="fr-FR"/>
        </w:rPr>
        <w:t>Dit</w:t>
      </w:r>
      <w:r w:rsidR="00AB25A0" w:rsidRPr="0070292F">
        <w:rPr>
          <w:lang w:val="fr-FR"/>
        </w:rPr>
        <w:t xml:space="preserve">, par </w:t>
      </w:r>
      <w:r w:rsidRPr="0070292F">
        <w:rPr>
          <w:lang w:val="fr-FR"/>
        </w:rPr>
        <w:t>douze</w:t>
      </w:r>
      <w:r w:rsidR="00AB25A0" w:rsidRPr="0070292F">
        <w:rPr>
          <w:lang w:val="fr-FR"/>
        </w:rPr>
        <w:t xml:space="preserve"> voix contre </w:t>
      </w:r>
      <w:r w:rsidRPr="0070292F">
        <w:rPr>
          <w:lang w:val="fr-FR"/>
        </w:rPr>
        <w:t>cinq</w:t>
      </w:r>
      <w:r w:rsidR="00AB25A0" w:rsidRPr="0070292F">
        <w:rPr>
          <w:lang w:val="fr-FR"/>
        </w:rPr>
        <w:t>, qu</w:t>
      </w:r>
      <w:r w:rsidR="0070292F" w:rsidRPr="0070292F">
        <w:rPr>
          <w:lang w:val="fr-FR"/>
        </w:rPr>
        <w:t>’</w:t>
      </w:r>
      <w:r w:rsidR="00AB25A0" w:rsidRPr="0070292F">
        <w:rPr>
          <w:lang w:val="fr-FR"/>
        </w:rPr>
        <w:t xml:space="preserve">il </w:t>
      </w:r>
      <w:r w:rsidR="00355F1E" w:rsidRPr="0070292F">
        <w:rPr>
          <w:lang w:val="fr-FR"/>
        </w:rPr>
        <w:t>n</w:t>
      </w:r>
      <w:r w:rsidR="0070292F" w:rsidRPr="0070292F">
        <w:rPr>
          <w:lang w:val="fr-FR"/>
        </w:rPr>
        <w:t>’</w:t>
      </w:r>
      <w:r w:rsidR="00AB25A0" w:rsidRPr="0070292F">
        <w:rPr>
          <w:lang w:val="fr-FR"/>
        </w:rPr>
        <w:t xml:space="preserve">y </w:t>
      </w:r>
      <w:r w:rsidR="00355F1E" w:rsidRPr="0070292F">
        <w:rPr>
          <w:lang w:val="fr-FR"/>
        </w:rPr>
        <w:t xml:space="preserve">a </w:t>
      </w:r>
      <w:r w:rsidR="00DC69B6" w:rsidRPr="0070292F">
        <w:rPr>
          <w:lang w:val="fr-FR"/>
        </w:rPr>
        <w:t>p</w:t>
      </w:r>
      <w:r w:rsidR="00AB25A0" w:rsidRPr="0070292F">
        <w:rPr>
          <w:lang w:val="fr-FR"/>
        </w:rPr>
        <w:t>a</w:t>
      </w:r>
      <w:r w:rsidR="000A04DA" w:rsidRPr="0070292F">
        <w:rPr>
          <w:lang w:val="fr-FR"/>
        </w:rPr>
        <w:t>s</w:t>
      </w:r>
      <w:r w:rsidR="00AB25A0" w:rsidRPr="0070292F">
        <w:rPr>
          <w:lang w:val="fr-FR"/>
        </w:rPr>
        <w:t xml:space="preserve"> eu violation de l</w:t>
      </w:r>
      <w:r w:rsidR="0070292F" w:rsidRPr="0070292F">
        <w:rPr>
          <w:lang w:val="fr-FR"/>
        </w:rPr>
        <w:t>’</w:t>
      </w:r>
      <w:r w:rsidR="00AB25A0" w:rsidRPr="0070292F">
        <w:rPr>
          <w:lang w:val="fr-FR"/>
        </w:rPr>
        <w:t>articl</w:t>
      </w:r>
      <w:r w:rsidR="00B631CA" w:rsidRPr="0070292F">
        <w:rPr>
          <w:lang w:val="fr-FR"/>
        </w:rPr>
        <w:t>e</w:t>
      </w:r>
      <w:r w:rsidR="000808B9" w:rsidRPr="0070292F">
        <w:rPr>
          <w:lang w:val="fr-FR"/>
        </w:rPr>
        <w:t> </w:t>
      </w:r>
      <w:r w:rsidR="00B631CA" w:rsidRPr="0070292F">
        <w:rPr>
          <w:lang w:val="fr-FR"/>
        </w:rPr>
        <w:t xml:space="preserve">13 de la </w:t>
      </w:r>
      <w:r w:rsidR="00E60AF2" w:rsidRPr="0070292F">
        <w:rPr>
          <w:lang w:val="fr-FR"/>
        </w:rPr>
        <w:t>Convention ;</w:t>
      </w:r>
    </w:p>
    <w:p w:rsidR="00793A8E" w:rsidRPr="0070292F" w:rsidRDefault="00793A8E" w:rsidP="0070292F">
      <w:pPr>
        <w:pStyle w:val="JuList"/>
        <w:rPr>
          <w:lang w:val="fr-FR"/>
        </w:rPr>
      </w:pPr>
    </w:p>
    <w:p w:rsidR="00E77CB3" w:rsidRPr="0070292F" w:rsidRDefault="0034397D" w:rsidP="0070292F">
      <w:pPr>
        <w:pStyle w:val="JuList"/>
        <w:rPr>
          <w:lang w:val="fr-FR"/>
        </w:rPr>
      </w:pPr>
      <w:r w:rsidRPr="0070292F">
        <w:rPr>
          <w:lang w:val="fr-FR"/>
        </w:rPr>
        <w:t>9</w:t>
      </w:r>
      <w:r w:rsidR="00256763" w:rsidRPr="0070292F">
        <w:rPr>
          <w:lang w:val="fr-FR"/>
        </w:rPr>
        <w:t>.</w:t>
      </w:r>
      <w:r w:rsidR="00E77CB3" w:rsidRPr="0070292F">
        <w:rPr>
          <w:lang w:val="fr-FR"/>
        </w:rPr>
        <w:t>  </w:t>
      </w:r>
      <w:r w:rsidR="00E77CB3" w:rsidRPr="0070292F">
        <w:rPr>
          <w:i/>
          <w:lang w:val="fr-FR"/>
        </w:rPr>
        <w:t>Dit</w:t>
      </w:r>
      <w:r w:rsidR="004405A5" w:rsidRPr="0070292F">
        <w:rPr>
          <w:lang w:val="fr-FR"/>
        </w:rPr>
        <w:t>,</w:t>
      </w:r>
      <w:r w:rsidRPr="0070292F">
        <w:rPr>
          <w:lang w:val="fr-FR"/>
        </w:rPr>
        <w:t xml:space="preserve"> </w:t>
      </w:r>
      <w:r w:rsidR="00051DF4" w:rsidRPr="0070292F">
        <w:rPr>
          <w:lang w:val="fr-FR"/>
        </w:rPr>
        <w:t>à l</w:t>
      </w:r>
      <w:r w:rsidR="0070292F" w:rsidRPr="0070292F">
        <w:rPr>
          <w:lang w:val="fr-FR"/>
        </w:rPr>
        <w:t>’</w:t>
      </w:r>
      <w:r w:rsidR="00051DF4" w:rsidRPr="0070292F">
        <w:rPr>
          <w:lang w:val="fr-FR"/>
        </w:rPr>
        <w:t>unanimité</w:t>
      </w:r>
      <w:r w:rsidR="004405A5" w:rsidRPr="0070292F">
        <w:rPr>
          <w:lang w:val="fr-FR"/>
        </w:rPr>
        <w:t>,</w:t>
      </w:r>
    </w:p>
    <w:p w:rsidR="0070292F" w:rsidRPr="0070292F" w:rsidRDefault="00E77CB3" w:rsidP="0070292F">
      <w:pPr>
        <w:pStyle w:val="JuLista"/>
        <w:rPr>
          <w:lang w:val="fr-FR"/>
        </w:rPr>
      </w:pPr>
      <w:r w:rsidRPr="0070292F">
        <w:rPr>
          <w:lang w:val="fr-FR"/>
        </w:rPr>
        <w:t>a)  que l</w:t>
      </w:r>
      <w:r w:rsidR="0070292F" w:rsidRPr="0070292F">
        <w:rPr>
          <w:lang w:val="fr-FR"/>
        </w:rPr>
        <w:t>’</w:t>
      </w:r>
      <w:r w:rsidRPr="0070292F">
        <w:rPr>
          <w:lang w:val="fr-FR"/>
        </w:rPr>
        <w:t xml:space="preserve">État défendeur doit verser </w:t>
      </w:r>
      <w:r w:rsidR="004405A5" w:rsidRPr="0070292F">
        <w:rPr>
          <w:lang w:val="fr-FR"/>
        </w:rPr>
        <w:t>au requérant</w:t>
      </w:r>
      <w:r w:rsidRPr="0070292F">
        <w:rPr>
          <w:lang w:val="fr-FR"/>
        </w:rPr>
        <w:t xml:space="preserve">, dans les trois </w:t>
      </w:r>
      <w:r w:rsidR="00F83C53" w:rsidRPr="0070292F">
        <w:rPr>
          <w:lang w:val="fr-FR"/>
        </w:rPr>
        <w:t>mois,</w:t>
      </w:r>
      <w:r w:rsidRPr="0070292F">
        <w:rPr>
          <w:lang w:val="fr-FR"/>
        </w:rPr>
        <w:t xml:space="preserve"> les sommes suivantes</w:t>
      </w:r>
      <w:r w:rsidR="008A1BA5" w:rsidRPr="0070292F">
        <w:rPr>
          <w:lang w:val="fr-FR"/>
        </w:rPr>
        <w:t> :</w:t>
      </w:r>
    </w:p>
    <w:p w:rsidR="00E77CB3" w:rsidRPr="0070292F" w:rsidRDefault="00E77CB3" w:rsidP="0070292F">
      <w:pPr>
        <w:pStyle w:val="JuListi"/>
        <w:rPr>
          <w:lang w:val="fr-FR" w:eastAsia="en-GB"/>
        </w:rPr>
      </w:pPr>
      <w:r w:rsidRPr="0070292F">
        <w:rPr>
          <w:lang w:val="fr-FR" w:eastAsia="en-GB"/>
        </w:rPr>
        <w:t>i</w:t>
      </w:r>
      <w:r w:rsidR="00E33800" w:rsidRPr="0070292F">
        <w:rPr>
          <w:lang w:val="fr-FR" w:eastAsia="en-GB"/>
        </w:rPr>
        <w:t>.</w:t>
      </w:r>
      <w:r w:rsidRPr="0070292F">
        <w:rPr>
          <w:lang w:val="fr-FR" w:eastAsia="en-GB"/>
        </w:rPr>
        <w:t>  </w:t>
      </w:r>
      <w:r w:rsidR="008A1BA5" w:rsidRPr="0070292F">
        <w:rPr>
          <w:lang w:val="fr-FR" w:eastAsia="en-GB"/>
        </w:rPr>
        <w:t>5 000</w:t>
      </w:r>
      <w:r w:rsidRPr="0070292F">
        <w:rPr>
          <w:lang w:val="fr-FR" w:eastAsia="en-GB"/>
        </w:rPr>
        <w:t xml:space="preserve"> EUR (</w:t>
      </w:r>
      <w:r w:rsidR="008A1BA5" w:rsidRPr="0070292F">
        <w:rPr>
          <w:lang w:val="fr-FR" w:eastAsia="en-GB"/>
        </w:rPr>
        <w:t>cinq mille</w:t>
      </w:r>
      <w:r w:rsidRPr="0070292F">
        <w:rPr>
          <w:lang w:val="fr-FR" w:eastAsia="en-GB"/>
        </w:rPr>
        <w:t xml:space="preserve"> euros), plus tout montant pouvant être dû à titre d</w:t>
      </w:r>
      <w:r w:rsidR="0070292F" w:rsidRPr="0070292F">
        <w:rPr>
          <w:lang w:val="fr-FR" w:eastAsia="en-GB"/>
        </w:rPr>
        <w:t>’</w:t>
      </w:r>
      <w:r w:rsidRPr="0070292F">
        <w:rPr>
          <w:lang w:val="fr-FR" w:eastAsia="en-GB"/>
        </w:rPr>
        <w:t>impôt, pour dommage moral ;</w:t>
      </w:r>
    </w:p>
    <w:p w:rsidR="00E77CB3" w:rsidRPr="0070292F" w:rsidRDefault="008A1BA5" w:rsidP="0070292F">
      <w:pPr>
        <w:pStyle w:val="JuListi"/>
        <w:rPr>
          <w:lang w:val="fr-FR" w:eastAsia="en-GB"/>
        </w:rPr>
      </w:pPr>
      <w:r w:rsidRPr="0070292F">
        <w:rPr>
          <w:lang w:val="fr-FR" w:eastAsia="en-GB"/>
        </w:rPr>
        <w:lastRenderedPageBreak/>
        <w:t>i</w:t>
      </w:r>
      <w:r w:rsidR="00E77CB3" w:rsidRPr="0070292F">
        <w:rPr>
          <w:lang w:val="fr-FR" w:eastAsia="en-GB"/>
        </w:rPr>
        <w:t>i</w:t>
      </w:r>
      <w:r w:rsidR="00E33800" w:rsidRPr="0070292F">
        <w:rPr>
          <w:lang w:val="fr-FR" w:eastAsia="en-GB"/>
        </w:rPr>
        <w:t>.</w:t>
      </w:r>
      <w:r w:rsidR="00E77CB3" w:rsidRPr="0070292F">
        <w:rPr>
          <w:lang w:val="fr-FR" w:eastAsia="en-GB"/>
        </w:rPr>
        <w:t>  </w:t>
      </w:r>
      <w:r w:rsidR="0034397D" w:rsidRPr="0070292F">
        <w:rPr>
          <w:lang w:val="fr-FR" w:eastAsia="en-GB"/>
        </w:rPr>
        <w:t>11 525</w:t>
      </w:r>
      <w:r w:rsidR="00E77CB3" w:rsidRPr="0070292F">
        <w:rPr>
          <w:lang w:val="fr-FR" w:eastAsia="en-GB"/>
        </w:rPr>
        <w:t xml:space="preserve"> EUR (</w:t>
      </w:r>
      <w:r w:rsidR="0034397D" w:rsidRPr="0070292F">
        <w:rPr>
          <w:lang w:val="fr-FR" w:eastAsia="en-GB"/>
        </w:rPr>
        <w:t xml:space="preserve">onze </w:t>
      </w:r>
      <w:r w:rsidRPr="0070292F">
        <w:rPr>
          <w:lang w:val="fr-FR" w:eastAsia="en-GB"/>
        </w:rPr>
        <w:t>mille</w:t>
      </w:r>
      <w:r w:rsidR="0034397D" w:rsidRPr="0070292F">
        <w:rPr>
          <w:lang w:val="fr-FR" w:eastAsia="en-GB"/>
        </w:rPr>
        <w:t xml:space="preserve"> cinq cent vingt-cinq</w:t>
      </w:r>
      <w:r w:rsidRPr="0070292F">
        <w:rPr>
          <w:lang w:val="fr-FR" w:eastAsia="en-GB"/>
        </w:rPr>
        <w:t xml:space="preserve"> euros</w:t>
      </w:r>
      <w:r w:rsidR="00E77CB3" w:rsidRPr="0070292F">
        <w:rPr>
          <w:lang w:val="fr-FR" w:eastAsia="en-GB"/>
        </w:rPr>
        <w:t xml:space="preserve">), plus tout montant </w:t>
      </w:r>
      <w:r w:rsidR="005E37C6" w:rsidRPr="0070292F">
        <w:rPr>
          <w:lang w:val="fr-FR" w:eastAsia="en-GB"/>
        </w:rPr>
        <w:t>pouvant être dû à titre d</w:t>
      </w:r>
      <w:r w:rsidR="0070292F" w:rsidRPr="0070292F">
        <w:rPr>
          <w:lang w:val="fr-FR" w:eastAsia="en-GB"/>
        </w:rPr>
        <w:t>’</w:t>
      </w:r>
      <w:r w:rsidR="005E37C6" w:rsidRPr="0070292F">
        <w:rPr>
          <w:lang w:val="fr-FR" w:eastAsia="en-GB"/>
        </w:rPr>
        <w:t>impôt</w:t>
      </w:r>
      <w:r w:rsidR="00C31083" w:rsidRPr="0070292F">
        <w:rPr>
          <w:rFonts w:ascii="Arial" w:eastAsiaTheme="minorHAnsi" w:hAnsi="Arial" w:cs="Arial"/>
          <w:szCs w:val="24"/>
          <w:lang w:val="fr-FR" w:eastAsia="en-GB"/>
        </w:rPr>
        <w:t xml:space="preserve"> </w:t>
      </w:r>
      <w:r w:rsidR="00C31083" w:rsidRPr="0070292F">
        <w:rPr>
          <w:lang w:val="fr-FR" w:eastAsia="en-GB"/>
        </w:rPr>
        <w:t>par le requérant</w:t>
      </w:r>
      <w:r w:rsidR="005E37C6" w:rsidRPr="0070292F">
        <w:rPr>
          <w:lang w:val="fr-FR" w:eastAsia="en-GB"/>
        </w:rPr>
        <w:t>, pour frais et dépens</w:t>
      </w:r>
      <w:r w:rsidR="00E77CB3" w:rsidRPr="0070292F">
        <w:rPr>
          <w:lang w:val="fr-FR" w:eastAsia="en-GB"/>
        </w:rPr>
        <w:t> ;</w:t>
      </w:r>
    </w:p>
    <w:p w:rsidR="00E77CB3" w:rsidRPr="0070292F" w:rsidRDefault="00E77CB3" w:rsidP="0070292F">
      <w:pPr>
        <w:pStyle w:val="JuLista"/>
        <w:rPr>
          <w:lang w:val="fr-FR"/>
        </w:rPr>
      </w:pPr>
      <w:r w:rsidRPr="0070292F">
        <w:rPr>
          <w:lang w:val="fr-FR"/>
        </w:rPr>
        <w:t>b)  qu</w:t>
      </w:r>
      <w:r w:rsidR="0070292F" w:rsidRPr="0070292F">
        <w:rPr>
          <w:lang w:val="fr-FR"/>
        </w:rPr>
        <w:t>’</w:t>
      </w:r>
      <w:r w:rsidRPr="0070292F">
        <w:rPr>
          <w:lang w:val="fr-FR"/>
        </w:rPr>
        <w:t>à compter de l</w:t>
      </w:r>
      <w:r w:rsidR="0070292F" w:rsidRPr="0070292F">
        <w:rPr>
          <w:lang w:val="fr-FR"/>
        </w:rPr>
        <w:t>’</w:t>
      </w:r>
      <w:r w:rsidRPr="0070292F">
        <w:rPr>
          <w:lang w:val="fr-FR"/>
        </w:rPr>
        <w:t>expiration dudit délai et jusqu</w:t>
      </w:r>
      <w:r w:rsidR="0070292F" w:rsidRPr="0070292F">
        <w:rPr>
          <w:lang w:val="fr-FR"/>
        </w:rPr>
        <w:t>’</w:t>
      </w:r>
      <w:r w:rsidRPr="0070292F">
        <w:rPr>
          <w:lang w:val="fr-FR"/>
        </w:rPr>
        <w:t>au versement, ces montants seront à majorer d</w:t>
      </w:r>
      <w:r w:rsidR="0070292F" w:rsidRPr="0070292F">
        <w:rPr>
          <w:lang w:val="fr-FR"/>
        </w:rPr>
        <w:t>’</w:t>
      </w:r>
      <w:r w:rsidRPr="0070292F">
        <w:rPr>
          <w:lang w:val="fr-FR"/>
        </w:rPr>
        <w:t>un intérêt simple à un taux égal à celui de la facilité de prêt marginal de la Banque centrale européenne applicable pendant cette période, augmenté de trois points de pourcentage ;</w:t>
      </w:r>
    </w:p>
    <w:p w:rsidR="00E77CB3" w:rsidRPr="0070292F" w:rsidRDefault="00E77CB3" w:rsidP="0070292F">
      <w:pPr>
        <w:pStyle w:val="JuLista"/>
        <w:rPr>
          <w:lang w:val="fr-FR"/>
        </w:rPr>
      </w:pPr>
    </w:p>
    <w:p w:rsidR="00E77CB3" w:rsidRPr="0070292F" w:rsidRDefault="004553B3" w:rsidP="0070292F">
      <w:pPr>
        <w:pStyle w:val="JuList"/>
        <w:rPr>
          <w:lang w:val="fr-FR"/>
        </w:rPr>
      </w:pPr>
      <w:r w:rsidRPr="0070292F">
        <w:rPr>
          <w:lang w:val="fr-FR"/>
        </w:rPr>
        <w:t>1</w:t>
      </w:r>
      <w:r w:rsidR="000808B9" w:rsidRPr="0070292F">
        <w:rPr>
          <w:lang w:val="fr-FR"/>
        </w:rPr>
        <w:t>0</w:t>
      </w:r>
      <w:r w:rsidR="00256763" w:rsidRPr="0070292F">
        <w:rPr>
          <w:lang w:val="fr-FR"/>
        </w:rPr>
        <w:t>.</w:t>
      </w:r>
      <w:r w:rsidR="00E77CB3" w:rsidRPr="0070292F">
        <w:rPr>
          <w:lang w:val="fr-FR"/>
        </w:rPr>
        <w:t>  </w:t>
      </w:r>
      <w:r w:rsidR="00E77CB3" w:rsidRPr="0070292F">
        <w:rPr>
          <w:i/>
          <w:lang w:val="fr-FR"/>
        </w:rPr>
        <w:t>Rejette</w:t>
      </w:r>
      <w:r w:rsidR="004405A5" w:rsidRPr="0070292F">
        <w:rPr>
          <w:lang w:val="fr-FR"/>
        </w:rPr>
        <w:t xml:space="preserve">, </w:t>
      </w:r>
      <w:r w:rsidR="00585E85" w:rsidRPr="0070292F">
        <w:rPr>
          <w:lang w:val="fr-FR"/>
        </w:rPr>
        <w:t>par seize voix contre une</w:t>
      </w:r>
      <w:r w:rsidR="004405A5" w:rsidRPr="0070292F">
        <w:rPr>
          <w:lang w:val="fr-FR"/>
        </w:rPr>
        <w:t xml:space="preserve">, </w:t>
      </w:r>
      <w:r w:rsidR="00E77CB3" w:rsidRPr="0070292F">
        <w:rPr>
          <w:lang w:val="fr-FR"/>
        </w:rPr>
        <w:t>la demande de satisfaction équitable pour le surplus.</w:t>
      </w:r>
    </w:p>
    <w:p w:rsidR="00E77CB3" w:rsidRPr="0070292F" w:rsidRDefault="00E77CB3" w:rsidP="0070292F">
      <w:pPr>
        <w:pStyle w:val="JuParaLast"/>
        <w:rPr>
          <w:lang w:val="fr-FR"/>
        </w:rPr>
      </w:pPr>
      <w:r w:rsidRPr="0070292F">
        <w:rPr>
          <w:lang w:val="fr-FR"/>
        </w:rPr>
        <w:t>Fait en français</w:t>
      </w:r>
      <w:r w:rsidR="00C31083" w:rsidRPr="0070292F">
        <w:rPr>
          <w:lang w:val="fr-FR"/>
        </w:rPr>
        <w:t xml:space="preserve"> et en anglais</w:t>
      </w:r>
      <w:r w:rsidRPr="0070292F">
        <w:rPr>
          <w:lang w:val="fr-FR"/>
        </w:rPr>
        <w:t xml:space="preserve">, puis </w:t>
      </w:r>
      <w:r w:rsidR="00ED42FE" w:rsidRPr="0070292F">
        <w:rPr>
          <w:lang w:val="fr-FR"/>
        </w:rPr>
        <w:t>prononcé en audience publique au Palais des droits de l</w:t>
      </w:r>
      <w:r w:rsidR="0070292F" w:rsidRPr="0070292F">
        <w:rPr>
          <w:lang w:val="fr-FR"/>
        </w:rPr>
        <w:t>’</w:t>
      </w:r>
      <w:r w:rsidR="00ED42FE" w:rsidRPr="0070292F">
        <w:rPr>
          <w:lang w:val="fr-FR"/>
        </w:rPr>
        <w:t xml:space="preserve">homme, à Strasbourg le </w:t>
      </w:r>
      <w:r w:rsidR="00417E95" w:rsidRPr="0070292F">
        <w:rPr>
          <w:lang w:val="fr-FR"/>
        </w:rPr>
        <w:t>23 février 2017</w:t>
      </w:r>
      <w:r w:rsidR="00ED42FE" w:rsidRPr="0070292F">
        <w:rPr>
          <w:lang w:val="fr-FR"/>
        </w:rPr>
        <w:t>.</w:t>
      </w:r>
    </w:p>
    <w:p w:rsidR="00E77CB3" w:rsidRPr="0070292F" w:rsidRDefault="004405A5" w:rsidP="0070292F">
      <w:pPr>
        <w:pStyle w:val="JuSigned"/>
        <w:tabs>
          <w:tab w:val="clear" w:pos="851"/>
          <w:tab w:val="center" w:pos="993"/>
        </w:tabs>
        <w:rPr>
          <w:lang w:val="fr-FR"/>
        </w:rPr>
      </w:pPr>
      <w:r w:rsidRPr="0070292F">
        <w:rPr>
          <w:lang w:val="fr-FR"/>
        </w:rPr>
        <w:tab/>
        <w:t>Johan Callewaert</w:t>
      </w:r>
      <w:r w:rsidR="006D76A5" w:rsidRPr="0070292F">
        <w:rPr>
          <w:lang w:val="fr-FR"/>
        </w:rPr>
        <w:tab/>
      </w:r>
      <w:r w:rsidR="00686F39" w:rsidRPr="0070292F">
        <w:rPr>
          <w:lang w:val="fr-FR"/>
        </w:rPr>
        <w:t>Andr</w:t>
      </w:r>
      <w:r w:rsidR="00686F39" w:rsidRPr="0070292F">
        <w:rPr>
          <w:rFonts w:cstheme="minorHAnsi"/>
          <w:lang w:val="fr-FR"/>
        </w:rPr>
        <w:t>á</w:t>
      </w:r>
      <w:r w:rsidR="00686F39" w:rsidRPr="0070292F">
        <w:rPr>
          <w:lang w:val="fr-FR"/>
        </w:rPr>
        <w:t>s Saj</w:t>
      </w:r>
      <w:r w:rsidR="00686F39" w:rsidRPr="0070292F">
        <w:rPr>
          <w:rFonts w:cstheme="minorHAnsi"/>
          <w:lang w:val="fr-FR"/>
        </w:rPr>
        <w:t>ó</w:t>
      </w:r>
      <w:r w:rsidR="00E77CB3" w:rsidRPr="0070292F">
        <w:rPr>
          <w:lang w:val="fr-FR"/>
        </w:rPr>
        <w:br/>
      </w:r>
      <w:r w:rsidR="00E77CB3" w:rsidRPr="0070292F">
        <w:rPr>
          <w:lang w:val="fr-FR"/>
        </w:rPr>
        <w:tab/>
      </w:r>
      <w:r w:rsidR="00504C8E" w:rsidRPr="0070292F">
        <w:rPr>
          <w:lang w:val="fr-FR"/>
        </w:rPr>
        <w:t>A</w:t>
      </w:r>
      <w:r w:rsidRPr="0070292F">
        <w:rPr>
          <w:lang w:val="fr-FR"/>
        </w:rPr>
        <w:t xml:space="preserve">djoint </w:t>
      </w:r>
      <w:r w:rsidR="00504C8E" w:rsidRPr="0070292F">
        <w:rPr>
          <w:lang w:val="fr-FR"/>
        </w:rPr>
        <w:t>au greffier</w:t>
      </w:r>
      <w:r w:rsidR="00E77CB3" w:rsidRPr="0070292F">
        <w:rPr>
          <w:lang w:val="fr-FR"/>
        </w:rPr>
        <w:tab/>
      </w:r>
      <w:r w:rsidRPr="0070292F">
        <w:rPr>
          <w:lang w:val="fr-FR"/>
        </w:rPr>
        <w:t>Président</w:t>
      </w:r>
    </w:p>
    <w:p w:rsidR="004D15F3" w:rsidRPr="0070292F" w:rsidRDefault="004D15F3" w:rsidP="0070292F">
      <w:pPr>
        <w:rPr>
          <w:lang w:val="fr-FR"/>
        </w:rPr>
      </w:pPr>
    </w:p>
    <w:p w:rsidR="00370B74" w:rsidRPr="0070292F" w:rsidRDefault="00370B74" w:rsidP="0070292F">
      <w:pPr>
        <w:pStyle w:val="JuParaLast"/>
        <w:rPr>
          <w:lang w:val="fr-FR"/>
        </w:rPr>
      </w:pPr>
      <w:r w:rsidRPr="0070292F">
        <w:rPr>
          <w:lang w:val="fr-FR"/>
        </w:rPr>
        <w:t>Au présent arrêt se trouve joint, conformément aux articles 45 § 2 de la Convention et 74 § 2 du règlement, l</w:t>
      </w:r>
      <w:r w:rsidR="0070292F" w:rsidRPr="0070292F">
        <w:rPr>
          <w:lang w:val="fr-FR"/>
        </w:rPr>
        <w:t>’</w:t>
      </w:r>
      <w:r w:rsidRPr="0070292F">
        <w:rPr>
          <w:lang w:val="fr-FR"/>
        </w:rPr>
        <w:t>exposé des opinions séparées suivantes :</w:t>
      </w:r>
    </w:p>
    <w:p w:rsidR="00370B74" w:rsidRPr="0070292F" w:rsidRDefault="00370B74" w:rsidP="0070292F">
      <w:pPr>
        <w:pStyle w:val="ECHRPara"/>
        <w:rPr>
          <w:lang w:val="fr-FR"/>
        </w:rPr>
      </w:pPr>
      <w:r w:rsidRPr="0070292F">
        <w:rPr>
          <w:lang w:val="fr-FR"/>
        </w:rPr>
        <w:t xml:space="preserve">–  opinion </w:t>
      </w:r>
      <w:r w:rsidR="005103F7" w:rsidRPr="0070292F">
        <w:rPr>
          <w:lang w:val="fr-FR"/>
        </w:rPr>
        <w:t>concordante commune aux juges Raimondi, Villiger, Šikuta, Keller et Kjølbro</w:t>
      </w:r>
      <w:r w:rsidRPr="0070292F">
        <w:rPr>
          <w:lang w:val="fr-FR"/>
        </w:rPr>
        <w:t> ;</w:t>
      </w:r>
    </w:p>
    <w:p w:rsidR="005103F7" w:rsidRPr="0070292F" w:rsidRDefault="00370B74" w:rsidP="0070292F">
      <w:pPr>
        <w:pStyle w:val="ECHRPara"/>
        <w:rPr>
          <w:lang w:val="fr-FR"/>
        </w:rPr>
      </w:pPr>
      <w:r w:rsidRPr="0070292F">
        <w:rPr>
          <w:lang w:val="fr-FR"/>
        </w:rPr>
        <w:t xml:space="preserve">–  opinion </w:t>
      </w:r>
      <w:r w:rsidR="005103F7" w:rsidRPr="0070292F">
        <w:rPr>
          <w:lang w:val="fr-FR"/>
        </w:rPr>
        <w:t xml:space="preserve">concordante du </w:t>
      </w:r>
      <w:r w:rsidRPr="0070292F">
        <w:rPr>
          <w:lang w:val="fr-FR"/>
        </w:rPr>
        <w:t>juge </w:t>
      </w:r>
      <w:r w:rsidR="005103F7" w:rsidRPr="0070292F">
        <w:rPr>
          <w:lang w:val="fr-FR"/>
        </w:rPr>
        <w:t>Dedov ;</w:t>
      </w:r>
    </w:p>
    <w:p w:rsidR="005103F7" w:rsidRPr="0070292F" w:rsidRDefault="005103F7" w:rsidP="0070292F">
      <w:pPr>
        <w:pStyle w:val="ECHRPara"/>
        <w:rPr>
          <w:lang w:val="fr-FR"/>
        </w:rPr>
      </w:pPr>
      <w:r w:rsidRPr="0070292F">
        <w:rPr>
          <w:lang w:val="fr-FR"/>
        </w:rPr>
        <w:t xml:space="preserve">–  opinion </w:t>
      </w:r>
      <w:r w:rsidR="00651B91" w:rsidRPr="0070292F">
        <w:rPr>
          <w:lang w:val="fr-FR"/>
        </w:rPr>
        <w:t>en partie</w:t>
      </w:r>
      <w:r w:rsidRPr="0070292F">
        <w:rPr>
          <w:lang w:val="fr-FR"/>
        </w:rPr>
        <w:t xml:space="preserve"> diss</w:t>
      </w:r>
      <w:r w:rsidR="005B6DE4" w:rsidRPr="0070292F">
        <w:rPr>
          <w:lang w:val="fr-FR"/>
        </w:rPr>
        <w:t>id</w:t>
      </w:r>
      <w:r w:rsidRPr="0070292F">
        <w:rPr>
          <w:lang w:val="fr-FR"/>
        </w:rPr>
        <w:t>ente du juge Sajó ;</w:t>
      </w:r>
    </w:p>
    <w:p w:rsidR="0070292F" w:rsidRPr="0070292F" w:rsidRDefault="005103F7" w:rsidP="0070292F">
      <w:pPr>
        <w:pStyle w:val="ECHRPara"/>
        <w:rPr>
          <w:lang w:val="fr-FR"/>
        </w:rPr>
      </w:pPr>
      <w:r w:rsidRPr="0070292F">
        <w:rPr>
          <w:lang w:val="fr-FR"/>
        </w:rPr>
        <w:t xml:space="preserve">–  opinion </w:t>
      </w:r>
      <w:r w:rsidR="00651B91" w:rsidRPr="0070292F">
        <w:rPr>
          <w:lang w:val="fr-FR"/>
        </w:rPr>
        <w:t>en partie</w:t>
      </w:r>
      <w:r w:rsidRPr="0070292F">
        <w:rPr>
          <w:lang w:val="fr-FR"/>
        </w:rPr>
        <w:t xml:space="preserve"> diss</w:t>
      </w:r>
      <w:r w:rsidR="005B6DE4" w:rsidRPr="0070292F">
        <w:rPr>
          <w:lang w:val="fr-FR"/>
        </w:rPr>
        <w:t>i</w:t>
      </w:r>
      <w:r w:rsidRPr="0070292F">
        <w:rPr>
          <w:lang w:val="fr-FR"/>
        </w:rPr>
        <w:t>dente du juge Vučinić;</w:t>
      </w:r>
    </w:p>
    <w:p w:rsidR="005103F7" w:rsidRPr="0070292F" w:rsidRDefault="005103F7" w:rsidP="0070292F">
      <w:pPr>
        <w:pStyle w:val="ECHRPara"/>
        <w:rPr>
          <w:lang w:val="fr-FR"/>
        </w:rPr>
      </w:pPr>
      <w:r w:rsidRPr="0070292F">
        <w:rPr>
          <w:lang w:val="fr-FR"/>
        </w:rPr>
        <w:t xml:space="preserve">–  opinion </w:t>
      </w:r>
      <w:r w:rsidR="00651B91" w:rsidRPr="0070292F">
        <w:rPr>
          <w:lang w:val="fr-FR"/>
        </w:rPr>
        <w:t>en partie</w:t>
      </w:r>
      <w:r w:rsidRPr="0070292F">
        <w:rPr>
          <w:lang w:val="fr-FR"/>
        </w:rPr>
        <w:t xml:space="preserve"> diss</w:t>
      </w:r>
      <w:r w:rsidR="005B6DE4" w:rsidRPr="0070292F">
        <w:rPr>
          <w:lang w:val="fr-FR"/>
        </w:rPr>
        <w:t>i</w:t>
      </w:r>
      <w:r w:rsidRPr="0070292F">
        <w:rPr>
          <w:lang w:val="fr-FR"/>
        </w:rPr>
        <w:t>dente du juge Pinto de Albuquerque ;</w:t>
      </w:r>
    </w:p>
    <w:p w:rsidR="005103F7" w:rsidRPr="0070292F" w:rsidRDefault="005103F7" w:rsidP="0070292F">
      <w:pPr>
        <w:pStyle w:val="ECHRPara"/>
        <w:rPr>
          <w:lang w:val="fr-FR"/>
        </w:rPr>
      </w:pPr>
      <w:r w:rsidRPr="0070292F">
        <w:rPr>
          <w:lang w:val="fr-FR"/>
        </w:rPr>
        <w:t xml:space="preserve">–  opinion </w:t>
      </w:r>
      <w:r w:rsidR="00651B91" w:rsidRPr="0070292F">
        <w:rPr>
          <w:lang w:val="fr-FR"/>
        </w:rPr>
        <w:t>en partie</w:t>
      </w:r>
      <w:r w:rsidRPr="0070292F">
        <w:rPr>
          <w:lang w:val="fr-FR"/>
        </w:rPr>
        <w:t xml:space="preserve"> diss</w:t>
      </w:r>
      <w:r w:rsidR="005B6DE4" w:rsidRPr="0070292F">
        <w:rPr>
          <w:lang w:val="fr-FR"/>
        </w:rPr>
        <w:t>i</w:t>
      </w:r>
      <w:r w:rsidRPr="0070292F">
        <w:rPr>
          <w:lang w:val="fr-FR"/>
        </w:rPr>
        <w:t>dente du juge K</w:t>
      </w:r>
      <w:r w:rsidRPr="0070292F">
        <w:rPr>
          <w:rFonts w:cstheme="minorHAnsi"/>
          <w:lang w:val="fr-FR"/>
        </w:rPr>
        <w:t>ū</w:t>
      </w:r>
      <w:r w:rsidRPr="0070292F">
        <w:rPr>
          <w:lang w:val="fr-FR"/>
        </w:rPr>
        <w:t>ris.</w:t>
      </w:r>
    </w:p>
    <w:p w:rsidR="00C62E72" w:rsidRPr="0070292F" w:rsidRDefault="00370B74" w:rsidP="0070292F">
      <w:pPr>
        <w:pStyle w:val="JuInitialled"/>
        <w:rPr>
          <w:lang w:val="fr-FR"/>
        </w:rPr>
      </w:pPr>
      <w:r w:rsidRPr="0070292F">
        <w:rPr>
          <w:lang w:val="fr-FR"/>
        </w:rPr>
        <w:t>A.S.</w:t>
      </w:r>
      <w:r w:rsidRPr="0070292F">
        <w:rPr>
          <w:lang w:val="fr-FR"/>
        </w:rPr>
        <w:br/>
        <w:t>J.C.</w:t>
      </w:r>
    </w:p>
    <w:p w:rsidR="00510813" w:rsidRPr="0070292F" w:rsidRDefault="00510813" w:rsidP="0070292F">
      <w:pPr>
        <w:pStyle w:val="ECHRTitleCentre1"/>
        <w:rPr>
          <w:lang w:val="fr-FR"/>
        </w:rPr>
        <w:sectPr w:rsidR="00510813" w:rsidRPr="0070292F" w:rsidSect="00D82EC2">
          <w:headerReference w:type="even" r:id="rId36"/>
          <w:headerReference w:type="default" r:id="rId37"/>
          <w:footerReference w:type="even" r:id="rId38"/>
          <w:footerReference w:type="default" r:id="rId39"/>
          <w:headerReference w:type="first" r:id="rId40"/>
          <w:footerReference w:type="first" r:id="rId41"/>
          <w:pgSz w:w="11906" w:h="16838" w:code="9"/>
          <w:pgMar w:top="2274" w:right="2274" w:bottom="2274" w:left="2274" w:header="1701" w:footer="720" w:gutter="0"/>
          <w:pgNumType w:start="1"/>
          <w:cols w:space="720"/>
          <w:noEndnote/>
        </w:sectPr>
      </w:pPr>
    </w:p>
    <w:p w:rsidR="00E33800" w:rsidRPr="0070292F" w:rsidRDefault="00E33800" w:rsidP="0070292F">
      <w:pPr>
        <w:pStyle w:val="ECHRTitleCentre1"/>
        <w:rPr>
          <w:lang w:val="fr-FR"/>
        </w:rPr>
      </w:pPr>
      <w:bookmarkStart w:id="61" w:name="_Toc475451870"/>
      <w:r w:rsidRPr="0070292F">
        <w:rPr>
          <w:lang w:val="fr-FR"/>
        </w:rPr>
        <w:lastRenderedPageBreak/>
        <w:t>OPINION CONCORDANTE COMMUNE AUX JUGES RAIMONDI, VILLIGER, ŠIKUTA, KELLER ET KJØLBRO</w:t>
      </w:r>
      <w:bookmarkEnd w:id="61"/>
    </w:p>
    <w:p w:rsidR="00E33800" w:rsidRPr="0070292F" w:rsidRDefault="00E33800" w:rsidP="0070292F">
      <w:pPr>
        <w:pStyle w:val="OpiPara"/>
        <w:rPr>
          <w:lang w:val="fr-FR"/>
        </w:rPr>
      </w:pPr>
      <w:r w:rsidRPr="0070292F">
        <w:rPr>
          <w:lang w:val="fr-FR"/>
        </w:rPr>
        <w:t>1. Nous sommes d</w:t>
      </w:r>
      <w:r w:rsidR="0070292F" w:rsidRPr="0070292F">
        <w:rPr>
          <w:lang w:val="fr-FR"/>
        </w:rPr>
        <w:t>’</w:t>
      </w:r>
      <w:r w:rsidRPr="0070292F">
        <w:rPr>
          <w:lang w:val="fr-FR"/>
        </w:rPr>
        <w:t>accord avec la conclusion de la Grande Chambre selon laquelle il y a eu en l</w:t>
      </w:r>
      <w:r w:rsidR="0070292F" w:rsidRPr="0070292F">
        <w:rPr>
          <w:lang w:val="fr-FR"/>
        </w:rPr>
        <w:t>’</w:t>
      </w:r>
      <w:r w:rsidRPr="0070292F">
        <w:rPr>
          <w:lang w:val="fr-FR"/>
        </w:rPr>
        <w:t>espèce violation de l</w:t>
      </w:r>
      <w:r w:rsidR="0070292F" w:rsidRPr="0070292F">
        <w:rPr>
          <w:lang w:val="fr-FR"/>
        </w:rPr>
        <w:t>’</w:t>
      </w:r>
      <w:r w:rsidRPr="0070292F">
        <w:rPr>
          <w:lang w:val="fr-FR"/>
        </w:rPr>
        <w:t>article 2 du Protocole n</w:t>
      </w:r>
      <w:r w:rsidR="0070292F" w:rsidRPr="0070292F">
        <w:rPr>
          <w:vertAlign w:val="superscript"/>
          <w:lang w:val="fr-FR"/>
        </w:rPr>
        <w:t>o</w:t>
      </w:r>
      <w:r w:rsidRPr="0070292F">
        <w:rPr>
          <w:lang w:val="fr-FR"/>
        </w:rPr>
        <w:t xml:space="preserve"> 4. En revanche, nous n</w:t>
      </w:r>
      <w:r w:rsidR="0070292F" w:rsidRPr="0070292F">
        <w:rPr>
          <w:lang w:val="fr-FR"/>
        </w:rPr>
        <w:t>’</w:t>
      </w:r>
      <w:r w:rsidRPr="0070292F">
        <w:rPr>
          <w:lang w:val="fr-FR"/>
        </w:rPr>
        <w:t>adhérons pas à la base juridique sur laquelle on fait reposer cette conclusion, à savoir le manque de prévisibilité de la mesure de surveillance spéciale assortie d</w:t>
      </w:r>
      <w:r w:rsidR="0070292F" w:rsidRPr="0070292F">
        <w:rPr>
          <w:lang w:val="fr-FR"/>
        </w:rPr>
        <w:t>’</w:t>
      </w:r>
      <w:r w:rsidRPr="0070292F">
        <w:rPr>
          <w:lang w:val="fr-FR"/>
        </w:rPr>
        <w:t>une assignation à résidence, donc un défaut de qualité de la</w:t>
      </w:r>
      <w:r w:rsidRPr="0070292F">
        <w:rPr>
          <w:rFonts w:eastAsia="Calibri"/>
          <w:lang w:val="fr-FR"/>
        </w:rPr>
        <w:t xml:space="preserve"> </w:t>
      </w:r>
      <w:r w:rsidRPr="0070292F">
        <w:rPr>
          <w:lang w:val="fr-FR"/>
        </w:rPr>
        <w:t>loi n</w:t>
      </w:r>
      <w:r w:rsidR="0070292F" w:rsidRPr="0070292F">
        <w:rPr>
          <w:vertAlign w:val="superscript"/>
          <w:lang w:val="fr-FR"/>
        </w:rPr>
        <w:t>o</w:t>
      </w:r>
      <w:r w:rsidRPr="0070292F">
        <w:rPr>
          <w:lang w:val="fr-FR"/>
        </w:rPr>
        <w:t xml:space="preserve"> 1423 de 1956</w:t>
      </w:r>
      <w:r w:rsidRPr="0070292F">
        <w:rPr>
          <w:rFonts w:eastAsia="Calibri"/>
          <w:lang w:val="fr-FR"/>
        </w:rPr>
        <w:t xml:space="preserve"> </w:t>
      </w:r>
      <w:r w:rsidRPr="0070292F">
        <w:rPr>
          <w:lang w:val="fr-FR"/>
        </w:rPr>
        <w:t>qui, dans l</w:t>
      </w:r>
      <w:r w:rsidR="0070292F" w:rsidRPr="0070292F">
        <w:rPr>
          <w:lang w:val="fr-FR"/>
        </w:rPr>
        <w:t>’</w:t>
      </w:r>
      <w:r w:rsidRPr="0070292F">
        <w:rPr>
          <w:lang w:val="fr-FR"/>
        </w:rPr>
        <w:t>ordre juridique italien, a permis l</w:t>
      </w:r>
      <w:r w:rsidR="0070292F" w:rsidRPr="0070292F">
        <w:rPr>
          <w:lang w:val="fr-FR"/>
        </w:rPr>
        <w:t>’</w:t>
      </w:r>
      <w:r w:rsidRPr="0070292F">
        <w:rPr>
          <w:lang w:val="fr-FR"/>
        </w:rPr>
        <w:t>application de la mesure litigieuse.</w:t>
      </w:r>
    </w:p>
    <w:p w:rsidR="00E33800" w:rsidRPr="0070292F" w:rsidRDefault="00E33800" w:rsidP="0070292F">
      <w:pPr>
        <w:pStyle w:val="OpiPara"/>
        <w:rPr>
          <w:lang w:val="fr-FR"/>
        </w:rPr>
      </w:pPr>
      <w:r w:rsidRPr="0070292F">
        <w:rPr>
          <w:lang w:val="fr-FR"/>
        </w:rPr>
        <w:t>2. Cette solution n</w:t>
      </w:r>
      <w:r w:rsidR="0070292F" w:rsidRPr="0070292F">
        <w:rPr>
          <w:lang w:val="fr-FR"/>
        </w:rPr>
        <w:t>’</w:t>
      </w:r>
      <w:r w:rsidRPr="0070292F">
        <w:rPr>
          <w:lang w:val="fr-FR"/>
        </w:rPr>
        <w:t>est pas en conformité avec toute une série d</w:t>
      </w:r>
      <w:r w:rsidR="0070292F" w:rsidRPr="0070292F">
        <w:rPr>
          <w:lang w:val="fr-FR"/>
        </w:rPr>
        <w:t>’</w:t>
      </w:r>
      <w:r w:rsidRPr="0070292F">
        <w:rPr>
          <w:lang w:val="fr-FR"/>
        </w:rPr>
        <w:t>affaires dans lesquelles la Cour a été confrontée aux mesures de prévention personnelles prévues par la législation italienne.</w:t>
      </w:r>
    </w:p>
    <w:p w:rsidR="00E33800" w:rsidRPr="0070292F" w:rsidRDefault="00E33800" w:rsidP="0070292F">
      <w:pPr>
        <w:pStyle w:val="OpiPara"/>
        <w:rPr>
          <w:lang w:val="fr-FR"/>
        </w:rPr>
      </w:pPr>
      <w:r w:rsidRPr="0070292F">
        <w:rPr>
          <w:lang w:val="fr-FR"/>
        </w:rPr>
        <w:t>3. L</w:t>
      </w:r>
      <w:r w:rsidRPr="0070292F">
        <w:rPr>
          <w:rFonts w:ascii="Times New Roman" w:hAnsi="Times New Roman" w:cs="Times New Roman"/>
          <w:iCs/>
          <w:lang w:val="fr-FR"/>
        </w:rPr>
        <w:t>es organes de la Convention ont amorcé leur jurisprudence en la matière dans la décision </w:t>
      </w:r>
      <w:r w:rsidRPr="0070292F" w:rsidDel="00A22057">
        <w:rPr>
          <w:rFonts w:ascii="Times New Roman" w:hAnsi="Times New Roman" w:cs="Times New Roman"/>
          <w:i/>
          <w:iCs/>
          <w:lang w:val="fr-FR"/>
        </w:rPr>
        <w:t xml:space="preserve"> </w:t>
      </w:r>
      <w:r w:rsidRPr="0070292F">
        <w:rPr>
          <w:rFonts w:ascii="Times New Roman" w:hAnsi="Times New Roman" w:cs="Times New Roman"/>
          <w:i/>
          <w:iCs/>
          <w:lang w:val="fr-FR"/>
        </w:rPr>
        <w:t>Guzzardi c. Italie</w:t>
      </w:r>
      <w:r w:rsidRPr="0070292F">
        <w:rPr>
          <w:rFonts w:ascii="Times New Roman" w:hAnsi="Times New Roman" w:cs="Times New Roman"/>
          <w:iCs/>
          <w:lang w:val="fr-FR"/>
        </w:rPr>
        <w:t xml:space="preserve"> (n</w:t>
      </w:r>
      <w:r w:rsidRPr="0070292F">
        <w:rPr>
          <w:rFonts w:ascii="Times New Roman" w:hAnsi="Times New Roman" w:cs="Times New Roman"/>
          <w:iCs/>
          <w:vertAlign w:val="superscript"/>
          <w:lang w:val="fr-FR"/>
        </w:rPr>
        <w:t>o</w:t>
      </w:r>
      <w:r w:rsidRPr="0070292F">
        <w:rPr>
          <w:rFonts w:ascii="Times New Roman" w:hAnsi="Times New Roman" w:cs="Times New Roman"/>
          <w:iCs/>
          <w:lang w:val="fr-FR"/>
        </w:rPr>
        <w:t> 7960/77, décision de la Commission du 5 octobre 1977, non publiée). Dans une affaire ultérieure soumise par le même requérant, la Cour a</w:t>
      </w:r>
      <w:r w:rsidRPr="0070292F">
        <w:rPr>
          <w:lang w:val="fr-FR"/>
        </w:rPr>
        <w:t xml:space="preserve"> conclu, en raison des circonstances particulières de l</w:t>
      </w:r>
      <w:r w:rsidR="0070292F" w:rsidRPr="0070292F">
        <w:rPr>
          <w:lang w:val="fr-FR"/>
        </w:rPr>
        <w:t>’</w:t>
      </w:r>
      <w:r w:rsidRPr="0070292F">
        <w:rPr>
          <w:lang w:val="fr-FR"/>
        </w:rPr>
        <w:t>affaire, que l</w:t>
      </w:r>
      <w:r w:rsidR="0070292F" w:rsidRPr="0070292F">
        <w:rPr>
          <w:lang w:val="fr-FR"/>
        </w:rPr>
        <w:t>’</w:t>
      </w:r>
      <w:r w:rsidRPr="0070292F">
        <w:rPr>
          <w:lang w:val="fr-FR"/>
        </w:rPr>
        <w:t>intéressé avait été « privé de sa liberté » au sens de l</w:t>
      </w:r>
      <w:r w:rsidR="0070292F" w:rsidRPr="0070292F">
        <w:rPr>
          <w:lang w:val="fr-FR"/>
        </w:rPr>
        <w:t>’</w:t>
      </w:r>
      <w:r w:rsidRPr="0070292F">
        <w:rPr>
          <w:lang w:val="fr-FR"/>
        </w:rPr>
        <w:t>article 5 de la Convention (</w:t>
      </w:r>
      <w:r w:rsidRPr="0070292F">
        <w:rPr>
          <w:i/>
          <w:lang w:val="fr-FR"/>
        </w:rPr>
        <w:t>Guzzardi c.</w:t>
      </w:r>
      <w:r w:rsidR="00900093" w:rsidRPr="0070292F">
        <w:rPr>
          <w:i/>
          <w:lang w:val="fr-FR"/>
        </w:rPr>
        <w:t> </w:t>
      </w:r>
      <w:r w:rsidRPr="0070292F">
        <w:rPr>
          <w:i/>
          <w:lang w:val="fr-FR"/>
        </w:rPr>
        <w:t>Italie</w:t>
      </w:r>
      <w:r w:rsidRPr="0070292F">
        <w:rPr>
          <w:lang w:val="fr-FR"/>
        </w:rPr>
        <w:t>, 6 novembre 1980, § 95, série A n</w:t>
      </w:r>
      <w:r w:rsidRPr="0070292F">
        <w:rPr>
          <w:vertAlign w:val="superscript"/>
          <w:lang w:val="fr-FR"/>
        </w:rPr>
        <w:t>o</w:t>
      </w:r>
      <w:r w:rsidRPr="0070292F">
        <w:rPr>
          <w:lang w:val="fr-FR"/>
        </w:rPr>
        <w:t xml:space="preserve"> 39).</w:t>
      </w:r>
    </w:p>
    <w:p w:rsidR="00E33800" w:rsidRPr="0070292F" w:rsidRDefault="00E33800" w:rsidP="0070292F">
      <w:pPr>
        <w:pStyle w:val="OpiPara"/>
        <w:rPr>
          <w:lang w:val="fr-FR"/>
        </w:rPr>
      </w:pPr>
      <w:r w:rsidRPr="0070292F">
        <w:rPr>
          <w:lang w:val="fr-FR"/>
        </w:rPr>
        <w:t>4. Depuis l</w:t>
      </w:r>
      <w:r w:rsidR="0070292F" w:rsidRPr="0070292F">
        <w:rPr>
          <w:lang w:val="fr-FR"/>
        </w:rPr>
        <w:t>’</w:t>
      </w:r>
      <w:r w:rsidRPr="0070292F">
        <w:rPr>
          <w:lang w:val="fr-FR"/>
        </w:rPr>
        <w:t xml:space="preserve">affaire </w:t>
      </w:r>
      <w:r w:rsidRPr="0070292F">
        <w:rPr>
          <w:i/>
          <w:lang w:val="fr-FR"/>
        </w:rPr>
        <w:t>Guzzardi</w:t>
      </w:r>
      <w:r w:rsidRPr="0070292F">
        <w:rPr>
          <w:lang w:val="fr-FR"/>
        </w:rPr>
        <w:t>, la Cour a dans plusieurs affaires (</w:t>
      </w:r>
      <w:r w:rsidRPr="0070292F">
        <w:rPr>
          <w:i/>
          <w:lang w:val="fr-FR" w:eastAsia="en-GB"/>
        </w:rPr>
        <w:t>Raimondo c.</w:t>
      </w:r>
      <w:r w:rsidR="00900093" w:rsidRPr="0070292F">
        <w:rPr>
          <w:i/>
          <w:lang w:val="fr-FR" w:eastAsia="en-GB"/>
        </w:rPr>
        <w:t> </w:t>
      </w:r>
      <w:r w:rsidRPr="0070292F">
        <w:rPr>
          <w:i/>
          <w:lang w:val="fr-FR" w:eastAsia="en-GB"/>
        </w:rPr>
        <w:t>Italie</w:t>
      </w:r>
      <w:r w:rsidRPr="0070292F">
        <w:rPr>
          <w:lang w:val="fr-FR" w:eastAsia="en-GB"/>
        </w:rPr>
        <w:t>, 22 février 1994, § 39, série A n</w:t>
      </w:r>
      <w:r w:rsidR="0070292F" w:rsidRPr="0070292F">
        <w:rPr>
          <w:vertAlign w:val="superscript"/>
          <w:lang w:val="fr-FR" w:eastAsia="en-GB"/>
        </w:rPr>
        <w:t>o</w:t>
      </w:r>
      <w:r w:rsidRPr="0070292F">
        <w:rPr>
          <w:lang w:val="fr-FR" w:eastAsia="en-GB"/>
        </w:rPr>
        <w:t> 281</w:t>
      </w:r>
      <w:r w:rsidRPr="0070292F">
        <w:rPr>
          <w:lang w:val="fr-FR" w:eastAsia="en-GB"/>
        </w:rPr>
        <w:noBreakHyphen/>
        <w:t>A</w:t>
      </w:r>
      <w:r w:rsidRPr="0070292F">
        <w:rPr>
          <w:lang w:val="fr-FR"/>
        </w:rPr>
        <w:t xml:space="preserve">, </w:t>
      </w:r>
      <w:r w:rsidRPr="0070292F">
        <w:rPr>
          <w:i/>
          <w:lang w:val="fr-FR"/>
        </w:rPr>
        <w:t>Labita c. Italie</w:t>
      </w:r>
      <w:r w:rsidRPr="0070292F">
        <w:rPr>
          <w:lang w:val="fr-FR"/>
        </w:rPr>
        <w:t xml:space="preserve"> [GC], n</w:t>
      </w:r>
      <w:r w:rsidR="0070292F" w:rsidRPr="0070292F">
        <w:rPr>
          <w:vertAlign w:val="superscript"/>
          <w:lang w:val="fr-FR"/>
        </w:rPr>
        <w:t>o</w:t>
      </w:r>
      <w:r w:rsidRPr="0070292F">
        <w:rPr>
          <w:lang w:val="fr-FR"/>
        </w:rPr>
        <w:t> 26772/95, § 193, CEDH 2000</w:t>
      </w:r>
      <w:r w:rsidRPr="0070292F">
        <w:rPr>
          <w:lang w:val="fr-FR"/>
        </w:rPr>
        <w:noBreakHyphen/>
        <w:t xml:space="preserve">IV, </w:t>
      </w:r>
      <w:r w:rsidRPr="0070292F">
        <w:rPr>
          <w:i/>
          <w:lang w:val="fr-FR"/>
        </w:rPr>
        <w:t>Vito Sante Santoro c. Italie</w:t>
      </w:r>
      <w:r w:rsidRPr="0070292F">
        <w:rPr>
          <w:lang w:val="fr-FR"/>
        </w:rPr>
        <w:t>, n</w:t>
      </w:r>
      <w:r w:rsidR="0070292F" w:rsidRPr="0070292F">
        <w:rPr>
          <w:vertAlign w:val="superscript"/>
          <w:lang w:val="fr-FR"/>
        </w:rPr>
        <w:t>o</w:t>
      </w:r>
      <w:r w:rsidRPr="0070292F">
        <w:rPr>
          <w:lang w:val="fr-FR"/>
        </w:rPr>
        <w:t> 36681/97, § 37, CEDH 2004</w:t>
      </w:r>
      <w:r w:rsidRPr="0070292F">
        <w:rPr>
          <w:lang w:val="fr-FR"/>
        </w:rPr>
        <w:noBreakHyphen/>
        <w:t xml:space="preserve">VI ; voir aussi, </w:t>
      </w:r>
      <w:r w:rsidRPr="0070292F">
        <w:rPr>
          <w:i/>
          <w:lang w:val="fr-FR"/>
        </w:rPr>
        <w:t>mutatis mutandis</w:t>
      </w:r>
      <w:r w:rsidRPr="0070292F">
        <w:rPr>
          <w:lang w:val="fr-FR"/>
        </w:rPr>
        <w:t xml:space="preserve">, </w:t>
      </w:r>
      <w:r w:rsidRPr="0070292F">
        <w:rPr>
          <w:i/>
          <w:lang w:val="fr-FR" w:eastAsia="en-GB"/>
        </w:rPr>
        <w:t>Villa c. Italie</w:t>
      </w:r>
      <w:r w:rsidRPr="0070292F">
        <w:rPr>
          <w:lang w:val="fr-FR" w:eastAsia="en-GB"/>
        </w:rPr>
        <w:t>, n</w:t>
      </w:r>
      <w:r w:rsidR="0070292F" w:rsidRPr="0070292F">
        <w:rPr>
          <w:vertAlign w:val="superscript"/>
          <w:lang w:val="fr-FR" w:eastAsia="en-GB"/>
        </w:rPr>
        <w:t>o</w:t>
      </w:r>
      <w:r w:rsidRPr="0070292F">
        <w:rPr>
          <w:lang w:val="fr-FR" w:eastAsia="en-GB"/>
        </w:rPr>
        <w:t xml:space="preserve"> 19675/06, §§ 4</w:t>
      </w:r>
      <w:r w:rsidR="007F7590" w:rsidRPr="0070292F">
        <w:rPr>
          <w:lang w:val="fr-FR" w:eastAsia="en-GB"/>
        </w:rPr>
        <w:t>3</w:t>
      </w:r>
      <w:r w:rsidRPr="0070292F">
        <w:rPr>
          <w:lang w:val="fr-FR" w:eastAsia="en-GB"/>
        </w:rPr>
        <w:t>-4</w:t>
      </w:r>
      <w:r w:rsidR="007F7590" w:rsidRPr="0070292F">
        <w:rPr>
          <w:lang w:val="fr-FR" w:eastAsia="en-GB"/>
        </w:rPr>
        <w:t>4</w:t>
      </w:r>
      <w:r w:rsidRPr="0070292F">
        <w:rPr>
          <w:lang w:val="fr-FR" w:eastAsia="en-GB"/>
        </w:rPr>
        <w:t xml:space="preserve">, 20 avril 2010, et </w:t>
      </w:r>
      <w:r w:rsidRPr="0070292F">
        <w:rPr>
          <w:i/>
          <w:iCs/>
          <w:lang w:val="fr-FR" w:eastAsia="en-GB"/>
        </w:rPr>
        <w:t>Monno c. Italie</w:t>
      </w:r>
      <w:r w:rsidRPr="0070292F">
        <w:rPr>
          <w:iCs/>
          <w:vanish/>
          <w:lang w:val="fr-FR" w:eastAsia="en-GB"/>
        </w:rPr>
        <w:t>,</w:t>
      </w:r>
      <w:r w:rsidRPr="0070292F">
        <w:rPr>
          <w:iCs/>
          <w:lang w:val="fr-FR" w:eastAsia="en-GB"/>
        </w:rPr>
        <w:t xml:space="preserve"> (déc.),</w:t>
      </w:r>
      <w:r w:rsidRPr="0070292F">
        <w:rPr>
          <w:i/>
          <w:iCs/>
          <w:lang w:val="fr-FR" w:eastAsia="en-GB"/>
        </w:rPr>
        <w:t xml:space="preserve"> </w:t>
      </w:r>
      <w:r w:rsidRPr="0070292F">
        <w:rPr>
          <w:iCs/>
          <w:lang w:val="fr-FR" w:eastAsia="en-GB"/>
        </w:rPr>
        <w:t>n</w:t>
      </w:r>
      <w:r w:rsidR="0070292F" w:rsidRPr="0070292F">
        <w:rPr>
          <w:iCs/>
          <w:vertAlign w:val="superscript"/>
          <w:lang w:val="fr-FR" w:eastAsia="en-GB"/>
        </w:rPr>
        <w:t>o</w:t>
      </w:r>
      <w:r w:rsidRPr="0070292F">
        <w:rPr>
          <w:lang w:val="fr-FR" w:eastAsia="en-GB"/>
        </w:rPr>
        <w:t> </w:t>
      </w:r>
      <w:r w:rsidRPr="0070292F">
        <w:rPr>
          <w:iCs/>
          <w:lang w:val="fr-FR" w:eastAsia="en-GB"/>
        </w:rPr>
        <w:t xml:space="preserve">18675/09, </w:t>
      </w:r>
      <w:r w:rsidRPr="0070292F">
        <w:rPr>
          <w:lang w:val="fr-FR"/>
        </w:rPr>
        <w:t>§§ 2</w:t>
      </w:r>
      <w:r w:rsidR="007F7590" w:rsidRPr="0070292F">
        <w:rPr>
          <w:lang w:val="fr-FR"/>
        </w:rPr>
        <w:t>1</w:t>
      </w:r>
      <w:r w:rsidRPr="0070292F">
        <w:rPr>
          <w:lang w:val="fr-FR"/>
        </w:rPr>
        <w:t xml:space="preserve">-23, </w:t>
      </w:r>
      <w:r w:rsidRPr="0070292F">
        <w:rPr>
          <w:iCs/>
          <w:lang w:val="fr-FR" w:eastAsia="en-GB"/>
        </w:rPr>
        <w:t>8 octobre 2013</w:t>
      </w:r>
      <w:r w:rsidRPr="0070292F">
        <w:rPr>
          <w:lang w:val="fr-FR"/>
        </w:rPr>
        <w:t>) examiné la surveillance spéciale avec assignation à résidence et les autres restrictions associées (interdiction de sortir pendant la nuit, interdiction de s</w:t>
      </w:r>
      <w:r w:rsidR="0070292F" w:rsidRPr="0070292F">
        <w:rPr>
          <w:lang w:val="fr-FR"/>
        </w:rPr>
        <w:t>’</w:t>
      </w:r>
      <w:r w:rsidRPr="0070292F">
        <w:rPr>
          <w:lang w:val="fr-FR"/>
        </w:rPr>
        <w:t>éloigner du lieu de résidence, interdiction de fréquenter les cafés, cabarets, salles de jeux et lieux de prostitution et de participer à des réunions publiques, interdiction de fréquenter des personnes ayant fait l</w:t>
      </w:r>
      <w:r w:rsidR="0070292F" w:rsidRPr="0070292F">
        <w:rPr>
          <w:lang w:val="fr-FR"/>
        </w:rPr>
        <w:t>’</w:t>
      </w:r>
      <w:r w:rsidRPr="0070292F">
        <w:rPr>
          <w:lang w:val="fr-FR"/>
        </w:rPr>
        <w:t>objet de condamnations et soumises à des mesures de prévention). Aucune de ces affaires ne présentant des circonstances particulières comparables à celles de l</w:t>
      </w:r>
      <w:r w:rsidR="0070292F" w:rsidRPr="0070292F">
        <w:rPr>
          <w:lang w:val="fr-FR"/>
        </w:rPr>
        <w:t>’</w:t>
      </w:r>
      <w:r w:rsidRPr="0070292F">
        <w:rPr>
          <w:lang w:val="fr-FR"/>
        </w:rPr>
        <w:t xml:space="preserve">affaire </w:t>
      </w:r>
      <w:r w:rsidRPr="0070292F">
        <w:rPr>
          <w:i/>
          <w:lang w:val="fr-FR"/>
        </w:rPr>
        <w:t>Guzzardi</w:t>
      </w:r>
      <w:r w:rsidRPr="0070292F">
        <w:rPr>
          <w:lang w:val="fr-FR"/>
        </w:rPr>
        <w:t>, la Cour a examiné les mesures de prévention en question sous l</w:t>
      </w:r>
      <w:r w:rsidR="0070292F" w:rsidRPr="0070292F">
        <w:rPr>
          <w:lang w:val="fr-FR"/>
        </w:rPr>
        <w:t>’</w:t>
      </w:r>
      <w:r w:rsidRPr="0070292F">
        <w:rPr>
          <w:lang w:val="fr-FR"/>
        </w:rPr>
        <w:t>angle de l</w:t>
      </w:r>
      <w:r w:rsidR="0070292F" w:rsidRPr="0070292F">
        <w:rPr>
          <w:lang w:val="fr-FR"/>
        </w:rPr>
        <w:t>’</w:t>
      </w:r>
      <w:r w:rsidRPr="0070292F">
        <w:rPr>
          <w:lang w:val="fr-FR"/>
        </w:rPr>
        <w:t>article 2 du protocole n</w:t>
      </w:r>
      <w:r w:rsidR="0070292F" w:rsidRPr="0070292F">
        <w:rPr>
          <w:vertAlign w:val="superscript"/>
          <w:lang w:val="fr-FR"/>
        </w:rPr>
        <w:t>o</w:t>
      </w:r>
      <w:r w:rsidRPr="0070292F">
        <w:rPr>
          <w:lang w:val="fr-FR"/>
        </w:rPr>
        <w:t> 4.</w:t>
      </w:r>
    </w:p>
    <w:p w:rsidR="00E33800" w:rsidRPr="0070292F" w:rsidRDefault="00E33800" w:rsidP="0070292F">
      <w:pPr>
        <w:pStyle w:val="OpiPara"/>
        <w:rPr>
          <w:lang w:val="fr-FR"/>
        </w:rPr>
      </w:pPr>
      <w:r w:rsidRPr="0070292F">
        <w:rPr>
          <w:lang w:val="fr-FR"/>
        </w:rPr>
        <w:t>5. Dans ces affaires, la Cour n</w:t>
      </w:r>
      <w:r w:rsidR="0070292F" w:rsidRPr="0070292F">
        <w:rPr>
          <w:lang w:val="fr-FR"/>
        </w:rPr>
        <w:t>’</w:t>
      </w:r>
      <w:r w:rsidRPr="0070292F">
        <w:rPr>
          <w:lang w:val="fr-FR"/>
        </w:rPr>
        <w:t>a trouvé aucun défaut – du point de vue de la prévisibilité et, plus généralement, de la qualité de la loi – à la législation applicable, en particulier la loi n</w:t>
      </w:r>
      <w:r w:rsidR="0070292F" w:rsidRPr="0070292F">
        <w:rPr>
          <w:vertAlign w:val="superscript"/>
          <w:lang w:val="fr-FR"/>
        </w:rPr>
        <w:t>o</w:t>
      </w:r>
      <w:r w:rsidRPr="0070292F">
        <w:rPr>
          <w:lang w:val="fr-FR"/>
        </w:rPr>
        <w:t xml:space="preserve"> 1423 de 1956</w:t>
      </w:r>
      <w:r w:rsidRPr="0070292F">
        <w:rPr>
          <w:rFonts w:eastAsia="Calibri"/>
          <w:lang w:val="fr-FR"/>
        </w:rPr>
        <w:t>.</w:t>
      </w:r>
      <w:r w:rsidRPr="0070292F">
        <w:rPr>
          <w:lang w:val="fr-FR"/>
        </w:rPr>
        <w:t xml:space="preserve"> Il est vrai que dans l</w:t>
      </w:r>
      <w:r w:rsidR="0070292F" w:rsidRPr="0070292F">
        <w:rPr>
          <w:lang w:val="fr-FR"/>
        </w:rPr>
        <w:t>’</w:t>
      </w:r>
      <w:r w:rsidRPr="0070292F">
        <w:rPr>
          <w:lang w:val="fr-FR"/>
        </w:rPr>
        <w:t xml:space="preserve">affaire </w:t>
      </w:r>
      <w:r w:rsidRPr="0070292F">
        <w:rPr>
          <w:i/>
          <w:lang w:val="fr-FR"/>
        </w:rPr>
        <w:t xml:space="preserve">Vito Sante Santoro </w:t>
      </w:r>
      <w:r w:rsidRPr="0070292F">
        <w:rPr>
          <w:lang w:val="fr-FR"/>
        </w:rPr>
        <w:t>la Cour a constaté que la mesure litigieuse non seulement n</w:t>
      </w:r>
      <w:r w:rsidR="0070292F" w:rsidRPr="0070292F">
        <w:rPr>
          <w:lang w:val="fr-FR"/>
        </w:rPr>
        <w:t>’</w:t>
      </w:r>
      <w:r w:rsidRPr="0070292F">
        <w:rPr>
          <w:lang w:val="fr-FR"/>
        </w:rPr>
        <w:t xml:space="preserve">était pas </w:t>
      </w:r>
      <w:r w:rsidRPr="0070292F">
        <w:rPr>
          <w:i/>
          <w:lang w:val="fr-FR"/>
        </w:rPr>
        <w:t>nécessaire</w:t>
      </w:r>
      <w:r w:rsidRPr="0070292F">
        <w:rPr>
          <w:lang w:val="fr-FR"/>
        </w:rPr>
        <w:t>, mais également qu</w:t>
      </w:r>
      <w:r w:rsidR="0070292F" w:rsidRPr="0070292F">
        <w:rPr>
          <w:lang w:val="fr-FR"/>
        </w:rPr>
        <w:t>’</w:t>
      </w:r>
      <w:r w:rsidRPr="0070292F">
        <w:rPr>
          <w:lang w:val="fr-FR"/>
        </w:rPr>
        <w:t>elle n</w:t>
      </w:r>
      <w:r w:rsidR="0070292F" w:rsidRPr="0070292F">
        <w:rPr>
          <w:lang w:val="fr-FR"/>
        </w:rPr>
        <w:t>’</w:t>
      </w:r>
      <w:r w:rsidRPr="0070292F">
        <w:rPr>
          <w:lang w:val="fr-FR"/>
        </w:rPr>
        <w:t>était pas « prévue par la loi » (</w:t>
      </w:r>
      <w:r w:rsidRPr="0070292F">
        <w:rPr>
          <w:i/>
          <w:lang w:val="fr-FR"/>
        </w:rPr>
        <w:t>Vito Sante Santoro</w:t>
      </w:r>
      <w:r w:rsidRPr="0070292F">
        <w:rPr>
          <w:lang w:val="fr-FR"/>
        </w:rPr>
        <w:t>, précité, § 46). Toutefois, dans ce dernier cas il était question d</w:t>
      </w:r>
      <w:r w:rsidR="0070292F" w:rsidRPr="0070292F">
        <w:rPr>
          <w:lang w:val="fr-FR"/>
        </w:rPr>
        <w:t>’</w:t>
      </w:r>
      <w:r w:rsidRPr="0070292F">
        <w:rPr>
          <w:lang w:val="fr-FR"/>
        </w:rPr>
        <w:t xml:space="preserve">une mesure appliquée en dehors du cadre légal, à savoir une mesure préjudiciable à la liberté de circulation du </w:t>
      </w:r>
      <w:r w:rsidRPr="0070292F">
        <w:rPr>
          <w:lang w:val="fr-FR"/>
        </w:rPr>
        <w:lastRenderedPageBreak/>
        <w:t>requérant qui était caduque ; donc même dans cette affaire la Cour n</w:t>
      </w:r>
      <w:r w:rsidR="0070292F" w:rsidRPr="0070292F">
        <w:rPr>
          <w:lang w:val="fr-FR"/>
        </w:rPr>
        <w:t>’</w:t>
      </w:r>
      <w:r w:rsidRPr="0070292F">
        <w:rPr>
          <w:lang w:val="fr-FR"/>
        </w:rPr>
        <w:t>a pas formulé de critiques concernant la qualité de la loi litigieuse.</w:t>
      </w:r>
    </w:p>
    <w:p w:rsidR="00E33800" w:rsidRPr="0070292F" w:rsidRDefault="00E33800" w:rsidP="0070292F">
      <w:pPr>
        <w:pStyle w:val="OpiPara"/>
        <w:rPr>
          <w:lang w:val="fr-FR"/>
        </w:rPr>
      </w:pPr>
      <w:r w:rsidRPr="0070292F">
        <w:rPr>
          <w:lang w:val="fr-FR"/>
        </w:rPr>
        <w:t>6. En revanche, le présent arrêt, d</w:t>
      </w:r>
      <w:r w:rsidR="0070292F" w:rsidRPr="0070292F">
        <w:rPr>
          <w:lang w:val="fr-FR"/>
        </w:rPr>
        <w:t>’</w:t>
      </w:r>
      <w:r w:rsidRPr="0070292F">
        <w:rPr>
          <w:lang w:val="fr-FR"/>
        </w:rPr>
        <w:t>une part, considère que la loi n</w:t>
      </w:r>
      <w:r w:rsidR="0070292F" w:rsidRPr="0070292F">
        <w:rPr>
          <w:vertAlign w:val="superscript"/>
          <w:lang w:val="fr-FR"/>
        </w:rPr>
        <w:t>o</w:t>
      </w:r>
      <w:r w:rsidRPr="0070292F">
        <w:rPr>
          <w:lang w:val="fr-FR"/>
        </w:rPr>
        <w:t> 1423/1956 ne définissait pas les personnes auxquelles les mesures de prévention étaient applicables avec suffisamment de clarté pour satisfaire à l</w:t>
      </w:r>
      <w:r w:rsidR="0070292F" w:rsidRPr="0070292F">
        <w:rPr>
          <w:lang w:val="fr-FR"/>
        </w:rPr>
        <w:t>’</w:t>
      </w:r>
      <w:r w:rsidRPr="0070292F">
        <w:rPr>
          <w:lang w:val="fr-FR"/>
        </w:rPr>
        <w:t>exige</w:t>
      </w:r>
      <w:r w:rsidR="00660392" w:rsidRPr="0070292F">
        <w:rPr>
          <w:lang w:val="fr-FR"/>
        </w:rPr>
        <w:t xml:space="preserve">nce de prévisibilité de la loi </w:t>
      </w:r>
      <w:r w:rsidRPr="0070292F">
        <w:rPr>
          <w:lang w:val="fr-FR"/>
        </w:rPr>
        <w:t>et, d</w:t>
      </w:r>
      <w:r w:rsidR="0070292F" w:rsidRPr="0070292F">
        <w:rPr>
          <w:lang w:val="fr-FR"/>
        </w:rPr>
        <w:t>’</w:t>
      </w:r>
      <w:r w:rsidRPr="0070292F">
        <w:rPr>
          <w:lang w:val="fr-FR"/>
        </w:rPr>
        <w:t>autre part, estime que la même loi était libellée en des termes vagues et généraux qui ne définissaient pas avec une précision et une clarté suffisantes le contenu de certaines mesures de prévention, et donc que cette loi ne remplissait pas les conditions de prévisibilité telles qu</w:t>
      </w:r>
      <w:r w:rsidR="0070292F" w:rsidRPr="0070292F">
        <w:rPr>
          <w:lang w:val="fr-FR"/>
        </w:rPr>
        <w:t>’</w:t>
      </w:r>
      <w:r w:rsidRPr="0070292F">
        <w:rPr>
          <w:lang w:val="fr-FR"/>
        </w:rPr>
        <w:t xml:space="preserve">elles se dégagent de la jurisprudence de la Cour (paragraphe </w:t>
      </w:r>
      <w:r w:rsidR="00660392" w:rsidRPr="0070292F">
        <w:rPr>
          <w:lang w:val="fr-FR"/>
        </w:rPr>
        <w:t>125</w:t>
      </w:r>
      <w:r w:rsidR="005347FD" w:rsidRPr="0070292F">
        <w:rPr>
          <w:lang w:val="fr-FR"/>
        </w:rPr>
        <w:t xml:space="preserve"> </w:t>
      </w:r>
      <w:r w:rsidRPr="0070292F">
        <w:rPr>
          <w:lang w:val="fr-FR"/>
        </w:rPr>
        <w:t>de l</w:t>
      </w:r>
      <w:r w:rsidR="0070292F" w:rsidRPr="0070292F">
        <w:rPr>
          <w:lang w:val="fr-FR"/>
        </w:rPr>
        <w:t>’</w:t>
      </w:r>
      <w:r w:rsidRPr="0070292F">
        <w:rPr>
          <w:lang w:val="fr-FR"/>
        </w:rPr>
        <w:t>arrêt).</w:t>
      </w:r>
    </w:p>
    <w:p w:rsidR="00E33800" w:rsidRPr="0070292F" w:rsidRDefault="00E33800" w:rsidP="0070292F">
      <w:pPr>
        <w:pStyle w:val="OpiPara"/>
        <w:rPr>
          <w:rFonts w:eastAsia="Cambria"/>
          <w:lang w:val="fr-FR"/>
        </w:rPr>
      </w:pPr>
      <w:r w:rsidRPr="0070292F">
        <w:rPr>
          <w:lang w:val="fr-FR"/>
        </w:rPr>
        <w:t>7. À notre avis, il n</w:t>
      </w:r>
      <w:r w:rsidR="0070292F" w:rsidRPr="0070292F">
        <w:rPr>
          <w:lang w:val="fr-FR"/>
        </w:rPr>
        <w:t>’</w:t>
      </w:r>
      <w:r w:rsidRPr="0070292F">
        <w:rPr>
          <w:lang w:val="fr-FR"/>
        </w:rPr>
        <w:t>était pas nécessaire d</w:t>
      </w:r>
      <w:r w:rsidR="0070292F" w:rsidRPr="0070292F">
        <w:rPr>
          <w:lang w:val="fr-FR"/>
        </w:rPr>
        <w:t>’</w:t>
      </w:r>
      <w:r w:rsidRPr="0070292F">
        <w:rPr>
          <w:lang w:val="fr-FR"/>
        </w:rPr>
        <w:t>abandonner une jurisprudence qui, s</w:t>
      </w:r>
      <w:r w:rsidR="0070292F" w:rsidRPr="0070292F">
        <w:rPr>
          <w:lang w:val="fr-FR"/>
        </w:rPr>
        <w:t>’</w:t>
      </w:r>
      <w:r w:rsidRPr="0070292F">
        <w:rPr>
          <w:lang w:val="fr-FR"/>
        </w:rPr>
        <w:t>étalant sur plusieurs années, s</w:t>
      </w:r>
      <w:r w:rsidR="0070292F" w:rsidRPr="0070292F">
        <w:rPr>
          <w:lang w:val="fr-FR"/>
        </w:rPr>
        <w:t>’</w:t>
      </w:r>
      <w:r w:rsidRPr="0070292F">
        <w:rPr>
          <w:lang w:val="fr-FR"/>
        </w:rPr>
        <w:t>était désormais consolidée, d</w:t>
      </w:r>
      <w:r w:rsidR="0070292F" w:rsidRPr="0070292F">
        <w:rPr>
          <w:lang w:val="fr-FR"/>
        </w:rPr>
        <w:t>’</w:t>
      </w:r>
      <w:r w:rsidRPr="0070292F">
        <w:rPr>
          <w:lang w:val="fr-FR"/>
        </w:rPr>
        <w:t>autant que les juridictions italiennes, en premier lieu la Cour constitutionnelle, avaient développé une jurisprudence précise exactement sur la question de savoir si la législation nationale sur l</w:t>
      </w:r>
      <w:r w:rsidR="0070292F" w:rsidRPr="0070292F">
        <w:rPr>
          <w:lang w:val="fr-FR"/>
        </w:rPr>
        <w:t>’</w:t>
      </w:r>
      <w:r w:rsidRPr="0070292F">
        <w:rPr>
          <w:lang w:val="fr-FR"/>
        </w:rPr>
        <w:t>application des mesures de prévention était suffisamment claire et prévisible, déclarant inconstitutionnelles, le cas échéant, des parties de la législation qui ne répondaient pas à ces critères. Ainsi, d</w:t>
      </w:r>
      <w:r w:rsidRPr="0070292F">
        <w:rPr>
          <w:rFonts w:eastAsia="Cambria"/>
          <w:lang w:val="fr-FR"/>
        </w:rPr>
        <w:t>ans son arrêt nº 177 de 1980, la Cour constitutionnelle a constaté que l</w:t>
      </w:r>
      <w:r w:rsidR="0070292F" w:rsidRPr="0070292F">
        <w:rPr>
          <w:rFonts w:eastAsia="Cambria"/>
          <w:lang w:val="fr-FR"/>
        </w:rPr>
        <w:t>’</w:t>
      </w:r>
      <w:r w:rsidRPr="0070292F">
        <w:rPr>
          <w:rFonts w:eastAsia="Cambria"/>
          <w:lang w:val="fr-FR"/>
        </w:rPr>
        <w:t>une des catégories de sujets présentées à l</w:t>
      </w:r>
      <w:r w:rsidR="0070292F" w:rsidRPr="0070292F">
        <w:rPr>
          <w:rFonts w:eastAsia="Cambria"/>
          <w:lang w:val="fr-FR"/>
        </w:rPr>
        <w:t>’</w:t>
      </w:r>
      <w:r w:rsidRPr="0070292F">
        <w:rPr>
          <w:rFonts w:eastAsia="Cambria"/>
          <w:lang w:val="fr-FR"/>
        </w:rPr>
        <w:t>article 1 de la loi de 1956 en vigueur à l</w:t>
      </w:r>
      <w:r w:rsidR="0070292F" w:rsidRPr="0070292F">
        <w:rPr>
          <w:rFonts w:eastAsia="Cambria"/>
          <w:lang w:val="fr-FR"/>
        </w:rPr>
        <w:t>’</w:t>
      </w:r>
      <w:r w:rsidRPr="0070292F">
        <w:rPr>
          <w:rFonts w:eastAsia="Cambria"/>
          <w:lang w:val="fr-FR"/>
        </w:rPr>
        <w:t>époque, celle des personnes « que certains signes extérieurs port[ai]ent à considérer enclines à la délinquance », n</w:t>
      </w:r>
      <w:r w:rsidR="0070292F" w:rsidRPr="0070292F">
        <w:rPr>
          <w:rFonts w:eastAsia="Cambria"/>
          <w:lang w:val="fr-FR"/>
        </w:rPr>
        <w:t>’</w:t>
      </w:r>
      <w:r w:rsidRPr="0070292F">
        <w:rPr>
          <w:rFonts w:eastAsia="Cambria"/>
          <w:lang w:val="fr-FR"/>
        </w:rPr>
        <w:t>était pas suffisamment détaillée par la loi et ne permettait pas de prévoir qui pouvait être visé par les mesures de prévention et dans quelles conditions, en raison de la trop grande marge d</w:t>
      </w:r>
      <w:r w:rsidR="0070292F" w:rsidRPr="0070292F">
        <w:rPr>
          <w:rFonts w:eastAsia="Cambria"/>
          <w:lang w:val="fr-FR"/>
        </w:rPr>
        <w:t>’</w:t>
      </w:r>
      <w:r w:rsidRPr="0070292F">
        <w:rPr>
          <w:rFonts w:eastAsia="Cambria"/>
          <w:lang w:val="fr-FR"/>
        </w:rPr>
        <w:t>appréciation des autorités. La Cour constitutionnelle a également conclu à la violation du principe de légalité applicable en matière de mesures de prévention, selon l</w:t>
      </w:r>
      <w:r w:rsidR="0070292F" w:rsidRPr="0070292F">
        <w:rPr>
          <w:rFonts w:eastAsia="Cambria"/>
          <w:lang w:val="fr-FR"/>
        </w:rPr>
        <w:t>’</w:t>
      </w:r>
      <w:r w:rsidRPr="0070292F">
        <w:rPr>
          <w:rFonts w:eastAsia="Cambria"/>
          <w:lang w:val="fr-FR"/>
        </w:rPr>
        <w:t>article 13 (liberté personnelle) et l</w:t>
      </w:r>
      <w:r w:rsidR="0070292F" w:rsidRPr="0070292F">
        <w:rPr>
          <w:rFonts w:eastAsia="Cambria"/>
          <w:lang w:val="fr-FR"/>
        </w:rPr>
        <w:t>’</w:t>
      </w:r>
      <w:r w:rsidRPr="0070292F">
        <w:rPr>
          <w:rFonts w:eastAsia="Cambria"/>
          <w:lang w:val="fr-FR"/>
        </w:rPr>
        <w:t>article 25 (mesures de sûreté).</w:t>
      </w:r>
    </w:p>
    <w:p w:rsidR="00E33800" w:rsidRPr="0070292F" w:rsidRDefault="00E33800" w:rsidP="0070292F">
      <w:pPr>
        <w:pStyle w:val="OpiPara"/>
        <w:rPr>
          <w:rFonts w:eastAsia="Cambria"/>
          <w:lang w:val="fr-FR"/>
        </w:rPr>
      </w:pPr>
      <w:r w:rsidRPr="0070292F">
        <w:rPr>
          <w:lang w:val="fr-FR"/>
        </w:rPr>
        <w:t>8. La longue série des arrêts de la Cour constitutionnelle italienne qui se sont penchés sur cette question est amplement évoquée dans l</w:t>
      </w:r>
      <w:r w:rsidR="0070292F" w:rsidRPr="0070292F">
        <w:rPr>
          <w:lang w:val="fr-FR"/>
        </w:rPr>
        <w:t>’</w:t>
      </w:r>
      <w:r w:rsidRPr="0070292F">
        <w:rPr>
          <w:lang w:val="fr-FR"/>
        </w:rPr>
        <w:t>arrêt (paragraphes 43-61). Nous attirons en particulier l</w:t>
      </w:r>
      <w:r w:rsidR="0070292F" w:rsidRPr="0070292F">
        <w:rPr>
          <w:lang w:val="fr-FR"/>
        </w:rPr>
        <w:t>’</w:t>
      </w:r>
      <w:r w:rsidRPr="0070292F">
        <w:rPr>
          <w:lang w:val="fr-FR"/>
        </w:rPr>
        <w:t>attention sur l</w:t>
      </w:r>
      <w:r w:rsidR="0070292F" w:rsidRPr="0070292F">
        <w:rPr>
          <w:lang w:val="fr-FR"/>
        </w:rPr>
        <w:t>’</w:t>
      </w:r>
      <w:r w:rsidRPr="0070292F">
        <w:rPr>
          <w:rFonts w:eastAsia="Cambria"/>
          <w:lang w:val="fr-FR"/>
        </w:rPr>
        <w:t>arrêt nº 177 de 1980 susmentionné, qui contient une synthèse de la jurisprudence d</w:t>
      </w:r>
      <w:r w:rsidR="0070292F" w:rsidRPr="0070292F">
        <w:rPr>
          <w:rFonts w:eastAsia="Cambria"/>
          <w:lang w:val="fr-FR"/>
        </w:rPr>
        <w:t>’</w:t>
      </w:r>
      <w:r w:rsidRPr="0070292F">
        <w:rPr>
          <w:rFonts w:eastAsia="Cambria"/>
          <w:lang w:val="fr-FR"/>
        </w:rPr>
        <w:t>alors, concernant notamment l</w:t>
      </w:r>
      <w:r w:rsidR="0070292F" w:rsidRPr="0070292F">
        <w:rPr>
          <w:rFonts w:eastAsia="Cambria"/>
          <w:lang w:val="fr-FR"/>
        </w:rPr>
        <w:t>’</w:t>
      </w:r>
      <w:r w:rsidRPr="0070292F">
        <w:rPr>
          <w:rFonts w:eastAsia="Cambria"/>
          <w:lang w:val="fr-FR"/>
        </w:rPr>
        <w:t>identification des destinataires des mesures de prévention, ainsi que sur l</w:t>
      </w:r>
      <w:r w:rsidR="0070292F" w:rsidRPr="0070292F">
        <w:rPr>
          <w:rFonts w:eastAsia="Cambria"/>
          <w:lang w:val="fr-FR"/>
        </w:rPr>
        <w:t>’</w:t>
      </w:r>
      <w:r w:rsidRPr="0070292F">
        <w:rPr>
          <w:rFonts w:eastAsia="Cambria"/>
          <w:lang w:val="fr-FR"/>
        </w:rPr>
        <w:t>arrêt n</w:t>
      </w:r>
      <w:r w:rsidRPr="0070292F">
        <w:rPr>
          <w:rFonts w:eastAsia="Cambria"/>
          <w:vertAlign w:val="superscript"/>
          <w:lang w:val="fr-FR"/>
        </w:rPr>
        <w:t>o</w:t>
      </w:r>
      <w:r w:rsidRPr="0070292F">
        <w:rPr>
          <w:rFonts w:eastAsia="Cambria"/>
          <w:lang w:val="fr-FR"/>
        </w:rPr>
        <w:t xml:space="preserve"> 282 de 2010, qui porte en particulier sur les mesures applicables.</w:t>
      </w:r>
    </w:p>
    <w:p w:rsidR="0070292F" w:rsidRPr="0070292F" w:rsidRDefault="00E33800" w:rsidP="0070292F">
      <w:pPr>
        <w:pStyle w:val="OpiPara"/>
        <w:rPr>
          <w:rFonts w:eastAsia="Cambria"/>
          <w:lang w:val="fr-FR"/>
        </w:rPr>
      </w:pPr>
      <w:r w:rsidRPr="0070292F">
        <w:rPr>
          <w:rFonts w:eastAsia="Cambria"/>
          <w:lang w:val="fr-FR"/>
        </w:rPr>
        <w:t>9. À nos yeux, cette jurisprudence a expliqué de manière satisfaisante que, nonobstant la nature assez générale des prévisions législatives, il n</w:t>
      </w:r>
      <w:r w:rsidR="0070292F" w:rsidRPr="0070292F">
        <w:rPr>
          <w:rFonts w:eastAsia="Cambria"/>
          <w:lang w:val="fr-FR"/>
        </w:rPr>
        <w:t>’</w:t>
      </w:r>
      <w:r w:rsidRPr="0070292F">
        <w:rPr>
          <w:rFonts w:eastAsia="Cambria"/>
          <w:lang w:val="fr-FR"/>
        </w:rPr>
        <w:t>y avait pas de problème de prévisibilité concernant l</w:t>
      </w:r>
      <w:r w:rsidR="0070292F" w:rsidRPr="0070292F">
        <w:rPr>
          <w:rFonts w:eastAsia="Cambria"/>
          <w:lang w:val="fr-FR"/>
        </w:rPr>
        <w:t>’</w:t>
      </w:r>
      <w:r w:rsidRPr="0070292F">
        <w:rPr>
          <w:rFonts w:eastAsia="Cambria"/>
          <w:lang w:val="fr-FR"/>
        </w:rPr>
        <w:t>identification des destinataires des mesures de prévention ou les mesures applicables.</w:t>
      </w:r>
    </w:p>
    <w:p w:rsidR="0070292F" w:rsidRPr="0070292F" w:rsidRDefault="00E33800" w:rsidP="0070292F">
      <w:pPr>
        <w:pStyle w:val="OpiPara"/>
        <w:rPr>
          <w:rFonts w:eastAsia="Cambria"/>
          <w:lang w:val="fr-FR"/>
        </w:rPr>
      </w:pPr>
      <w:r w:rsidRPr="0070292F">
        <w:rPr>
          <w:rFonts w:eastAsia="Cambria"/>
          <w:lang w:val="fr-FR"/>
        </w:rPr>
        <w:t>10. À propos de ces dernières mesures, dans l</w:t>
      </w:r>
      <w:r w:rsidR="0070292F" w:rsidRPr="0070292F">
        <w:rPr>
          <w:rFonts w:eastAsia="Cambria"/>
          <w:lang w:val="fr-FR"/>
        </w:rPr>
        <w:t>’</w:t>
      </w:r>
      <w:r w:rsidRPr="0070292F">
        <w:rPr>
          <w:rFonts w:eastAsia="Cambria"/>
          <w:lang w:val="fr-FR"/>
        </w:rPr>
        <w:t>affaire objet de l</w:t>
      </w:r>
      <w:r w:rsidR="0070292F" w:rsidRPr="0070292F">
        <w:rPr>
          <w:rFonts w:eastAsia="Cambria"/>
          <w:lang w:val="fr-FR"/>
        </w:rPr>
        <w:t>’</w:t>
      </w:r>
      <w:r w:rsidRPr="0070292F">
        <w:rPr>
          <w:rFonts w:eastAsia="Cambria"/>
          <w:lang w:val="fr-FR"/>
        </w:rPr>
        <w:t>arrêt n</w:t>
      </w:r>
      <w:r w:rsidRPr="0070292F">
        <w:rPr>
          <w:rFonts w:eastAsia="Cambria"/>
          <w:vertAlign w:val="superscript"/>
          <w:lang w:val="fr-FR"/>
        </w:rPr>
        <w:t>o</w:t>
      </w:r>
      <w:r w:rsidRPr="0070292F">
        <w:rPr>
          <w:rFonts w:eastAsia="Cambria"/>
          <w:lang w:val="fr-FR"/>
        </w:rPr>
        <w:t> 282 de 2010, la Cour constitutionnelle était appelée à déterminer si l</w:t>
      </w:r>
      <w:r w:rsidR="0070292F" w:rsidRPr="0070292F">
        <w:rPr>
          <w:rFonts w:eastAsia="Cambria"/>
          <w:lang w:val="fr-FR"/>
        </w:rPr>
        <w:t>’</w:t>
      </w:r>
      <w:r w:rsidRPr="0070292F">
        <w:rPr>
          <w:rFonts w:eastAsia="Cambria"/>
          <w:lang w:val="fr-FR"/>
        </w:rPr>
        <w:t>article 9 § 2 de la loi n</w:t>
      </w:r>
      <w:r w:rsidRPr="0070292F">
        <w:rPr>
          <w:rFonts w:eastAsia="Cambria"/>
          <w:vertAlign w:val="superscript"/>
          <w:lang w:val="fr-FR"/>
        </w:rPr>
        <w:t>o</w:t>
      </w:r>
      <w:r w:rsidRPr="0070292F">
        <w:rPr>
          <w:rFonts w:eastAsia="Cambria"/>
          <w:lang w:val="fr-FR"/>
        </w:rPr>
        <w:t> 1423 du 27 décembre 1956 était compatible avec l</w:t>
      </w:r>
      <w:r w:rsidR="0070292F" w:rsidRPr="0070292F">
        <w:rPr>
          <w:rFonts w:eastAsia="Cambria"/>
          <w:lang w:val="fr-FR"/>
        </w:rPr>
        <w:t>’</w:t>
      </w:r>
      <w:r w:rsidRPr="0070292F">
        <w:rPr>
          <w:rFonts w:eastAsia="Cambria"/>
          <w:lang w:val="fr-FR"/>
        </w:rPr>
        <w:t>article 25, alinéa 2, de la Constitution en ce qu</w:t>
      </w:r>
      <w:r w:rsidR="0070292F" w:rsidRPr="0070292F">
        <w:rPr>
          <w:rFonts w:eastAsia="Cambria"/>
          <w:lang w:val="fr-FR"/>
        </w:rPr>
        <w:t>’</w:t>
      </w:r>
      <w:r w:rsidRPr="0070292F">
        <w:rPr>
          <w:rFonts w:eastAsia="Cambria"/>
          <w:lang w:val="fr-FR"/>
        </w:rPr>
        <w:t>il sanctionnait pénalement le non-respect de l</w:t>
      </w:r>
      <w:r w:rsidR="0070292F" w:rsidRPr="0070292F">
        <w:rPr>
          <w:rFonts w:eastAsia="Cambria"/>
          <w:lang w:val="fr-FR"/>
        </w:rPr>
        <w:t>’</w:t>
      </w:r>
      <w:r w:rsidRPr="0070292F">
        <w:rPr>
          <w:rFonts w:eastAsia="Cambria"/>
          <w:lang w:val="fr-FR"/>
        </w:rPr>
        <w:t>obligation formulée à l</w:t>
      </w:r>
      <w:r w:rsidR="0070292F" w:rsidRPr="0070292F">
        <w:rPr>
          <w:rFonts w:eastAsia="Cambria"/>
          <w:lang w:val="fr-FR"/>
        </w:rPr>
        <w:t>’</w:t>
      </w:r>
      <w:r w:rsidRPr="0070292F">
        <w:rPr>
          <w:rFonts w:eastAsia="Cambria"/>
          <w:lang w:val="fr-FR"/>
        </w:rPr>
        <w:t xml:space="preserve">article 5, alinéa 3, première </w:t>
      </w:r>
      <w:r w:rsidRPr="0070292F">
        <w:rPr>
          <w:rFonts w:eastAsia="Cambria"/>
          <w:lang w:val="fr-FR"/>
        </w:rPr>
        <w:lastRenderedPageBreak/>
        <w:t>partie, de ladite loi, à savoir de « vivre honnêtement et dans le respect des lois et de ne pas prêter à soupçon », et s</w:t>
      </w:r>
      <w:r w:rsidR="0070292F" w:rsidRPr="0070292F">
        <w:rPr>
          <w:rFonts w:eastAsia="Cambria"/>
          <w:lang w:val="fr-FR"/>
        </w:rPr>
        <w:t>’</w:t>
      </w:r>
      <w:r w:rsidRPr="0070292F">
        <w:rPr>
          <w:rFonts w:eastAsia="Cambria"/>
          <w:lang w:val="fr-FR"/>
        </w:rPr>
        <w:t>il violait le principe de la prévision législative exhaustive des situations où la norme pénale trouve à s</w:t>
      </w:r>
      <w:r w:rsidR="0070292F" w:rsidRPr="0070292F">
        <w:rPr>
          <w:rFonts w:eastAsia="Cambria"/>
          <w:lang w:val="fr-FR"/>
        </w:rPr>
        <w:t>’</w:t>
      </w:r>
      <w:r w:rsidRPr="0070292F">
        <w:rPr>
          <w:rFonts w:eastAsia="Cambria"/>
          <w:lang w:val="fr-FR"/>
        </w:rPr>
        <w:t>appliquer (</w:t>
      </w:r>
      <w:r w:rsidRPr="0070292F">
        <w:rPr>
          <w:rFonts w:eastAsia="Cambria"/>
          <w:i/>
          <w:lang w:val="fr-FR"/>
        </w:rPr>
        <w:t>principio di tassatività</w:t>
      </w:r>
      <w:r w:rsidRPr="0070292F">
        <w:rPr>
          <w:rFonts w:eastAsia="Cambria"/>
          <w:lang w:val="fr-FR"/>
        </w:rPr>
        <w:t>).</w:t>
      </w:r>
    </w:p>
    <w:p w:rsidR="00E33800" w:rsidRPr="0070292F" w:rsidRDefault="00E33800" w:rsidP="0070292F">
      <w:pPr>
        <w:pStyle w:val="OpiPara"/>
        <w:rPr>
          <w:rFonts w:eastAsia="Cambria"/>
          <w:lang w:val="fr-FR"/>
        </w:rPr>
      </w:pPr>
      <w:r w:rsidRPr="0070292F">
        <w:rPr>
          <w:rFonts w:eastAsia="Cambria"/>
          <w:lang w:val="fr-FR"/>
        </w:rPr>
        <w:t>11. Cet arrêt de 2010 a expliqué, à notre avis de manière convaincante, pourquoi l</w:t>
      </w:r>
      <w:r w:rsidR="0070292F" w:rsidRPr="0070292F">
        <w:rPr>
          <w:rFonts w:eastAsia="Cambria"/>
          <w:lang w:val="fr-FR"/>
        </w:rPr>
        <w:t>’</w:t>
      </w:r>
      <w:r w:rsidRPr="0070292F">
        <w:rPr>
          <w:rFonts w:eastAsia="Cambria"/>
          <w:lang w:val="fr-FR"/>
        </w:rPr>
        <w:t>obligation de « vivre honnêtement », si elle était appréciée de manière isolée, apparaissait en soi générique et susceptible de revêtir des significations multiples ; et pourquoi, si au contraire on la plaçait dans le contexte de toutes les autres obligations posées par l</w:t>
      </w:r>
      <w:r w:rsidR="0070292F" w:rsidRPr="0070292F">
        <w:rPr>
          <w:rFonts w:eastAsia="Cambria"/>
          <w:lang w:val="fr-FR"/>
        </w:rPr>
        <w:t>’</w:t>
      </w:r>
      <w:r w:rsidRPr="0070292F">
        <w:rPr>
          <w:rFonts w:eastAsia="Cambria"/>
          <w:lang w:val="fr-FR"/>
        </w:rPr>
        <w:t>article 5 de la loi n</w:t>
      </w:r>
      <w:r w:rsidRPr="0070292F">
        <w:rPr>
          <w:rFonts w:eastAsia="Cambria"/>
          <w:vertAlign w:val="superscript"/>
          <w:lang w:val="fr-FR"/>
        </w:rPr>
        <w:t>o</w:t>
      </w:r>
      <w:r w:rsidRPr="0070292F">
        <w:rPr>
          <w:rFonts w:eastAsia="Cambria"/>
          <w:lang w:val="fr-FR"/>
        </w:rPr>
        <w:t> 1423/1956, elle avait un contenu plus clair, impliquant un devoir pour la personne concernée d</w:t>
      </w:r>
      <w:r w:rsidR="0070292F" w:rsidRPr="0070292F">
        <w:rPr>
          <w:rFonts w:eastAsia="Cambria"/>
          <w:lang w:val="fr-FR"/>
        </w:rPr>
        <w:t>’</w:t>
      </w:r>
      <w:r w:rsidRPr="0070292F">
        <w:rPr>
          <w:rFonts w:eastAsia="Cambria"/>
          <w:lang w:val="fr-FR"/>
        </w:rPr>
        <w:t>adapter sa conduite à un mode de vie respectant l</w:t>
      </w:r>
      <w:r w:rsidR="0070292F" w:rsidRPr="0070292F">
        <w:rPr>
          <w:rFonts w:eastAsia="Cambria"/>
          <w:lang w:val="fr-FR"/>
        </w:rPr>
        <w:t>’</w:t>
      </w:r>
      <w:r w:rsidRPr="0070292F">
        <w:rPr>
          <w:rFonts w:eastAsia="Cambria"/>
          <w:lang w:val="fr-FR"/>
        </w:rPr>
        <w:t>ensemble des prescriptions susmentionnées, de sorte que la formule « vivre honnêtement » se concrétise et s</w:t>
      </w:r>
      <w:r w:rsidR="0070292F" w:rsidRPr="0070292F">
        <w:rPr>
          <w:rFonts w:eastAsia="Cambria"/>
          <w:lang w:val="fr-FR"/>
        </w:rPr>
        <w:t>’</w:t>
      </w:r>
      <w:r w:rsidRPr="0070292F">
        <w:rPr>
          <w:rFonts w:eastAsia="Cambria"/>
          <w:lang w:val="fr-FR"/>
        </w:rPr>
        <w:t>individualise. L</w:t>
      </w:r>
      <w:r w:rsidR="0070292F" w:rsidRPr="0070292F">
        <w:rPr>
          <w:rFonts w:eastAsia="Cambria"/>
          <w:lang w:val="fr-FR"/>
        </w:rPr>
        <w:t>’</w:t>
      </w:r>
      <w:r w:rsidRPr="0070292F">
        <w:rPr>
          <w:rFonts w:eastAsia="Cambria"/>
          <w:lang w:val="fr-FR"/>
        </w:rPr>
        <w:t>arrêt en question a précisé, d</w:t>
      </w:r>
      <w:r w:rsidR="0070292F" w:rsidRPr="0070292F">
        <w:rPr>
          <w:rFonts w:eastAsia="Cambria"/>
          <w:lang w:val="fr-FR"/>
        </w:rPr>
        <w:t>’</w:t>
      </w:r>
      <w:r w:rsidRPr="0070292F">
        <w:rPr>
          <w:rFonts w:eastAsia="Cambria"/>
          <w:lang w:val="fr-FR"/>
        </w:rPr>
        <w:t>autre part, que concernant l</w:t>
      </w:r>
      <w:r w:rsidR="0070292F" w:rsidRPr="0070292F">
        <w:rPr>
          <w:rFonts w:eastAsia="Cambria"/>
          <w:lang w:val="fr-FR"/>
        </w:rPr>
        <w:t>’</w:t>
      </w:r>
      <w:r w:rsidRPr="0070292F">
        <w:rPr>
          <w:rFonts w:eastAsia="Cambria"/>
          <w:lang w:val="fr-FR"/>
        </w:rPr>
        <w:t>obligation de « ne pas prêter à soupçon », il ne fallait pas davantage la prendre isolément mais dans le contexte des autres obligations posées par l</w:t>
      </w:r>
      <w:r w:rsidR="0070292F" w:rsidRPr="0070292F">
        <w:rPr>
          <w:rFonts w:eastAsia="Cambria"/>
          <w:lang w:val="fr-FR"/>
        </w:rPr>
        <w:t>’</w:t>
      </w:r>
      <w:r w:rsidRPr="0070292F">
        <w:rPr>
          <w:rFonts w:eastAsia="Cambria"/>
          <w:lang w:val="fr-FR"/>
        </w:rPr>
        <w:t>article 5 de la loi n</w:t>
      </w:r>
      <w:r w:rsidRPr="0070292F">
        <w:rPr>
          <w:rFonts w:eastAsia="Cambria"/>
          <w:vertAlign w:val="superscript"/>
          <w:lang w:val="fr-FR"/>
        </w:rPr>
        <w:t>o</w:t>
      </w:r>
      <w:r w:rsidRPr="0070292F">
        <w:rPr>
          <w:rFonts w:eastAsia="Cambria"/>
          <w:lang w:val="fr-FR"/>
        </w:rPr>
        <w:t> 1423/1956, comme l</w:t>
      </w:r>
      <w:r w:rsidR="0070292F" w:rsidRPr="0070292F">
        <w:rPr>
          <w:rFonts w:eastAsia="Cambria"/>
          <w:lang w:val="fr-FR"/>
        </w:rPr>
        <w:t>’</w:t>
      </w:r>
      <w:r w:rsidRPr="0070292F">
        <w:rPr>
          <w:rFonts w:eastAsia="Cambria"/>
          <w:lang w:val="fr-FR"/>
        </w:rPr>
        <w:t>interdiction faite à la personne soumise à une surveillance spéciale de fréquenter certains lieux ou individus.</w:t>
      </w:r>
    </w:p>
    <w:p w:rsidR="00E33800" w:rsidRPr="0070292F" w:rsidRDefault="00E33800" w:rsidP="0070292F">
      <w:pPr>
        <w:pStyle w:val="OpiPara"/>
        <w:rPr>
          <w:lang w:val="fr-FR"/>
        </w:rPr>
      </w:pPr>
      <w:r w:rsidRPr="0070292F">
        <w:rPr>
          <w:rFonts w:eastAsia="Cambria"/>
          <w:lang w:val="fr-FR"/>
        </w:rPr>
        <w:t>12. L</w:t>
      </w:r>
      <w:r w:rsidR="0070292F" w:rsidRPr="0070292F">
        <w:rPr>
          <w:rFonts w:eastAsia="Cambria"/>
          <w:lang w:val="fr-FR"/>
        </w:rPr>
        <w:t>’</w:t>
      </w:r>
      <w:r w:rsidRPr="0070292F">
        <w:rPr>
          <w:rFonts w:eastAsia="Cambria"/>
          <w:lang w:val="fr-FR"/>
        </w:rPr>
        <w:t xml:space="preserve">arrêt de la Grande Chambre </w:t>
      </w:r>
      <w:r w:rsidRPr="0070292F">
        <w:rPr>
          <w:lang w:val="fr-FR"/>
        </w:rPr>
        <w:t>relève que l</w:t>
      </w:r>
      <w:r w:rsidR="0070292F" w:rsidRPr="0070292F">
        <w:rPr>
          <w:lang w:val="fr-FR"/>
        </w:rPr>
        <w:t>’</w:t>
      </w:r>
      <w:r w:rsidRPr="0070292F">
        <w:rPr>
          <w:lang w:val="fr-FR"/>
        </w:rPr>
        <w:t>interprétation livrée par la Cour constitutionnelle dans son arrêt n</w:t>
      </w:r>
      <w:r w:rsidRPr="0070292F">
        <w:rPr>
          <w:vertAlign w:val="superscript"/>
          <w:lang w:val="fr-FR"/>
        </w:rPr>
        <w:t>o</w:t>
      </w:r>
      <w:r w:rsidRPr="0070292F">
        <w:rPr>
          <w:lang w:val="fr-FR"/>
        </w:rPr>
        <w:t xml:space="preserve"> 282 de 2010 est postérieure aux faits de l</w:t>
      </w:r>
      <w:r w:rsidR="0070292F" w:rsidRPr="0070292F">
        <w:rPr>
          <w:lang w:val="fr-FR"/>
        </w:rPr>
        <w:t>’</w:t>
      </w:r>
      <w:r w:rsidRPr="0070292F">
        <w:rPr>
          <w:lang w:val="fr-FR"/>
        </w:rPr>
        <w:t>espèce et qu</w:t>
      </w:r>
      <w:r w:rsidR="0070292F" w:rsidRPr="0070292F">
        <w:rPr>
          <w:lang w:val="fr-FR"/>
        </w:rPr>
        <w:t>’</w:t>
      </w:r>
      <w:r w:rsidRPr="0070292F">
        <w:rPr>
          <w:lang w:val="fr-FR"/>
        </w:rPr>
        <w:t>il était dès lors impossible au requérant d</w:t>
      </w:r>
      <w:r w:rsidR="0070292F" w:rsidRPr="0070292F">
        <w:rPr>
          <w:lang w:val="fr-FR"/>
        </w:rPr>
        <w:t>’</w:t>
      </w:r>
      <w:r w:rsidRPr="0070292F">
        <w:rPr>
          <w:lang w:val="fr-FR"/>
        </w:rPr>
        <w:t>établir, à partir de la position de la Cour constitutionnelle ressortant de cet arrêt, la teneur précise de certaines des obligations auxquelles il était soumis dans le cadre de la surveillance spéciale</w:t>
      </w:r>
      <w:r w:rsidRPr="0070292F">
        <w:rPr>
          <w:b/>
          <w:lang w:val="fr-FR"/>
        </w:rPr>
        <w:t xml:space="preserve"> </w:t>
      </w:r>
      <w:r w:rsidRPr="0070292F">
        <w:rPr>
          <w:lang w:val="fr-FR"/>
        </w:rPr>
        <w:t>(paragraphe</w:t>
      </w:r>
      <w:r w:rsidR="007F7590" w:rsidRPr="0070292F">
        <w:rPr>
          <w:lang w:val="fr-FR"/>
        </w:rPr>
        <w:t xml:space="preserve"> 120 </w:t>
      </w:r>
      <w:r w:rsidRPr="0070292F">
        <w:rPr>
          <w:lang w:val="fr-FR"/>
        </w:rPr>
        <w:t>de l</w:t>
      </w:r>
      <w:r w:rsidR="0070292F" w:rsidRPr="0070292F">
        <w:rPr>
          <w:lang w:val="fr-FR"/>
        </w:rPr>
        <w:t>’</w:t>
      </w:r>
      <w:r w:rsidRPr="0070292F">
        <w:rPr>
          <w:lang w:val="fr-FR"/>
        </w:rPr>
        <w:t>arrêt).</w:t>
      </w:r>
      <w:r w:rsidRPr="0070292F">
        <w:rPr>
          <w:b/>
          <w:lang w:val="fr-FR"/>
        </w:rPr>
        <w:t xml:space="preserve"> </w:t>
      </w:r>
      <w:r w:rsidRPr="0070292F">
        <w:rPr>
          <w:lang w:val="fr-FR"/>
        </w:rPr>
        <w:t>À notre avis, cette position de la Cour constitutionnelle conserve toute sa valeur en l</w:t>
      </w:r>
      <w:r w:rsidR="0070292F" w:rsidRPr="0070292F">
        <w:rPr>
          <w:lang w:val="fr-FR"/>
        </w:rPr>
        <w:t>’</w:t>
      </w:r>
      <w:r w:rsidRPr="0070292F">
        <w:rPr>
          <w:lang w:val="fr-FR"/>
        </w:rPr>
        <w:t>espèce, dans la mesure où elle ne fait que confirmer une situation qui existait déjà au moment des faits.</w:t>
      </w:r>
    </w:p>
    <w:p w:rsidR="00E33800" w:rsidRPr="0070292F" w:rsidRDefault="00E33800" w:rsidP="0070292F">
      <w:pPr>
        <w:pStyle w:val="OpiPara"/>
        <w:rPr>
          <w:lang w:val="fr-FR"/>
        </w:rPr>
      </w:pPr>
      <w:r w:rsidRPr="0070292F">
        <w:rPr>
          <w:lang w:val="fr-FR"/>
        </w:rPr>
        <w:t>13. Le fait que la portée et le contenu de la loi n</w:t>
      </w:r>
      <w:r w:rsidR="0070292F" w:rsidRPr="0070292F">
        <w:rPr>
          <w:vertAlign w:val="superscript"/>
          <w:lang w:val="fr-FR"/>
        </w:rPr>
        <w:t>o</w:t>
      </w:r>
      <w:r w:rsidRPr="0070292F">
        <w:rPr>
          <w:lang w:val="fr-FR"/>
        </w:rPr>
        <w:t xml:space="preserve"> 1423/1956</w:t>
      </w:r>
      <w:r w:rsidRPr="0070292F">
        <w:rPr>
          <w:color w:val="1F497D"/>
          <w:lang w:val="fr-FR"/>
        </w:rPr>
        <w:t xml:space="preserve"> </w:t>
      </w:r>
      <w:r w:rsidRPr="0070292F">
        <w:rPr>
          <w:lang w:val="fr-FR"/>
        </w:rPr>
        <w:t>avaient été clarifiés par la jurisprudence nationale – qui avait introduit des garanties importantes et avait spécifié les conditions qui devaient être réunies pour que l</w:t>
      </w:r>
      <w:r w:rsidR="0070292F" w:rsidRPr="0070292F">
        <w:rPr>
          <w:lang w:val="fr-FR"/>
        </w:rPr>
        <w:t>’</w:t>
      </w:r>
      <w:r w:rsidRPr="0070292F">
        <w:rPr>
          <w:lang w:val="fr-FR"/>
        </w:rPr>
        <w:t>on puisse imposer des mesures de prévention – est clairement illustré par la décision de la cour d</w:t>
      </w:r>
      <w:r w:rsidR="0070292F" w:rsidRPr="0070292F">
        <w:rPr>
          <w:lang w:val="fr-FR"/>
        </w:rPr>
        <w:t>’</w:t>
      </w:r>
      <w:r w:rsidRPr="0070292F">
        <w:rPr>
          <w:lang w:val="fr-FR"/>
        </w:rPr>
        <w:t>appel de Bari du 22 janvier 2009. En effet, le raisonnement de cette cour et sa manière d</w:t>
      </w:r>
      <w:r w:rsidR="0070292F" w:rsidRPr="0070292F">
        <w:rPr>
          <w:lang w:val="fr-FR"/>
        </w:rPr>
        <w:t>’</w:t>
      </w:r>
      <w:r w:rsidRPr="0070292F">
        <w:rPr>
          <w:lang w:val="fr-FR"/>
        </w:rPr>
        <w:t>appliquer la loi n</w:t>
      </w:r>
      <w:r w:rsidR="0070292F" w:rsidRPr="0070292F">
        <w:rPr>
          <w:vertAlign w:val="superscript"/>
          <w:lang w:val="fr-FR"/>
        </w:rPr>
        <w:t>o</w:t>
      </w:r>
      <w:r w:rsidRPr="0070292F">
        <w:rPr>
          <w:lang w:val="fr-FR"/>
        </w:rPr>
        <w:t xml:space="preserve"> 1423/1956, telle qu</w:t>
      </w:r>
      <w:r w:rsidR="0070292F" w:rsidRPr="0070292F">
        <w:rPr>
          <w:lang w:val="fr-FR"/>
        </w:rPr>
        <w:t>’</w:t>
      </w:r>
      <w:r w:rsidRPr="0070292F">
        <w:rPr>
          <w:lang w:val="fr-FR"/>
        </w:rPr>
        <w:t>interprétée par la jurisprudence, montrent qu</w:t>
      </w:r>
      <w:r w:rsidR="0070292F" w:rsidRPr="0070292F">
        <w:rPr>
          <w:lang w:val="fr-FR"/>
        </w:rPr>
        <w:t>’</w:t>
      </w:r>
      <w:r w:rsidRPr="0070292F">
        <w:rPr>
          <w:lang w:val="fr-FR"/>
        </w:rPr>
        <w:t>il y avait d</w:t>
      </w:r>
      <w:r w:rsidR="0070292F" w:rsidRPr="0070292F">
        <w:rPr>
          <w:lang w:val="fr-FR"/>
        </w:rPr>
        <w:t>’</w:t>
      </w:r>
      <w:r w:rsidRPr="0070292F">
        <w:rPr>
          <w:lang w:val="fr-FR"/>
        </w:rPr>
        <w:t>importantes garanties et des conditions à remplir. On peut le voir dans le raisonnement de la cour d</w:t>
      </w:r>
      <w:r w:rsidR="0070292F" w:rsidRPr="0070292F">
        <w:rPr>
          <w:lang w:val="fr-FR"/>
        </w:rPr>
        <w:t>’</w:t>
      </w:r>
      <w:r w:rsidRPr="0070292F">
        <w:rPr>
          <w:lang w:val="fr-FR"/>
        </w:rPr>
        <w:t>appel sur le terme de « dangerosité actuelle » de la personne concernée. La cour a en effet souligné qu</w:t>
      </w:r>
      <w:r w:rsidR="0070292F" w:rsidRPr="0070292F">
        <w:rPr>
          <w:lang w:val="fr-FR"/>
        </w:rPr>
        <w:t>’</w:t>
      </w:r>
      <w:r w:rsidRPr="0070292F">
        <w:rPr>
          <w:lang w:val="fr-FR"/>
        </w:rPr>
        <w:t>il fallait prendre en compte plusieurs éléments, y compris des condamnations pénales antérieures, des investigations et des activités en cours, le niveau de vie et les moyens de subsistance de l</w:t>
      </w:r>
      <w:r w:rsidR="0070292F" w:rsidRPr="0070292F">
        <w:rPr>
          <w:lang w:val="fr-FR"/>
        </w:rPr>
        <w:t>’</w:t>
      </w:r>
      <w:r w:rsidRPr="0070292F">
        <w:rPr>
          <w:lang w:val="fr-FR"/>
        </w:rPr>
        <w:t>intéressé ainsi que les personnes fréquentées. Il s</w:t>
      </w:r>
      <w:r w:rsidR="0070292F" w:rsidRPr="0070292F">
        <w:rPr>
          <w:lang w:val="fr-FR"/>
        </w:rPr>
        <w:t>’</w:t>
      </w:r>
      <w:r w:rsidRPr="0070292F">
        <w:rPr>
          <w:lang w:val="fr-FR"/>
        </w:rPr>
        <w:t>ensuit que l</w:t>
      </w:r>
      <w:r w:rsidR="0070292F" w:rsidRPr="0070292F">
        <w:rPr>
          <w:lang w:val="fr-FR"/>
        </w:rPr>
        <w:t>’</w:t>
      </w:r>
      <w:r w:rsidRPr="0070292F">
        <w:rPr>
          <w:lang w:val="fr-FR"/>
        </w:rPr>
        <w:t>évaluation appelait des éléments objectifs, une base factuelle suffisante ainsi que des preuves et des renseignements à jour. C</w:t>
      </w:r>
      <w:r w:rsidR="0070292F" w:rsidRPr="0070292F">
        <w:rPr>
          <w:lang w:val="fr-FR"/>
        </w:rPr>
        <w:t>’</w:t>
      </w:r>
      <w:r w:rsidRPr="0070292F">
        <w:rPr>
          <w:lang w:val="fr-FR"/>
        </w:rPr>
        <w:t>est justement son application des conditions telles qu</w:t>
      </w:r>
      <w:r w:rsidR="0070292F" w:rsidRPr="0070292F">
        <w:rPr>
          <w:lang w:val="fr-FR"/>
        </w:rPr>
        <w:t>’</w:t>
      </w:r>
      <w:r w:rsidRPr="0070292F">
        <w:rPr>
          <w:lang w:val="fr-FR"/>
        </w:rPr>
        <w:t>elles avaient été établies par la jurisprudence qui a amené la cour d</w:t>
      </w:r>
      <w:r w:rsidR="0070292F" w:rsidRPr="0070292F">
        <w:rPr>
          <w:lang w:val="fr-FR"/>
        </w:rPr>
        <w:t>’</w:t>
      </w:r>
      <w:r w:rsidRPr="0070292F">
        <w:rPr>
          <w:lang w:val="fr-FR"/>
        </w:rPr>
        <w:t xml:space="preserve">appel de Bari à infirmer le </w:t>
      </w:r>
      <w:r w:rsidRPr="0070292F">
        <w:rPr>
          <w:lang w:val="fr-FR"/>
        </w:rPr>
        <w:lastRenderedPageBreak/>
        <w:t>jugement du tribunal de la même ville. Cela va nettement dans le sens de la reconnaissance de la prévisibilité de l</w:t>
      </w:r>
      <w:r w:rsidR="0070292F" w:rsidRPr="0070292F">
        <w:rPr>
          <w:lang w:val="fr-FR"/>
        </w:rPr>
        <w:t>’</w:t>
      </w:r>
      <w:r w:rsidRPr="0070292F">
        <w:rPr>
          <w:lang w:val="fr-FR"/>
        </w:rPr>
        <w:t>application de la loi n</w:t>
      </w:r>
      <w:r w:rsidR="0070292F" w:rsidRPr="0070292F">
        <w:rPr>
          <w:vertAlign w:val="superscript"/>
          <w:lang w:val="fr-FR"/>
        </w:rPr>
        <w:t>o</w:t>
      </w:r>
      <w:r w:rsidRPr="0070292F">
        <w:rPr>
          <w:lang w:val="fr-FR"/>
        </w:rPr>
        <w:t xml:space="preserve"> 1423/1956. En tout état de cause, le requérant – en s</w:t>
      </w:r>
      <w:r w:rsidR="0070292F" w:rsidRPr="0070292F">
        <w:rPr>
          <w:lang w:val="fr-FR"/>
        </w:rPr>
        <w:t>’</w:t>
      </w:r>
      <w:r w:rsidRPr="0070292F">
        <w:rPr>
          <w:lang w:val="fr-FR"/>
        </w:rPr>
        <w:t>entourant au besoin de conseils éclairés – était à même de prévoir, à un degré raisonnable dans les circonstances de l</w:t>
      </w:r>
      <w:r w:rsidR="0070292F" w:rsidRPr="0070292F">
        <w:rPr>
          <w:lang w:val="fr-FR"/>
        </w:rPr>
        <w:t>’</w:t>
      </w:r>
      <w:r w:rsidRPr="0070292F">
        <w:rPr>
          <w:lang w:val="fr-FR"/>
        </w:rPr>
        <w:t>espèce, s</w:t>
      </w:r>
      <w:r w:rsidR="0070292F" w:rsidRPr="0070292F">
        <w:rPr>
          <w:lang w:val="fr-FR"/>
        </w:rPr>
        <w:t>’</w:t>
      </w:r>
      <w:r w:rsidRPr="0070292F">
        <w:rPr>
          <w:lang w:val="fr-FR"/>
        </w:rPr>
        <w:t>il pouvait relever de l</w:t>
      </w:r>
      <w:r w:rsidR="0070292F" w:rsidRPr="0070292F">
        <w:rPr>
          <w:lang w:val="fr-FR"/>
        </w:rPr>
        <w:t>’</w:t>
      </w:r>
      <w:r w:rsidRPr="0070292F">
        <w:rPr>
          <w:lang w:val="fr-FR"/>
        </w:rPr>
        <w:t>une des catégories de personnes visées par les mesures de prévention, ainsi que la nature et la durée des mesures applicables.</w:t>
      </w:r>
    </w:p>
    <w:p w:rsidR="00E33800" w:rsidRPr="0070292F" w:rsidRDefault="00E33800" w:rsidP="0070292F">
      <w:pPr>
        <w:pStyle w:val="OpiPara"/>
        <w:rPr>
          <w:color w:val="1F497D"/>
          <w:lang w:val="fr-FR"/>
        </w:rPr>
      </w:pPr>
      <w:r w:rsidRPr="0070292F">
        <w:rPr>
          <w:lang w:val="fr-FR"/>
        </w:rPr>
        <w:t>14. Nous estimons donc que les mesures litigieuses étaient bien « prévues par la loi ».</w:t>
      </w:r>
    </w:p>
    <w:p w:rsidR="00E33800" w:rsidRPr="0070292F" w:rsidRDefault="00E33800" w:rsidP="0070292F">
      <w:pPr>
        <w:pStyle w:val="OpiPara"/>
        <w:rPr>
          <w:lang w:val="fr-FR"/>
        </w:rPr>
      </w:pPr>
      <w:r w:rsidRPr="0070292F">
        <w:rPr>
          <w:lang w:val="fr-FR"/>
        </w:rPr>
        <w:t>15. Nous pensons également que les mesures de restriction à la liberté de circulation poursuivaient des buts légitimes, notamment le « maintien de l</w:t>
      </w:r>
      <w:r w:rsidR="0070292F" w:rsidRPr="0070292F">
        <w:rPr>
          <w:lang w:val="fr-FR"/>
        </w:rPr>
        <w:t>’</w:t>
      </w:r>
      <w:r w:rsidRPr="0070292F">
        <w:rPr>
          <w:lang w:val="fr-FR"/>
        </w:rPr>
        <w:t>ordre public » et la « prévention des infractions pénales » (</w:t>
      </w:r>
      <w:r w:rsidRPr="0070292F">
        <w:rPr>
          <w:i/>
          <w:lang w:val="fr-FR"/>
        </w:rPr>
        <w:t>Monno</w:t>
      </w:r>
      <w:r w:rsidRPr="0070292F">
        <w:rPr>
          <w:lang w:val="fr-FR"/>
        </w:rPr>
        <w:t xml:space="preserve">, décision précitée, § 26, et </w:t>
      </w:r>
      <w:r w:rsidRPr="0070292F">
        <w:rPr>
          <w:i/>
          <w:lang w:val="fr-FR"/>
        </w:rPr>
        <w:t>Villa</w:t>
      </w:r>
      <w:r w:rsidRPr="0070292F">
        <w:rPr>
          <w:lang w:val="fr-FR"/>
        </w:rPr>
        <w:t>,</w:t>
      </w:r>
      <w:r w:rsidRPr="0070292F">
        <w:rPr>
          <w:i/>
          <w:lang w:val="fr-FR"/>
        </w:rPr>
        <w:t xml:space="preserve"> </w:t>
      </w:r>
      <w:r w:rsidRPr="0070292F">
        <w:rPr>
          <w:lang w:val="fr-FR"/>
        </w:rPr>
        <w:t>précité, § 46).</w:t>
      </w:r>
    </w:p>
    <w:p w:rsidR="00E33800" w:rsidRPr="0070292F" w:rsidRDefault="00E33800" w:rsidP="0070292F">
      <w:pPr>
        <w:pStyle w:val="OpiPara"/>
        <w:rPr>
          <w:lang w:val="fr-FR"/>
        </w:rPr>
      </w:pPr>
      <w:r w:rsidRPr="0070292F">
        <w:rPr>
          <w:lang w:val="fr-FR"/>
        </w:rPr>
        <w:t>16. En revanche, nous sommes d</w:t>
      </w:r>
      <w:r w:rsidR="0070292F" w:rsidRPr="0070292F">
        <w:rPr>
          <w:lang w:val="fr-FR"/>
        </w:rPr>
        <w:t>’</w:t>
      </w:r>
      <w:r w:rsidRPr="0070292F">
        <w:rPr>
          <w:lang w:val="fr-FR"/>
        </w:rPr>
        <w:t>avis que les mesures litigieuses n</w:t>
      </w:r>
      <w:r w:rsidR="0070292F" w:rsidRPr="0070292F">
        <w:rPr>
          <w:lang w:val="fr-FR"/>
        </w:rPr>
        <w:t>’</w:t>
      </w:r>
      <w:r w:rsidRPr="0070292F">
        <w:rPr>
          <w:lang w:val="fr-FR"/>
        </w:rPr>
        <w:t>étaient pas, pour les raisons qui suivent, « nécessaires dans une société démocratique ».</w:t>
      </w:r>
    </w:p>
    <w:p w:rsidR="00E33800" w:rsidRPr="0070292F" w:rsidRDefault="00E33800" w:rsidP="0070292F">
      <w:pPr>
        <w:pStyle w:val="OpiPara"/>
        <w:rPr>
          <w:i/>
          <w:lang w:val="fr-FR"/>
        </w:rPr>
      </w:pPr>
      <w:r w:rsidRPr="0070292F">
        <w:rPr>
          <w:lang w:val="fr-FR"/>
        </w:rPr>
        <w:t xml:space="preserve">17. Une ingérence est considérée comme « nécessaire dans une société démocratique » pour atteindre un but légitime si elle répond à un « besoin social impérieux » et si elle est proportionnée au but légitime poursuivi. </w:t>
      </w:r>
      <w:r w:rsidRPr="0070292F">
        <w:rPr>
          <w:rFonts w:cstheme="minorHAnsi"/>
          <w:lang w:val="fr-FR"/>
        </w:rPr>
        <w:t>À</w:t>
      </w:r>
      <w:r w:rsidRPr="0070292F">
        <w:rPr>
          <w:lang w:val="fr-FR"/>
        </w:rPr>
        <w:t xml:space="preserve"> cet égard, il faut que les motifs invoqués par les autorités nationales pour la justifier apparaissent « pertinents et suffisants ». S</w:t>
      </w:r>
      <w:r w:rsidR="0070292F" w:rsidRPr="0070292F">
        <w:rPr>
          <w:lang w:val="fr-FR"/>
        </w:rPr>
        <w:t>’</w:t>
      </w:r>
      <w:r w:rsidRPr="0070292F">
        <w:rPr>
          <w:lang w:val="fr-FR"/>
        </w:rPr>
        <w:t>il appartient aux autorités nationales de juger les premières si toutes ces conditions se trouvent remplies, c</w:t>
      </w:r>
      <w:r w:rsidR="0070292F" w:rsidRPr="0070292F">
        <w:rPr>
          <w:lang w:val="fr-FR"/>
        </w:rPr>
        <w:t>’</w:t>
      </w:r>
      <w:r w:rsidRPr="0070292F">
        <w:rPr>
          <w:lang w:val="fr-FR"/>
        </w:rPr>
        <w:t>est à la Cour qu</w:t>
      </w:r>
      <w:r w:rsidR="0070292F" w:rsidRPr="0070292F">
        <w:rPr>
          <w:lang w:val="fr-FR"/>
        </w:rPr>
        <w:t>’</w:t>
      </w:r>
      <w:r w:rsidRPr="0070292F">
        <w:rPr>
          <w:lang w:val="fr-FR"/>
        </w:rPr>
        <w:t>il revient de trancher en définitive la question de la nécessité de l</w:t>
      </w:r>
      <w:r w:rsidR="0070292F" w:rsidRPr="0070292F">
        <w:rPr>
          <w:lang w:val="fr-FR"/>
        </w:rPr>
        <w:t>’</w:t>
      </w:r>
      <w:r w:rsidRPr="0070292F">
        <w:rPr>
          <w:lang w:val="fr-FR"/>
        </w:rPr>
        <w:t xml:space="preserve">ingérence au regard des exigences de la Convention (voir, par exemple, </w:t>
      </w:r>
      <w:r w:rsidRPr="0070292F">
        <w:rPr>
          <w:i/>
          <w:lang w:val="fr-FR"/>
        </w:rPr>
        <w:t>S. et Marper c. Royaume-Uni</w:t>
      </w:r>
      <w:r w:rsidRPr="0070292F">
        <w:rPr>
          <w:lang w:val="fr-FR"/>
        </w:rPr>
        <w:t xml:space="preserve"> [GC], n</w:t>
      </w:r>
      <w:r w:rsidRPr="0070292F">
        <w:rPr>
          <w:vertAlign w:val="superscript"/>
          <w:lang w:val="fr-FR"/>
        </w:rPr>
        <w:t>os</w:t>
      </w:r>
      <w:r w:rsidRPr="0070292F">
        <w:rPr>
          <w:lang w:val="fr-FR"/>
        </w:rPr>
        <w:t xml:space="preserve"> 30562/04 et 30566/04, § 101, CEDH 2008, et </w:t>
      </w:r>
      <w:r w:rsidRPr="0070292F">
        <w:rPr>
          <w:i/>
          <w:lang w:val="fr-FR"/>
        </w:rPr>
        <w:t>Coster c. Royaume-Uni</w:t>
      </w:r>
      <w:r w:rsidRPr="0070292F">
        <w:rPr>
          <w:lang w:val="fr-FR"/>
        </w:rPr>
        <w:t xml:space="preserve"> [GC], n</w:t>
      </w:r>
      <w:r w:rsidR="0070292F" w:rsidRPr="0070292F">
        <w:rPr>
          <w:vertAlign w:val="superscript"/>
          <w:lang w:val="fr-FR"/>
        </w:rPr>
        <w:t>o</w:t>
      </w:r>
      <w:r w:rsidRPr="0070292F">
        <w:rPr>
          <w:lang w:val="fr-FR"/>
        </w:rPr>
        <w:t> 24876/94, § 104, 18 janvier 2001).</w:t>
      </w:r>
    </w:p>
    <w:p w:rsidR="00E33800" w:rsidRPr="0070292F" w:rsidRDefault="00E33800" w:rsidP="0070292F">
      <w:pPr>
        <w:pStyle w:val="OpiPara"/>
        <w:rPr>
          <w:lang w:val="fr-FR"/>
        </w:rPr>
      </w:pPr>
      <w:r w:rsidRPr="0070292F">
        <w:rPr>
          <w:lang w:val="fr-FR"/>
        </w:rPr>
        <w:t>18.  En outre, pour ce qui est de la proportionnalité de la mesure incriminée, cette dernière ne se justifie qu</w:t>
      </w:r>
      <w:r w:rsidR="0070292F" w:rsidRPr="0070292F">
        <w:rPr>
          <w:lang w:val="fr-FR"/>
        </w:rPr>
        <w:t>’</w:t>
      </w:r>
      <w:r w:rsidRPr="0070292F">
        <w:rPr>
          <w:lang w:val="fr-FR"/>
        </w:rPr>
        <w:t>aussi longtemps qu</w:t>
      </w:r>
      <w:r w:rsidR="0070292F" w:rsidRPr="0070292F">
        <w:rPr>
          <w:lang w:val="fr-FR"/>
        </w:rPr>
        <w:t>’</w:t>
      </w:r>
      <w:r w:rsidRPr="0070292F">
        <w:rPr>
          <w:lang w:val="fr-FR"/>
        </w:rPr>
        <w:t>elle tend effectivement à la réalisation de l</w:t>
      </w:r>
      <w:r w:rsidR="0070292F" w:rsidRPr="0070292F">
        <w:rPr>
          <w:lang w:val="fr-FR"/>
        </w:rPr>
        <w:t>’</w:t>
      </w:r>
      <w:r w:rsidRPr="0070292F">
        <w:rPr>
          <w:lang w:val="fr-FR"/>
        </w:rPr>
        <w:t>objectif qu</w:t>
      </w:r>
      <w:r w:rsidR="0070292F" w:rsidRPr="0070292F">
        <w:rPr>
          <w:lang w:val="fr-FR"/>
        </w:rPr>
        <w:t>’</w:t>
      </w:r>
      <w:r w:rsidRPr="0070292F">
        <w:rPr>
          <w:lang w:val="fr-FR"/>
        </w:rPr>
        <w:t>elle est censée poursuivre (</w:t>
      </w:r>
      <w:r w:rsidRPr="0070292F">
        <w:rPr>
          <w:i/>
          <w:lang w:val="fr-FR"/>
        </w:rPr>
        <w:t>Villa</w:t>
      </w:r>
      <w:r w:rsidRPr="0070292F">
        <w:rPr>
          <w:lang w:val="fr-FR"/>
        </w:rPr>
        <w:t xml:space="preserve">, précité, § 47, et, </w:t>
      </w:r>
      <w:r w:rsidRPr="0070292F">
        <w:rPr>
          <w:i/>
          <w:lang w:val="fr-FR"/>
        </w:rPr>
        <w:t>mutatis mutandis</w:t>
      </w:r>
      <w:r w:rsidRPr="0070292F">
        <w:rPr>
          <w:lang w:val="fr-FR"/>
        </w:rPr>
        <w:t xml:space="preserve">, </w:t>
      </w:r>
      <w:r w:rsidRPr="0070292F">
        <w:rPr>
          <w:i/>
          <w:lang w:val="fr-FR"/>
        </w:rPr>
        <w:t>Napijalo c. Croatie</w:t>
      </w:r>
      <w:r w:rsidRPr="0070292F">
        <w:rPr>
          <w:lang w:val="fr-FR"/>
        </w:rPr>
        <w:t>, n</w:t>
      </w:r>
      <w:r w:rsidR="0070292F" w:rsidRPr="0070292F">
        <w:rPr>
          <w:vertAlign w:val="superscript"/>
          <w:lang w:val="fr-FR"/>
        </w:rPr>
        <w:t>o</w:t>
      </w:r>
      <w:r w:rsidRPr="0070292F">
        <w:rPr>
          <w:lang w:val="fr-FR"/>
        </w:rPr>
        <w:t> 66485/01, §§</w:t>
      </w:r>
      <w:r w:rsidR="00900093" w:rsidRPr="0070292F">
        <w:rPr>
          <w:lang w:val="fr-FR"/>
        </w:rPr>
        <w:t> </w:t>
      </w:r>
      <w:r w:rsidRPr="0070292F">
        <w:rPr>
          <w:lang w:val="fr-FR"/>
        </w:rPr>
        <w:t xml:space="preserve">78-82, 13 novembre 2003, et </w:t>
      </w:r>
      <w:r w:rsidRPr="0070292F">
        <w:rPr>
          <w:i/>
          <w:lang w:val="fr-FR"/>
        </w:rPr>
        <w:t>Gochev c. Bulgarie</w:t>
      </w:r>
      <w:r w:rsidRPr="0070292F">
        <w:rPr>
          <w:lang w:val="fr-FR"/>
        </w:rPr>
        <w:t>, n</w:t>
      </w:r>
      <w:r w:rsidR="0070292F" w:rsidRPr="0070292F">
        <w:rPr>
          <w:vertAlign w:val="superscript"/>
          <w:lang w:val="fr-FR"/>
        </w:rPr>
        <w:t>o</w:t>
      </w:r>
      <w:r w:rsidRPr="0070292F">
        <w:rPr>
          <w:lang w:val="fr-FR"/>
        </w:rPr>
        <w:t> 34383/03, §</w:t>
      </w:r>
      <w:r w:rsidR="00900093" w:rsidRPr="0070292F">
        <w:rPr>
          <w:lang w:val="fr-FR"/>
        </w:rPr>
        <w:t> </w:t>
      </w:r>
      <w:r w:rsidRPr="0070292F">
        <w:rPr>
          <w:lang w:val="fr-FR"/>
        </w:rPr>
        <w:t>49, 26 novembre 2009). Par ailleurs, fût-elle justifiée au départ, une mesure restreignant la liberté de circulation d</w:t>
      </w:r>
      <w:r w:rsidR="0070292F" w:rsidRPr="0070292F">
        <w:rPr>
          <w:lang w:val="fr-FR"/>
        </w:rPr>
        <w:t>’</w:t>
      </w:r>
      <w:r w:rsidRPr="0070292F">
        <w:rPr>
          <w:lang w:val="fr-FR"/>
        </w:rPr>
        <w:t>une personne peut devenir disproportionnée et violer les droits de cette personne si elle se prolonge automatiquement pendant longtemps (</w:t>
      </w:r>
      <w:r w:rsidRPr="0070292F">
        <w:rPr>
          <w:i/>
          <w:lang w:val="fr-FR"/>
        </w:rPr>
        <w:t>Luordo c. Italie</w:t>
      </w:r>
      <w:r w:rsidRPr="0070292F">
        <w:rPr>
          <w:lang w:val="fr-FR"/>
        </w:rPr>
        <w:t>, n</w:t>
      </w:r>
      <w:r w:rsidR="0070292F" w:rsidRPr="0070292F">
        <w:rPr>
          <w:vertAlign w:val="superscript"/>
          <w:lang w:val="fr-FR"/>
        </w:rPr>
        <w:t>o</w:t>
      </w:r>
      <w:r w:rsidRPr="0070292F">
        <w:rPr>
          <w:lang w:val="fr-FR"/>
        </w:rPr>
        <w:t> 32190/96, §</w:t>
      </w:r>
      <w:r w:rsidR="00900093" w:rsidRPr="0070292F">
        <w:rPr>
          <w:lang w:val="fr-FR"/>
        </w:rPr>
        <w:t> </w:t>
      </w:r>
      <w:r w:rsidRPr="0070292F">
        <w:rPr>
          <w:lang w:val="fr-FR"/>
        </w:rPr>
        <w:t xml:space="preserve">96, CEDH 2003-IX, </w:t>
      </w:r>
      <w:r w:rsidRPr="0070292F">
        <w:rPr>
          <w:i/>
          <w:lang w:val="fr-FR"/>
        </w:rPr>
        <w:t xml:space="preserve">Riener c. </w:t>
      </w:r>
      <w:r w:rsidRPr="0070292F">
        <w:rPr>
          <w:i/>
          <w:spacing w:val="-2"/>
          <w:lang w:val="fr-FR"/>
        </w:rPr>
        <w:t>Bulgarie</w:t>
      </w:r>
      <w:r w:rsidRPr="0070292F">
        <w:rPr>
          <w:lang w:val="fr-FR"/>
        </w:rPr>
        <w:t>, n</w:t>
      </w:r>
      <w:r w:rsidR="0070292F" w:rsidRPr="0070292F">
        <w:rPr>
          <w:vertAlign w:val="superscript"/>
          <w:lang w:val="fr-FR"/>
        </w:rPr>
        <w:t>o</w:t>
      </w:r>
      <w:r w:rsidRPr="0070292F">
        <w:rPr>
          <w:lang w:val="fr-FR"/>
        </w:rPr>
        <w:t xml:space="preserve"> 46343/99, § 121, 23 mai 2006, et </w:t>
      </w:r>
      <w:r w:rsidRPr="0070292F">
        <w:rPr>
          <w:i/>
          <w:lang w:val="fr-FR"/>
        </w:rPr>
        <w:t>Földes et Földesné Hajlik c. Hongrie,</w:t>
      </w:r>
      <w:r w:rsidRPr="0070292F">
        <w:rPr>
          <w:lang w:val="fr-FR"/>
        </w:rPr>
        <w:t xml:space="preserve"> n</w:t>
      </w:r>
      <w:r w:rsidR="0070292F" w:rsidRPr="0070292F">
        <w:rPr>
          <w:vertAlign w:val="superscript"/>
          <w:lang w:val="fr-FR"/>
        </w:rPr>
        <w:t>o</w:t>
      </w:r>
      <w:r w:rsidRPr="0070292F">
        <w:rPr>
          <w:lang w:val="fr-FR"/>
        </w:rPr>
        <w:t xml:space="preserve"> 41463/02, § 35, CEDH 2006-XII).</w:t>
      </w:r>
    </w:p>
    <w:p w:rsidR="00E33800" w:rsidRPr="0070292F" w:rsidRDefault="007F7590" w:rsidP="0070292F">
      <w:pPr>
        <w:pStyle w:val="OpiPara"/>
        <w:rPr>
          <w:lang w:val="fr-FR"/>
        </w:rPr>
      </w:pPr>
      <w:r w:rsidRPr="0070292F">
        <w:rPr>
          <w:lang w:val="fr-FR"/>
        </w:rPr>
        <w:t>19</w:t>
      </w:r>
      <w:r w:rsidR="00E33800" w:rsidRPr="0070292F">
        <w:rPr>
          <w:lang w:val="fr-FR"/>
        </w:rPr>
        <w:t>.  En tout état de cause, les autorités internes ont l</w:t>
      </w:r>
      <w:r w:rsidR="0070292F" w:rsidRPr="0070292F">
        <w:rPr>
          <w:lang w:val="fr-FR"/>
        </w:rPr>
        <w:t>’</w:t>
      </w:r>
      <w:r w:rsidR="00E33800" w:rsidRPr="0070292F">
        <w:rPr>
          <w:lang w:val="fr-FR"/>
        </w:rPr>
        <w:t>obligation de veiller à ce que toute atteinte portée au droit d</w:t>
      </w:r>
      <w:r w:rsidR="0070292F" w:rsidRPr="0070292F">
        <w:rPr>
          <w:lang w:val="fr-FR"/>
        </w:rPr>
        <w:t>’</w:t>
      </w:r>
      <w:r w:rsidR="00E33800" w:rsidRPr="0070292F">
        <w:rPr>
          <w:lang w:val="fr-FR"/>
        </w:rPr>
        <w:t>une personne découlant de l</w:t>
      </w:r>
      <w:r w:rsidR="0070292F" w:rsidRPr="0070292F">
        <w:rPr>
          <w:lang w:val="fr-FR"/>
        </w:rPr>
        <w:t>’</w:t>
      </w:r>
      <w:r w:rsidR="00E33800" w:rsidRPr="0070292F">
        <w:rPr>
          <w:lang w:val="fr-FR"/>
        </w:rPr>
        <w:t>article 2 du Protocole n</w:t>
      </w:r>
      <w:r w:rsidR="0070292F" w:rsidRPr="0070292F">
        <w:rPr>
          <w:vertAlign w:val="superscript"/>
          <w:lang w:val="fr-FR"/>
        </w:rPr>
        <w:t>o</w:t>
      </w:r>
      <w:r w:rsidR="00E33800" w:rsidRPr="0070292F">
        <w:rPr>
          <w:lang w:val="fr-FR"/>
        </w:rPr>
        <w:t> 4 soit, dès le départ et tout au long de sa durée, justifiée et proportionnée au regard des circonstances. Ce contrôle doit normalement être assuré, au moins en dernier ressort, par le pouvoir judiciaire, car il offre les meilleures garanties d</w:t>
      </w:r>
      <w:r w:rsidR="0070292F" w:rsidRPr="0070292F">
        <w:rPr>
          <w:lang w:val="fr-FR"/>
        </w:rPr>
        <w:t>’</w:t>
      </w:r>
      <w:r w:rsidR="00E33800" w:rsidRPr="0070292F">
        <w:rPr>
          <w:lang w:val="fr-FR"/>
        </w:rPr>
        <w:t>indépendance, d</w:t>
      </w:r>
      <w:r w:rsidR="0070292F" w:rsidRPr="0070292F">
        <w:rPr>
          <w:lang w:val="fr-FR"/>
        </w:rPr>
        <w:t>’</w:t>
      </w:r>
      <w:r w:rsidR="00E33800" w:rsidRPr="0070292F">
        <w:rPr>
          <w:lang w:val="fr-FR"/>
        </w:rPr>
        <w:t xml:space="preserve">impartialité et de régularité des </w:t>
      </w:r>
      <w:r w:rsidR="00E33800" w:rsidRPr="0070292F">
        <w:rPr>
          <w:lang w:val="fr-FR"/>
        </w:rPr>
        <w:lastRenderedPageBreak/>
        <w:t>procédures (</w:t>
      </w:r>
      <w:r w:rsidR="00E33800" w:rsidRPr="0070292F">
        <w:rPr>
          <w:i/>
          <w:lang w:val="fr-FR"/>
        </w:rPr>
        <w:t>Gochev</w:t>
      </w:r>
      <w:r w:rsidR="00E33800" w:rsidRPr="0070292F">
        <w:rPr>
          <w:lang w:val="fr-FR"/>
        </w:rPr>
        <w:t xml:space="preserve">, précité, § 50, et </w:t>
      </w:r>
      <w:r w:rsidR="00E33800" w:rsidRPr="0070292F">
        <w:rPr>
          <w:i/>
          <w:lang w:val="fr-FR"/>
        </w:rPr>
        <w:t>Sissanis c.</w:t>
      </w:r>
      <w:r w:rsidRPr="0070292F">
        <w:rPr>
          <w:i/>
          <w:lang w:val="fr-FR"/>
        </w:rPr>
        <w:t> </w:t>
      </w:r>
      <w:r w:rsidR="00E33800" w:rsidRPr="0070292F">
        <w:rPr>
          <w:i/>
          <w:lang w:val="fr-FR"/>
        </w:rPr>
        <w:t>Roumanie</w:t>
      </w:r>
      <w:r w:rsidR="00E33800" w:rsidRPr="0070292F">
        <w:rPr>
          <w:lang w:val="fr-FR"/>
        </w:rPr>
        <w:t>, n</w:t>
      </w:r>
      <w:r w:rsidR="0070292F" w:rsidRPr="0070292F">
        <w:rPr>
          <w:vertAlign w:val="superscript"/>
          <w:lang w:val="fr-FR"/>
        </w:rPr>
        <w:t>o</w:t>
      </w:r>
      <w:r w:rsidR="00900093" w:rsidRPr="0070292F">
        <w:rPr>
          <w:lang w:val="fr-FR"/>
        </w:rPr>
        <w:t> </w:t>
      </w:r>
      <w:r w:rsidR="00E33800" w:rsidRPr="0070292F">
        <w:rPr>
          <w:lang w:val="fr-FR"/>
        </w:rPr>
        <w:t>23468/02, § 70, 25 janvier 2007). L</w:t>
      </w:r>
      <w:r w:rsidR="0070292F" w:rsidRPr="0070292F">
        <w:rPr>
          <w:lang w:val="fr-FR"/>
        </w:rPr>
        <w:t>’</w:t>
      </w:r>
      <w:r w:rsidR="00E33800" w:rsidRPr="0070292F">
        <w:rPr>
          <w:lang w:val="fr-FR"/>
        </w:rPr>
        <w:t xml:space="preserve">étendue du contrôle juridictionnel doit permettre au tribunal de tenir compte de tous les éléments, y compris ceux liés à la proportionnalité de la mesure restrictive (voir, </w:t>
      </w:r>
      <w:r w:rsidR="00E33800" w:rsidRPr="0070292F">
        <w:rPr>
          <w:i/>
          <w:lang w:val="fr-FR"/>
        </w:rPr>
        <w:t>mutatis mutandis</w:t>
      </w:r>
      <w:r w:rsidR="00E33800" w:rsidRPr="0070292F">
        <w:rPr>
          <w:lang w:val="fr-FR"/>
        </w:rPr>
        <w:t xml:space="preserve">, </w:t>
      </w:r>
      <w:r w:rsidR="00E33800" w:rsidRPr="0070292F">
        <w:rPr>
          <w:i/>
          <w:lang w:val="fr-FR"/>
        </w:rPr>
        <w:t>Le Compte, Van Leuven et De Meyere c. Belgique,</w:t>
      </w:r>
      <w:r w:rsidR="00E33800" w:rsidRPr="0070292F">
        <w:rPr>
          <w:lang w:val="fr-FR"/>
        </w:rPr>
        <w:t xml:space="preserve"> 23 juin 1981, § 60, série A n</w:t>
      </w:r>
      <w:r w:rsidR="00E33800" w:rsidRPr="0070292F">
        <w:rPr>
          <w:vertAlign w:val="superscript"/>
          <w:lang w:val="fr-FR"/>
        </w:rPr>
        <w:t>o</w:t>
      </w:r>
      <w:r w:rsidR="00900093" w:rsidRPr="0070292F">
        <w:rPr>
          <w:vertAlign w:val="superscript"/>
          <w:lang w:val="fr-FR"/>
        </w:rPr>
        <w:t> </w:t>
      </w:r>
      <w:r w:rsidR="00E33800" w:rsidRPr="0070292F">
        <w:rPr>
          <w:lang w:val="fr-FR"/>
        </w:rPr>
        <w:t>43).</w:t>
      </w:r>
    </w:p>
    <w:p w:rsidR="0070292F" w:rsidRPr="0070292F" w:rsidRDefault="00E33800" w:rsidP="0070292F">
      <w:pPr>
        <w:pStyle w:val="OpiPara"/>
        <w:rPr>
          <w:lang w:val="fr-FR"/>
        </w:rPr>
      </w:pPr>
      <w:r w:rsidRPr="0070292F">
        <w:rPr>
          <w:lang w:val="fr-FR"/>
        </w:rPr>
        <w:t>20.  En l</w:t>
      </w:r>
      <w:r w:rsidR="0070292F" w:rsidRPr="0070292F">
        <w:rPr>
          <w:lang w:val="fr-FR"/>
        </w:rPr>
        <w:t>’</w:t>
      </w:r>
      <w:r w:rsidRPr="0070292F">
        <w:rPr>
          <w:lang w:val="fr-FR"/>
        </w:rPr>
        <w:t>occurrence, on peut noter que le tribunal de Bari a décidé de soumettre le requérant à la mesure de surveillance spéciale sur la base de certains</w:t>
      </w:r>
      <w:r w:rsidRPr="0070292F">
        <w:rPr>
          <w:rFonts w:ascii="Times New Roman" w:eastAsia="Calibri" w:hAnsi="Times New Roman" w:cs="Times New Roman"/>
          <w:lang w:val="fr-FR" w:eastAsia="fr-FR"/>
        </w:rPr>
        <w:t xml:space="preserve"> indices qui l</w:t>
      </w:r>
      <w:r w:rsidR="0070292F" w:rsidRPr="0070292F">
        <w:rPr>
          <w:rFonts w:ascii="Times New Roman" w:eastAsia="Calibri" w:hAnsi="Times New Roman" w:cs="Times New Roman"/>
          <w:lang w:val="fr-FR" w:eastAsia="fr-FR"/>
        </w:rPr>
        <w:t>’</w:t>
      </w:r>
      <w:r w:rsidRPr="0070292F">
        <w:rPr>
          <w:rFonts w:ascii="Times New Roman" w:eastAsia="Calibri" w:hAnsi="Times New Roman" w:cs="Times New Roman"/>
          <w:lang w:val="fr-FR" w:eastAsia="fr-FR"/>
        </w:rPr>
        <w:t xml:space="preserve">avait amené à conclure </w:t>
      </w:r>
      <w:r w:rsidRPr="0070292F">
        <w:rPr>
          <w:lang w:val="fr-FR"/>
        </w:rPr>
        <w:t>que l</w:t>
      </w:r>
      <w:r w:rsidR="0070292F" w:rsidRPr="0070292F">
        <w:rPr>
          <w:lang w:val="fr-FR"/>
        </w:rPr>
        <w:t>’</w:t>
      </w:r>
      <w:r w:rsidRPr="0070292F">
        <w:rPr>
          <w:lang w:val="fr-FR"/>
        </w:rPr>
        <w:t>intéressé se livrait à une activité délictueuse. Selon la cour d</w:t>
      </w:r>
      <w:r w:rsidR="0070292F" w:rsidRPr="0070292F">
        <w:rPr>
          <w:lang w:val="fr-FR"/>
        </w:rPr>
        <w:t>’</w:t>
      </w:r>
      <w:r w:rsidRPr="0070292F">
        <w:rPr>
          <w:lang w:val="fr-FR"/>
        </w:rPr>
        <w:t>appel, certaines infractions imputées au requérant avaient en réalité été commises par une autre personne, qui portait les mêmes nom et prénom que lui. De plus, la cour d</w:t>
      </w:r>
      <w:r w:rsidR="0070292F" w:rsidRPr="0070292F">
        <w:rPr>
          <w:lang w:val="fr-FR"/>
        </w:rPr>
        <w:t>’</w:t>
      </w:r>
      <w:r w:rsidRPr="0070292F">
        <w:rPr>
          <w:lang w:val="fr-FR"/>
        </w:rPr>
        <w:t>appel a souligné dans son arrêt que le tribunal n</w:t>
      </w:r>
      <w:r w:rsidR="0070292F" w:rsidRPr="0070292F">
        <w:rPr>
          <w:lang w:val="fr-FR"/>
        </w:rPr>
        <w:t>’</w:t>
      </w:r>
      <w:r w:rsidRPr="0070292F">
        <w:rPr>
          <w:lang w:val="fr-FR"/>
        </w:rPr>
        <w:t>avait pas pris en considération le fait que le requérant travaillait comme ouvrier agricole depuis 2005 et qu</w:t>
      </w:r>
      <w:r w:rsidR="0070292F" w:rsidRPr="0070292F">
        <w:rPr>
          <w:lang w:val="fr-FR"/>
        </w:rPr>
        <w:t>’</w:t>
      </w:r>
      <w:r w:rsidRPr="0070292F">
        <w:rPr>
          <w:lang w:val="fr-FR"/>
        </w:rPr>
        <w:t>aucun élément concret suggérant des liens avec des repris de justice n</w:t>
      </w:r>
      <w:r w:rsidR="0070292F" w:rsidRPr="0070292F">
        <w:rPr>
          <w:lang w:val="fr-FR"/>
        </w:rPr>
        <w:t>’</w:t>
      </w:r>
      <w:r w:rsidRPr="0070292F">
        <w:rPr>
          <w:lang w:val="fr-FR"/>
        </w:rPr>
        <w:t>avait été découvert. Elle a ajouté que le tribunal avait omis de faire une appréciation approfondie de la dangerosité du requérant tenant compte de ce qu</w:t>
      </w:r>
      <w:r w:rsidR="0070292F" w:rsidRPr="0070292F">
        <w:rPr>
          <w:lang w:val="fr-FR"/>
        </w:rPr>
        <w:t>’</w:t>
      </w:r>
      <w:r w:rsidRPr="0070292F">
        <w:rPr>
          <w:lang w:val="fr-FR"/>
        </w:rPr>
        <w:t>il avait entièrement purgé sa peine et n</w:t>
      </w:r>
      <w:r w:rsidR="0070292F" w:rsidRPr="0070292F">
        <w:rPr>
          <w:lang w:val="fr-FR"/>
        </w:rPr>
        <w:t>’</w:t>
      </w:r>
      <w:r w:rsidRPr="0070292F">
        <w:rPr>
          <w:lang w:val="fr-FR"/>
        </w:rPr>
        <w:t>avait plus commis d</w:t>
      </w:r>
      <w:r w:rsidR="0070292F" w:rsidRPr="0070292F">
        <w:rPr>
          <w:lang w:val="fr-FR"/>
        </w:rPr>
        <w:t>’</w:t>
      </w:r>
      <w:r w:rsidRPr="0070292F">
        <w:rPr>
          <w:lang w:val="fr-FR"/>
        </w:rPr>
        <w:t>infractions après sa libération.</w:t>
      </w:r>
    </w:p>
    <w:p w:rsidR="00E33800" w:rsidRPr="0070292F" w:rsidRDefault="00E33800" w:rsidP="0070292F">
      <w:pPr>
        <w:pStyle w:val="OpiPara"/>
        <w:rPr>
          <w:lang w:val="fr-FR"/>
        </w:rPr>
      </w:pPr>
      <w:r w:rsidRPr="0070292F">
        <w:rPr>
          <w:lang w:val="fr-FR"/>
        </w:rPr>
        <w:t>21.  Il ressort de la décision de la cour d</w:t>
      </w:r>
      <w:r w:rsidR="0070292F" w:rsidRPr="0070292F">
        <w:rPr>
          <w:lang w:val="fr-FR"/>
        </w:rPr>
        <w:t>’</w:t>
      </w:r>
      <w:r w:rsidRPr="0070292F">
        <w:rPr>
          <w:lang w:val="fr-FR"/>
        </w:rPr>
        <w:t>appel de Bari que les motifs invoqués par le tribunal pour appliquer la mesure de prévention au requérant n</w:t>
      </w:r>
      <w:r w:rsidR="0070292F" w:rsidRPr="0070292F">
        <w:rPr>
          <w:lang w:val="fr-FR"/>
        </w:rPr>
        <w:t>’</w:t>
      </w:r>
      <w:r w:rsidRPr="0070292F">
        <w:rPr>
          <w:lang w:val="fr-FR"/>
        </w:rPr>
        <w:t>étaient pas pertinents et suffisants. Comme la cour d</w:t>
      </w:r>
      <w:r w:rsidR="0070292F" w:rsidRPr="0070292F">
        <w:rPr>
          <w:lang w:val="fr-FR"/>
        </w:rPr>
        <w:t>’</w:t>
      </w:r>
      <w:r w:rsidRPr="0070292F">
        <w:rPr>
          <w:lang w:val="fr-FR"/>
        </w:rPr>
        <w:t>appel l</w:t>
      </w:r>
      <w:r w:rsidR="0070292F" w:rsidRPr="0070292F">
        <w:rPr>
          <w:lang w:val="fr-FR"/>
        </w:rPr>
        <w:t>’</w:t>
      </w:r>
      <w:r w:rsidRPr="0070292F">
        <w:rPr>
          <w:lang w:val="fr-FR"/>
        </w:rPr>
        <w:t>a souligné, il n</w:t>
      </w:r>
      <w:r w:rsidR="0070292F" w:rsidRPr="0070292F">
        <w:rPr>
          <w:lang w:val="fr-FR"/>
        </w:rPr>
        <w:t>’</w:t>
      </w:r>
      <w:r w:rsidRPr="0070292F">
        <w:rPr>
          <w:lang w:val="fr-FR"/>
        </w:rPr>
        <w:t>existait pas de faits précis permettant d</w:t>
      </w:r>
      <w:r w:rsidR="0070292F" w:rsidRPr="0070292F">
        <w:rPr>
          <w:lang w:val="fr-FR"/>
        </w:rPr>
        <w:t>’</w:t>
      </w:r>
      <w:r w:rsidRPr="0070292F">
        <w:rPr>
          <w:lang w:val="fr-FR"/>
        </w:rPr>
        <w:t>établir une dangerosité persistante du requérant. Par conséquent, la mesure de prévention n</w:t>
      </w:r>
      <w:r w:rsidR="0070292F" w:rsidRPr="0070292F">
        <w:rPr>
          <w:lang w:val="fr-FR"/>
        </w:rPr>
        <w:t>’</w:t>
      </w:r>
      <w:r w:rsidRPr="0070292F">
        <w:rPr>
          <w:lang w:val="fr-FR"/>
        </w:rPr>
        <w:t>aurait pas dû être appliquée. Ce constat suffit pour conclure à la violation de l</w:t>
      </w:r>
      <w:r w:rsidR="0070292F" w:rsidRPr="0070292F">
        <w:rPr>
          <w:lang w:val="fr-FR"/>
        </w:rPr>
        <w:t>’</w:t>
      </w:r>
      <w:r w:rsidRPr="0070292F">
        <w:rPr>
          <w:lang w:val="fr-FR"/>
        </w:rPr>
        <w:t>article 2 du Protocole n</w:t>
      </w:r>
      <w:r w:rsidR="0070292F" w:rsidRPr="0070292F">
        <w:rPr>
          <w:vertAlign w:val="superscript"/>
          <w:lang w:val="fr-FR"/>
        </w:rPr>
        <w:t>o</w:t>
      </w:r>
      <w:r w:rsidRPr="0070292F">
        <w:rPr>
          <w:lang w:val="fr-FR"/>
        </w:rPr>
        <w:t xml:space="preserve"> 4.</w:t>
      </w:r>
    </w:p>
    <w:p w:rsidR="00E33800" w:rsidRPr="0070292F" w:rsidRDefault="00E33800" w:rsidP="0070292F">
      <w:pPr>
        <w:pStyle w:val="OpiPara"/>
        <w:rPr>
          <w:lang w:val="fr-FR"/>
        </w:rPr>
      </w:pPr>
      <w:r w:rsidRPr="0070292F">
        <w:rPr>
          <w:lang w:val="fr-FR"/>
        </w:rPr>
        <w:t>22.  En outre, il faut remarquer que la cour d</w:t>
      </w:r>
      <w:r w:rsidR="0070292F" w:rsidRPr="0070292F">
        <w:rPr>
          <w:lang w:val="fr-FR"/>
        </w:rPr>
        <w:t>’</w:t>
      </w:r>
      <w:r w:rsidRPr="0070292F">
        <w:rPr>
          <w:lang w:val="fr-FR"/>
        </w:rPr>
        <w:t>appel aurait dû statuer dans le délai de trente jours prévu par les dispositions de droit interne. Or, il lui a fallu jusqu</w:t>
      </w:r>
      <w:r w:rsidR="0070292F" w:rsidRPr="0070292F">
        <w:rPr>
          <w:lang w:val="fr-FR"/>
        </w:rPr>
        <w:t>’</w:t>
      </w:r>
      <w:r w:rsidRPr="0070292F">
        <w:rPr>
          <w:lang w:val="fr-FR"/>
        </w:rPr>
        <w:t>au 4 février 2009, date de la notification de la décision au requérant, c</w:t>
      </w:r>
      <w:r w:rsidR="0070292F" w:rsidRPr="0070292F">
        <w:rPr>
          <w:lang w:val="fr-FR"/>
        </w:rPr>
        <w:t>’</w:t>
      </w:r>
      <w:r w:rsidRPr="0070292F">
        <w:rPr>
          <w:lang w:val="fr-FR"/>
        </w:rPr>
        <w:t>est-à-dire six mois et vingt et un jours après la date de l</w:t>
      </w:r>
      <w:r w:rsidR="0070292F" w:rsidRPr="0070292F">
        <w:rPr>
          <w:lang w:val="fr-FR"/>
        </w:rPr>
        <w:t>’</w:t>
      </w:r>
      <w:r w:rsidRPr="0070292F">
        <w:rPr>
          <w:lang w:val="fr-FR"/>
        </w:rPr>
        <w:t>introduction du recours (14 juillet 2008), à partir de laquelle le délai avait commencé à courir. Dès lors, nous sommes d</w:t>
      </w:r>
      <w:r w:rsidR="0070292F" w:rsidRPr="0070292F">
        <w:rPr>
          <w:lang w:val="fr-FR"/>
        </w:rPr>
        <w:t>’</w:t>
      </w:r>
      <w:r w:rsidRPr="0070292F">
        <w:rPr>
          <w:lang w:val="fr-FR"/>
        </w:rPr>
        <w:t>avis que la violation constatée ci-dessus</w:t>
      </w:r>
      <w:r w:rsidRPr="0070292F" w:rsidDel="005735FC">
        <w:rPr>
          <w:lang w:val="fr-FR"/>
        </w:rPr>
        <w:t xml:space="preserve"> </w:t>
      </w:r>
      <w:r w:rsidRPr="0070292F">
        <w:rPr>
          <w:lang w:val="fr-FR"/>
        </w:rPr>
        <w:t>a été aggravée par le long laps de temps qui s</w:t>
      </w:r>
      <w:r w:rsidR="0070292F" w:rsidRPr="0070292F">
        <w:rPr>
          <w:lang w:val="fr-FR"/>
        </w:rPr>
        <w:t>’</w:t>
      </w:r>
      <w:r w:rsidRPr="0070292F">
        <w:rPr>
          <w:lang w:val="fr-FR"/>
        </w:rPr>
        <w:t>est écoulé entre le dépôt de l</w:t>
      </w:r>
      <w:r w:rsidR="0070292F" w:rsidRPr="0070292F">
        <w:rPr>
          <w:lang w:val="fr-FR"/>
        </w:rPr>
        <w:t>’</w:t>
      </w:r>
      <w:r w:rsidRPr="0070292F">
        <w:rPr>
          <w:lang w:val="fr-FR"/>
        </w:rPr>
        <w:t>appel et la décision rendue par la cour d</w:t>
      </w:r>
      <w:r w:rsidR="0070292F" w:rsidRPr="0070292F">
        <w:rPr>
          <w:lang w:val="fr-FR"/>
        </w:rPr>
        <w:t>’</w:t>
      </w:r>
      <w:r w:rsidRPr="0070292F">
        <w:rPr>
          <w:lang w:val="fr-FR"/>
        </w:rPr>
        <w:t>appel de Bari.</w:t>
      </w:r>
    </w:p>
    <w:p w:rsidR="00E33800" w:rsidRPr="0070292F" w:rsidRDefault="00E33800" w:rsidP="0070292F">
      <w:pPr>
        <w:pStyle w:val="OpiPara"/>
        <w:rPr>
          <w:lang w:val="fr-FR"/>
        </w:rPr>
      </w:pPr>
      <w:r w:rsidRPr="0070292F">
        <w:rPr>
          <w:lang w:val="fr-FR"/>
        </w:rPr>
        <w:t>23.  Un surcroît de diligence et de rapidité s</w:t>
      </w:r>
      <w:r w:rsidR="0070292F" w:rsidRPr="0070292F">
        <w:rPr>
          <w:lang w:val="fr-FR"/>
        </w:rPr>
        <w:t>’</w:t>
      </w:r>
      <w:r w:rsidRPr="0070292F">
        <w:rPr>
          <w:lang w:val="fr-FR"/>
        </w:rPr>
        <w:t>imposait dans l</w:t>
      </w:r>
      <w:r w:rsidR="0070292F" w:rsidRPr="0070292F">
        <w:rPr>
          <w:lang w:val="fr-FR"/>
        </w:rPr>
        <w:t>’</w:t>
      </w:r>
      <w:r w:rsidRPr="0070292F">
        <w:rPr>
          <w:lang w:val="fr-FR"/>
        </w:rPr>
        <w:t>adoption d</w:t>
      </w:r>
      <w:r w:rsidR="0070292F" w:rsidRPr="0070292F">
        <w:rPr>
          <w:lang w:val="fr-FR"/>
        </w:rPr>
        <w:t>’</w:t>
      </w:r>
      <w:r w:rsidRPr="0070292F">
        <w:rPr>
          <w:lang w:val="fr-FR"/>
        </w:rPr>
        <w:t>une décision touchant aux droits garantis par l</w:t>
      </w:r>
      <w:r w:rsidR="0070292F" w:rsidRPr="0070292F">
        <w:rPr>
          <w:lang w:val="fr-FR"/>
        </w:rPr>
        <w:t>’</w:t>
      </w:r>
      <w:r w:rsidRPr="0070292F">
        <w:rPr>
          <w:lang w:val="fr-FR"/>
        </w:rPr>
        <w:t>article 2 du Protocole n</w:t>
      </w:r>
      <w:r w:rsidR="0070292F" w:rsidRPr="0070292F">
        <w:rPr>
          <w:vertAlign w:val="superscript"/>
          <w:lang w:val="fr-FR"/>
        </w:rPr>
        <w:t>o</w:t>
      </w:r>
      <w:r w:rsidRPr="0070292F">
        <w:rPr>
          <w:lang w:val="fr-FR"/>
        </w:rPr>
        <w:t> 4 dans des circonstances telles que celles de la présente affaire, où le requérant a été soumis à la mesure de prévention à partir de la notification de la décision du tribunal, le 4 juillet 2008, jusqu</w:t>
      </w:r>
      <w:r w:rsidR="0070292F" w:rsidRPr="0070292F">
        <w:rPr>
          <w:lang w:val="fr-FR"/>
        </w:rPr>
        <w:t>’</w:t>
      </w:r>
      <w:r w:rsidRPr="0070292F">
        <w:rPr>
          <w:lang w:val="fr-FR"/>
        </w:rPr>
        <w:t>à la notification de la décision de la cour d</w:t>
      </w:r>
      <w:r w:rsidR="0070292F" w:rsidRPr="0070292F">
        <w:rPr>
          <w:lang w:val="fr-FR"/>
        </w:rPr>
        <w:t>’</w:t>
      </w:r>
      <w:r w:rsidRPr="0070292F">
        <w:rPr>
          <w:lang w:val="fr-FR"/>
        </w:rPr>
        <w:t>appel le 4 février 2009, c</w:t>
      </w:r>
      <w:r w:rsidR="0070292F" w:rsidRPr="0070292F">
        <w:rPr>
          <w:lang w:val="fr-FR"/>
        </w:rPr>
        <w:t>’</w:t>
      </w:r>
      <w:r w:rsidRPr="0070292F">
        <w:rPr>
          <w:lang w:val="fr-FR"/>
        </w:rPr>
        <w:t>est-à-dire pendant sept mois, dont six mois et vingt et un jours dans l</w:t>
      </w:r>
      <w:r w:rsidR="0070292F" w:rsidRPr="0070292F">
        <w:rPr>
          <w:lang w:val="fr-FR"/>
        </w:rPr>
        <w:t>’</w:t>
      </w:r>
      <w:r w:rsidRPr="0070292F">
        <w:rPr>
          <w:lang w:val="fr-FR"/>
        </w:rPr>
        <w:t>attente de la décision de la cour d</w:t>
      </w:r>
      <w:r w:rsidR="0070292F" w:rsidRPr="0070292F">
        <w:rPr>
          <w:lang w:val="fr-FR"/>
        </w:rPr>
        <w:t>’</w:t>
      </w:r>
      <w:r w:rsidRPr="0070292F">
        <w:rPr>
          <w:lang w:val="fr-FR"/>
        </w:rPr>
        <w:t>appel. Nous estimons que cet intervalle était de nature à rendre disproportionnées les restrictions à la liberté de circulation du requérant.</w:t>
      </w:r>
      <w:r w:rsidRPr="0070292F">
        <w:rPr>
          <w:rFonts w:ascii="Times New Roman" w:eastAsia="Calibri" w:hAnsi="Times New Roman" w:cs="Times New Roman"/>
          <w:lang w:val="fr-FR"/>
        </w:rPr>
        <w:t xml:space="preserve"> Pour ce qui est de l</w:t>
      </w:r>
      <w:r w:rsidR="0070292F" w:rsidRPr="0070292F">
        <w:rPr>
          <w:rFonts w:ascii="Times New Roman" w:eastAsia="Calibri" w:hAnsi="Times New Roman" w:cs="Times New Roman"/>
          <w:lang w:val="fr-FR"/>
        </w:rPr>
        <w:t>’</w:t>
      </w:r>
      <w:r w:rsidRPr="0070292F">
        <w:rPr>
          <w:rFonts w:ascii="Times New Roman" w:eastAsia="Calibri" w:hAnsi="Times New Roman" w:cs="Times New Roman"/>
          <w:lang w:val="fr-FR"/>
        </w:rPr>
        <w:t>argument du Gouvernement relatif à l</w:t>
      </w:r>
      <w:r w:rsidR="0070292F" w:rsidRPr="0070292F">
        <w:rPr>
          <w:rFonts w:ascii="Times New Roman" w:eastAsia="Calibri" w:hAnsi="Times New Roman" w:cs="Times New Roman"/>
          <w:lang w:val="fr-FR"/>
        </w:rPr>
        <w:t>’</w:t>
      </w:r>
      <w:r w:rsidRPr="0070292F">
        <w:rPr>
          <w:rFonts w:ascii="Times New Roman" w:eastAsia="Calibri" w:hAnsi="Times New Roman" w:cs="Times New Roman"/>
          <w:lang w:val="fr-FR"/>
        </w:rPr>
        <w:t xml:space="preserve">action en </w:t>
      </w:r>
      <w:r w:rsidRPr="0070292F">
        <w:rPr>
          <w:rFonts w:ascii="Times New Roman" w:eastAsia="Calibri" w:hAnsi="Times New Roman" w:cs="Times New Roman"/>
          <w:lang w:val="fr-FR"/>
        </w:rPr>
        <w:lastRenderedPageBreak/>
        <w:t>responsabilité contre les magistrats que le requérant aurait pu intenter, nous notons que le Gouvernement n</w:t>
      </w:r>
      <w:r w:rsidR="0070292F" w:rsidRPr="0070292F">
        <w:rPr>
          <w:rFonts w:ascii="Times New Roman" w:eastAsia="Calibri" w:hAnsi="Times New Roman" w:cs="Times New Roman"/>
          <w:lang w:val="fr-FR"/>
        </w:rPr>
        <w:t>’</w:t>
      </w:r>
      <w:r w:rsidRPr="0070292F">
        <w:rPr>
          <w:rFonts w:ascii="Times New Roman" w:eastAsia="Calibri" w:hAnsi="Times New Roman" w:cs="Times New Roman"/>
          <w:lang w:val="fr-FR"/>
        </w:rPr>
        <w:t>a produit aucun exemple démontrant qu</w:t>
      </w:r>
      <w:r w:rsidR="0070292F" w:rsidRPr="0070292F">
        <w:rPr>
          <w:rFonts w:ascii="Times New Roman" w:eastAsia="Calibri" w:hAnsi="Times New Roman" w:cs="Times New Roman"/>
          <w:lang w:val="fr-FR"/>
        </w:rPr>
        <w:t>’</w:t>
      </w:r>
      <w:r w:rsidRPr="0070292F">
        <w:rPr>
          <w:rFonts w:ascii="Times New Roman" w:eastAsia="Calibri" w:hAnsi="Times New Roman" w:cs="Times New Roman"/>
          <w:lang w:val="fr-FR"/>
        </w:rPr>
        <w:t>une telle action aurait été exercée avec succès dans des circonstances semblables à celles de la présente espèce</w:t>
      </w:r>
      <w:r w:rsidRPr="0070292F">
        <w:rPr>
          <w:lang w:val="fr-FR"/>
        </w:rPr>
        <w:t>.</w:t>
      </w:r>
    </w:p>
    <w:p w:rsidR="00E33800" w:rsidRPr="0070292F" w:rsidRDefault="00E33800" w:rsidP="0070292F">
      <w:pPr>
        <w:pStyle w:val="OpiPara"/>
        <w:rPr>
          <w:lang w:val="fr-FR"/>
        </w:rPr>
      </w:pPr>
      <w:r w:rsidRPr="0070292F">
        <w:rPr>
          <w:rFonts w:cstheme="minorHAnsi"/>
          <w:lang w:val="fr-FR"/>
        </w:rPr>
        <w:t>24.  À</w:t>
      </w:r>
      <w:r w:rsidRPr="0070292F">
        <w:rPr>
          <w:lang w:val="fr-FR"/>
        </w:rPr>
        <w:t xml:space="preserve"> la lumière de ce qui précède, nous estimons que les restrictions à la liberté de circulation du requérant ne pouvaient passer pour « nécessaires dans une société démocratique ».</w:t>
      </w:r>
    </w:p>
    <w:p w:rsidR="00E33800" w:rsidRPr="0070292F" w:rsidRDefault="00E33800" w:rsidP="0070292F">
      <w:pPr>
        <w:pStyle w:val="OpiPara"/>
        <w:rPr>
          <w:rFonts w:eastAsia="Cambria"/>
          <w:lang w:val="fr-FR"/>
        </w:rPr>
      </w:pPr>
      <w:bookmarkStart w:id="62" w:name="para132"/>
      <w:bookmarkEnd w:id="62"/>
      <w:r w:rsidRPr="0070292F">
        <w:rPr>
          <w:lang w:val="fr-FR"/>
        </w:rPr>
        <w:t>25.  Ces éléments nous suffisent pour conclure qu</w:t>
      </w:r>
      <w:r w:rsidR="0070292F" w:rsidRPr="0070292F">
        <w:rPr>
          <w:lang w:val="fr-FR"/>
        </w:rPr>
        <w:t>’</w:t>
      </w:r>
      <w:r w:rsidRPr="0070292F">
        <w:rPr>
          <w:lang w:val="fr-FR"/>
        </w:rPr>
        <w:t>il y a eu violation de l</w:t>
      </w:r>
      <w:r w:rsidR="0070292F" w:rsidRPr="0070292F">
        <w:rPr>
          <w:lang w:val="fr-FR"/>
        </w:rPr>
        <w:t>’</w:t>
      </w:r>
      <w:r w:rsidRPr="0070292F">
        <w:rPr>
          <w:lang w:val="fr-FR"/>
        </w:rPr>
        <w:t>article 2 du Protocole n</w:t>
      </w:r>
      <w:r w:rsidR="0070292F" w:rsidRPr="0070292F">
        <w:rPr>
          <w:vertAlign w:val="superscript"/>
          <w:lang w:val="fr-FR"/>
        </w:rPr>
        <w:t>o</w:t>
      </w:r>
      <w:r w:rsidRPr="0070292F">
        <w:rPr>
          <w:lang w:val="fr-FR"/>
        </w:rPr>
        <w:t xml:space="preserve"> 4 en raison du manque de proportionnalité de la mesure de surveillance spéciale assortie d</w:t>
      </w:r>
      <w:r w:rsidR="0070292F" w:rsidRPr="0070292F">
        <w:rPr>
          <w:lang w:val="fr-FR"/>
        </w:rPr>
        <w:t>’</w:t>
      </w:r>
      <w:r w:rsidRPr="0070292F">
        <w:rPr>
          <w:lang w:val="fr-FR"/>
        </w:rPr>
        <w:t>une assignation à résidence.</w:t>
      </w:r>
    </w:p>
    <w:p w:rsidR="00E33800" w:rsidRPr="0070292F" w:rsidRDefault="00E33800" w:rsidP="0070292F">
      <w:pPr>
        <w:ind w:firstLine="284"/>
        <w:rPr>
          <w:rFonts w:eastAsia="Cambria"/>
          <w:lang w:val="fr-FR"/>
        </w:rPr>
      </w:pPr>
    </w:p>
    <w:p w:rsidR="00E33800" w:rsidRPr="0070292F" w:rsidRDefault="00E33800" w:rsidP="0070292F">
      <w:pPr>
        <w:rPr>
          <w:lang w:val="fr-FR"/>
        </w:rPr>
      </w:pPr>
    </w:p>
    <w:p w:rsidR="009F0681" w:rsidRPr="0070292F" w:rsidRDefault="009F0681" w:rsidP="0070292F">
      <w:pPr>
        <w:ind w:firstLine="284"/>
        <w:rPr>
          <w:lang w:val="fr-FR"/>
        </w:rPr>
      </w:pPr>
      <w:r w:rsidRPr="0070292F">
        <w:rPr>
          <w:lang w:val="fr-FR"/>
        </w:rPr>
        <w:br w:type="page"/>
      </w:r>
    </w:p>
    <w:p w:rsidR="009F0681" w:rsidRPr="0070292F" w:rsidRDefault="009F0681" w:rsidP="0070292F">
      <w:pPr>
        <w:pStyle w:val="ECHRTitleCentre1"/>
        <w:rPr>
          <w:lang w:val="fr-FR"/>
        </w:rPr>
      </w:pPr>
      <w:bookmarkStart w:id="63" w:name="_Toc475451871"/>
      <w:r w:rsidRPr="0070292F">
        <w:rPr>
          <w:lang w:val="fr-FR"/>
        </w:rPr>
        <w:lastRenderedPageBreak/>
        <w:t>OPINION CONCORDANTE DU JUGE DEDOV</w:t>
      </w:r>
      <w:bookmarkEnd w:id="63"/>
    </w:p>
    <w:p w:rsidR="009F0681" w:rsidRPr="0070292F" w:rsidRDefault="009F0681" w:rsidP="0070292F">
      <w:pPr>
        <w:pStyle w:val="OpiTranslation"/>
        <w:rPr>
          <w:i w:val="0"/>
          <w:lang w:val="fr-FR"/>
        </w:rPr>
      </w:pPr>
      <w:bookmarkStart w:id="64" w:name="_Toc475451872"/>
      <w:r w:rsidRPr="0070292F">
        <w:rPr>
          <w:i w:val="0"/>
          <w:lang w:val="fr-FR"/>
        </w:rPr>
        <w:t>(</w:t>
      </w:r>
      <w:r w:rsidRPr="0070292F">
        <w:rPr>
          <w:lang w:val="fr-FR"/>
        </w:rPr>
        <w:t>Traduction</w:t>
      </w:r>
      <w:r w:rsidRPr="0070292F">
        <w:rPr>
          <w:i w:val="0"/>
          <w:lang w:val="fr-FR"/>
        </w:rPr>
        <w:t>)</w:t>
      </w:r>
      <w:bookmarkEnd w:id="64"/>
    </w:p>
    <w:p w:rsidR="009F0681" w:rsidRPr="0070292F" w:rsidRDefault="009F0681" w:rsidP="0070292F">
      <w:pPr>
        <w:pStyle w:val="OpiPara"/>
        <w:rPr>
          <w:lang w:val="fr-FR"/>
        </w:rPr>
      </w:pPr>
    </w:p>
    <w:p w:rsidR="009F0681" w:rsidRPr="0070292F" w:rsidRDefault="009F0681" w:rsidP="0070292F">
      <w:pPr>
        <w:pStyle w:val="OpiPara"/>
        <w:rPr>
          <w:lang w:val="fr-FR"/>
        </w:rPr>
      </w:pPr>
      <w:r w:rsidRPr="0070292F">
        <w:rPr>
          <w:lang w:val="fr-FR"/>
        </w:rPr>
        <w:t>Je souscris sans réserve au but légitime énoncé par la Cour constitutionnelle italienne dans son arrêt n</w:t>
      </w:r>
      <w:r w:rsidRPr="0070292F">
        <w:rPr>
          <w:vertAlign w:val="superscript"/>
          <w:lang w:val="fr-FR"/>
        </w:rPr>
        <w:t>o</w:t>
      </w:r>
      <w:r w:rsidRPr="0070292F">
        <w:rPr>
          <w:lang w:val="fr-FR"/>
        </w:rPr>
        <w:t xml:space="preserve"> 2 de 1956 : « Le « bien vivre ensemble » est indéniablement le but recherché par un État de droit, libre et démocratique ». Lorsque la paix sociale est installée, les libertés et droits fondamentaux sont pleinement respectés. Nous savons toutefois qu</w:t>
      </w:r>
      <w:r w:rsidR="0070292F" w:rsidRPr="0070292F">
        <w:rPr>
          <w:lang w:val="fr-FR"/>
        </w:rPr>
        <w:t>’</w:t>
      </w:r>
      <w:r w:rsidRPr="0070292F">
        <w:rPr>
          <w:lang w:val="fr-FR"/>
        </w:rPr>
        <w:t>il n</w:t>
      </w:r>
      <w:r w:rsidR="0070292F" w:rsidRPr="0070292F">
        <w:rPr>
          <w:lang w:val="fr-FR"/>
        </w:rPr>
        <w:t>’</w:t>
      </w:r>
      <w:r w:rsidRPr="0070292F">
        <w:rPr>
          <w:lang w:val="fr-FR"/>
        </w:rPr>
        <w:t>est pas si facile de se faire une place dans la société, de réussir à s</w:t>
      </w:r>
      <w:r w:rsidR="0070292F" w:rsidRPr="0070292F">
        <w:rPr>
          <w:lang w:val="fr-FR"/>
        </w:rPr>
        <w:t>’</w:t>
      </w:r>
      <w:r w:rsidRPr="0070292F">
        <w:rPr>
          <w:lang w:val="fr-FR"/>
        </w:rPr>
        <w:t>y intégrer, de faire appel à ses talents et aptitudes pour trouver le métier qui nous convient et prendre part au partage du travail de manière amicale et pacifique. Sur ce chemin toujours difficile, les crises psychologiques individuelles sont inévitables. Tous les individus ne possèdent pas suffisamment de culture et d</w:t>
      </w:r>
      <w:r w:rsidR="0070292F" w:rsidRPr="0070292F">
        <w:rPr>
          <w:lang w:val="fr-FR"/>
        </w:rPr>
        <w:t>’</w:t>
      </w:r>
      <w:r w:rsidRPr="0070292F">
        <w:rPr>
          <w:lang w:val="fr-FR"/>
        </w:rPr>
        <w:t>autodiscipline pour éviter les comportements offensants, violents ou pour d</w:t>
      </w:r>
      <w:r w:rsidR="0070292F" w:rsidRPr="0070292F">
        <w:rPr>
          <w:lang w:val="fr-FR"/>
        </w:rPr>
        <w:t>’</w:t>
      </w:r>
      <w:r w:rsidRPr="0070292F">
        <w:rPr>
          <w:lang w:val="fr-FR"/>
        </w:rPr>
        <w:t>autres raisons antisociaux, ou, plus généralement, la marginalisation.</w:t>
      </w:r>
    </w:p>
    <w:p w:rsidR="009F0681" w:rsidRPr="0070292F" w:rsidRDefault="009F0681" w:rsidP="0070292F">
      <w:pPr>
        <w:pStyle w:val="OpiPara"/>
        <w:rPr>
          <w:lang w:val="fr-FR"/>
        </w:rPr>
      </w:pPr>
      <w:r w:rsidRPr="0070292F">
        <w:rPr>
          <w:lang w:val="fr-FR"/>
        </w:rPr>
        <w:t>Le problème est que l</w:t>
      </w:r>
      <w:r w:rsidR="0070292F" w:rsidRPr="0070292F">
        <w:rPr>
          <w:lang w:val="fr-FR"/>
        </w:rPr>
        <w:t>’</w:t>
      </w:r>
      <w:r w:rsidRPr="0070292F">
        <w:rPr>
          <w:lang w:val="fr-FR"/>
        </w:rPr>
        <w:t>on ne peut pas atteindre le but susmentionné uniquement par le biais de mesures coercitives. Je souhaite encourager les autorités nationales à développer leur ordre interne. Je pense qu</w:t>
      </w:r>
      <w:r w:rsidR="0070292F" w:rsidRPr="0070292F">
        <w:rPr>
          <w:lang w:val="fr-FR"/>
        </w:rPr>
        <w:t>’</w:t>
      </w:r>
      <w:r w:rsidRPr="0070292F">
        <w:rPr>
          <w:lang w:val="fr-FR"/>
        </w:rPr>
        <w:t>il conviendrait de mettre davantage l</w:t>
      </w:r>
      <w:r w:rsidR="0070292F" w:rsidRPr="0070292F">
        <w:rPr>
          <w:lang w:val="fr-FR"/>
        </w:rPr>
        <w:t>’</w:t>
      </w:r>
      <w:r w:rsidRPr="0070292F">
        <w:rPr>
          <w:lang w:val="fr-FR"/>
        </w:rPr>
        <w:t>accent sur la réinsertion sociale et psychologique</w:t>
      </w:r>
      <w:r w:rsidRPr="0070292F">
        <w:rPr>
          <w:b/>
          <w:lang w:val="fr-FR"/>
        </w:rPr>
        <w:t xml:space="preserve"> </w:t>
      </w:r>
      <w:r w:rsidRPr="0070292F">
        <w:rPr>
          <w:lang w:val="fr-FR"/>
        </w:rPr>
        <w:t>(en sus de la sanction elle-même). Cette approche pourrait être appliquée principalement aux anciens délinquants, mais d</w:t>
      </w:r>
      <w:r w:rsidR="0070292F" w:rsidRPr="0070292F">
        <w:rPr>
          <w:lang w:val="fr-FR"/>
        </w:rPr>
        <w:t>’</w:t>
      </w:r>
      <w:r w:rsidRPr="0070292F">
        <w:rPr>
          <w:lang w:val="fr-FR"/>
        </w:rPr>
        <w:t>autres personnes pourraient aussi faire l</w:t>
      </w:r>
      <w:r w:rsidR="0070292F" w:rsidRPr="0070292F">
        <w:rPr>
          <w:lang w:val="fr-FR"/>
        </w:rPr>
        <w:t>’</w:t>
      </w:r>
      <w:r w:rsidRPr="0070292F">
        <w:rPr>
          <w:lang w:val="fr-FR"/>
        </w:rPr>
        <w:t>objet de telles mesures sur une base volontaire. À cet égard, l</w:t>
      </w:r>
      <w:r w:rsidR="0070292F" w:rsidRPr="0070292F">
        <w:rPr>
          <w:lang w:val="fr-FR"/>
        </w:rPr>
        <w:t>’</w:t>
      </w:r>
      <w:r w:rsidRPr="0070292F">
        <w:rPr>
          <w:lang w:val="fr-FR"/>
        </w:rPr>
        <w:t>analyse de la qualité de la loi contenue dans le présent arrêt aurait pu être complétée par la conclusion que les mesures coercitives en cause ne sont pas proportionnées, du fait qu</w:t>
      </w:r>
      <w:r w:rsidR="0070292F" w:rsidRPr="0070292F">
        <w:rPr>
          <w:lang w:val="fr-FR"/>
        </w:rPr>
        <w:t>’</w:t>
      </w:r>
      <w:r w:rsidRPr="0070292F">
        <w:rPr>
          <w:lang w:val="fr-FR"/>
        </w:rPr>
        <w:t>en elles-mêmes elles ne permettent pas d</w:t>
      </w:r>
      <w:r w:rsidR="0070292F" w:rsidRPr="0070292F">
        <w:rPr>
          <w:lang w:val="fr-FR"/>
        </w:rPr>
        <w:t>’</w:t>
      </w:r>
      <w:r w:rsidRPr="0070292F">
        <w:rPr>
          <w:lang w:val="fr-FR"/>
        </w:rPr>
        <w:t>atteindre le but légitime poursuivi. Une assignation à résidence ou une injonction de trouver du travail ne vont pas convaincre la personne concernée de changer de mode de vie. De plus, cela signifie que la conclusion relative à la proportionnalité aurait évoqué l</w:t>
      </w:r>
      <w:r w:rsidR="0070292F" w:rsidRPr="0070292F">
        <w:rPr>
          <w:lang w:val="fr-FR"/>
        </w:rPr>
        <w:t>’</w:t>
      </w:r>
      <w:r w:rsidRPr="0070292F">
        <w:rPr>
          <w:lang w:val="fr-FR"/>
        </w:rPr>
        <w:t>art de faire des lois et non la mise en œuvre concrète des mesures.</w:t>
      </w:r>
    </w:p>
    <w:p w:rsidR="00E33800" w:rsidRPr="0070292F" w:rsidRDefault="00E33800" w:rsidP="0070292F">
      <w:pPr>
        <w:ind w:firstLine="284"/>
        <w:rPr>
          <w:lang w:val="fr-FR"/>
        </w:rPr>
      </w:pPr>
    </w:p>
    <w:p w:rsidR="00E33800" w:rsidRPr="0070292F" w:rsidRDefault="00E33800" w:rsidP="0070292F">
      <w:pPr>
        <w:ind w:firstLine="284"/>
        <w:rPr>
          <w:lang w:val="fr-FR"/>
        </w:rPr>
      </w:pPr>
    </w:p>
    <w:p w:rsidR="00E33800" w:rsidRPr="0070292F" w:rsidRDefault="00E33800" w:rsidP="0070292F">
      <w:pPr>
        <w:ind w:firstLine="284"/>
        <w:jc w:val="right"/>
        <w:rPr>
          <w:lang w:val="fr-FR"/>
        </w:rPr>
      </w:pPr>
    </w:p>
    <w:p w:rsidR="00B05991" w:rsidRPr="0070292F" w:rsidRDefault="00B05991" w:rsidP="0070292F">
      <w:pPr>
        <w:ind w:firstLine="284"/>
        <w:rPr>
          <w:lang w:val="fr-FR"/>
        </w:rPr>
      </w:pPr>
      <w:r w:rsidRPr="0070292F">
        <w:rPr>
          <w:lang w:val="fr-FR"/>
        </w:rPr>
        <w:br w:type="page"/>
      </w:r>
    </w:p>
    <w:p w:rsidR="00B05991" w:rsidRPr="0070292F" w:rsidRDefault="00B05991" w:rsidP="0070292F">
      <w:pPr>
        <w:pStyle w:val="ECHRTitleCentre1"/>
        <w:rPr>
          <w:lang w:val="fr-FR"/>
        </w:rPr>
      </w:pPr>
      <w:bookmarkStart w:id="65" w:name="_Toc475451873"/>
      <w:r w:rsidRPr="0070292F">
        <w:rPr>
          <w:lang w:val="fr-FR"/>
        </w:rPr>
        <w:lastRenderedPageBreak/>
        <w:t xml:space="preserve">OPINION </w:t>
      </w:r>
      <w:r w:rsidR="005B6DE4" w:rsidRPr="0070292F">
        <w:rPr>
          <w:lang w:val="fr-FR"/>
        </w:rPr>
        <w:t>EN PARTIE</w:t>
      </w:r>
      <w:r w:rsidRPr="0070292F">
        <w:rPr>
          <w:lang w:val="fr-FR"/>
        </w:rPr>
        <w:t xml:space="preserve"> DISSIDENTE DU JUGE SAJÓ</w:t>
      </w:r>
      <w:bookmarkEnd w:id="65"/>
    </w:p>
    <w:p w:rsidR="00B05991" w:rsidRPr="0070292F" w:rsidRDefault="00B05991" w:rsidP="0070292F">
      <w:pPr>
        <w:pStyle w:val="OpiTranslation"/>
        <w:rPr>
          <w:i w:val="0"/>
          <w:lang w:val="fr-FR"/>
        </w:rPr>
      </w:pPr>
      <w:bookmarkStart w:id="66" w:name="_Toc475451874"/>
      <w:r w:rsidRPr="0070292F">
        <w:rPr>
          <w:i w:val="0"/>
          <w:lang w:val="fr-FR"/>
        </w:rPr>
        <w:t>(</w:t>
      </w:r>
      <w:r w:rsidRPr="0070292F">
        <w:rPr>
          <w:lang w:val="fr-FR"/>
        </w:rPr>
        <w:t>Traduction</w:t>
      </w:r>
      <w:r w:rsidRPr="0070292F">
        <w:rPr>
          <w:i w:val="0"/>
          <w:lang w:val="fr-FR"/>
        </w:rPr>
        <w:t>)</w:t>
      </w:r>
      <w:bookmarkEnd w:id="66"/>
    </w:p>
    <w:p w:rsidR="00B05991" w:rsidRPr="0070292F" w:rsidRDefault="00B05991" w:rsidP="0070292F">
      <w:pPr>
        <w:pStyle w:val="OpiPara"/>
        <w:rPr>
          <w:lang w:val="fr-FR"/>
        </w:rPr>
      </w:pPr>
    </w:p>
    <w:p w:rsidR="0070292F" w:rsidRPr="0070292F" w:rsidRDefault="00B05991" w:rsidP="0070292F">
      <w:pPr>
        <w:pStyle w:val="OpiPara"/>
        <w:rPr>
          <w:rFonts w:ascii="Times New Roman" w:eastAsia="Times New Roman" w:hAnsi="Times New Roman" w:cs="Times New Roman"/>
          <w:lang w:val="fr-FR"/>
        </w:rPr>
      </w:pPr>
      <w:r w:rsidRPr="0070292F">
        <w:rPr>
          <w:rFonts w:ascii="Times New Roman" w:eastAsia="Times New Roman" w:hAnsi="Times New Roman" w:cs="Times New Roman"/>
          <w:lang w:val="fr-FR"/>
        </w:rPr>
        <w:t>J</w:t>
      </w:r>
      <w:r w:rsidR="0070292F" w:rsidRPr="0070292F">
        <w:rPr>
          <w:rFonts w:ascii="Times New Roman" w:eastAsia="Times New Roman" w:hAnsi="Times New Roman" w:cs="Times New Roman"/>
          <w:lang w:val="fr-FR"/>
        </w:rPr>
        <w:t>’</w:t>
      </w:r>
      <w:r w:rsidRPr="0070292F">
        <w:rPr>
          <w:rFonts w:ascii="Times New Roman" w:eastAsia="Times New Roman" w:hAnsi="Times New Roman" w:cs="Times New Roman"/>
          <w:lang w:val="fr-FR"/>
        </w:rPr>
        <w:t>ai voté en faveur du constat de violation de l</w:t>
      </w:r>
      <w:r w:rsidR="0070292F" w:rsidRPr="0070292F">
        <w:rPr>
          <w:rFonts w:ascii="Times New Roman" w:eastAsia="Times New Roman" w:hAnsi="Times New Roman" w:cs="Times New Roman"/>
          <w:lang w:val="fr-FR"/>
        </w:rPr>
        <w:t>’</w:t>
      </w:r>
      <w:r w:rsidRPr="0070292F">
        <w:rPr>
          <w:rFonts w:ascii="Times New Roman" w:eastAsia="Times New Roman" w:hAnsi="Times New Roman" w:cs="Times New Roman"/>
          <w:lang w:val="fr-FR"/>
        </w:rPr>
        <w:t>article 6 et estime également</w:t>
      </w:r>
      <w:r w:rsidRPr="0070292F">
        <w:rPr>
          <w:rFonts w:ascii="Times New Roman" w:eastAsia="Times New Roman" w:hAnsi="Times New Roman" w:cs="Times New Roman"/>
          <w:b/>
          <w:lang w:val="fr-FR"/>
        </w:rPr>
        <w:t xml:space="preserve"> </w:t>
      </w:r>
      <w:r w:rsidRPr="0070292F">
        <w:rPr>
          <w:rFonts w:ascii="Times New Roman" w:eastAsia="Times New Roman" w:hAnsi="Times New Roman" w:cs="Times New Roman"/>
          <w:lang w:val="fr-FR"/>
        </w:rPr>
        <w:t>qu</w:t>
      </w:r>
      <w:r w:rsidR="0070292F" w:rsidRPr="0070292F">
        <w:rPr>
          <w:rFonts w:ascii="Times New Roman" w:eastAsia="Times New Roman" w:hAnsi="Times New Roman" w:cs="Times New Roman"/>
          <w:lang w:val="fr-FR"/>
        </w:rPr>
        <w:t>’</w:t>
      </w:r>
      <w:r w:rsidRPr="0070292F">
        <w:rPr>
          <w:rFonts w:ascii="Times New Roman" w:eastAsia="Times New Roman" w:hAnsi="Times New Roman" w:cs="Times New Roman"/>
          <w:lang w:val="fr-FR"/>
        </w:rPr>
        <w:t>il y a eu violation de l</w:t>
      </w:r>
      <w:r w:rsidR="0070292F" w:rsidRPr="0070292F">
        <w:rPr>
          <w:rFonts w:ascii="Times New Roman" w:eastAsia="Times New Roman" w:hAnsi="Times New Roman" w:cs="Times New Roman"/>
          <w:lang w:val="fr-FR"/>
        </w:rPr>
        <w:t>’</w:t>
      </w:r>
      <w:r w:rsidRPr="0070292F">
        <w:rPr>
          <w:rFonts w:ascii="Times New Roman" w:eastAsia="Times New Roman" w:hAnsi="Times New Roman" w:cs="Times New Roman"/>
          <w:lang w:val="fr-FR"/>
        </w:rPr>
        <w:t>article 2 du Protocole n</w:t>
      </w:r>
      <w:r w:rsidRPr="0070292F">
        <w:rPr>
          <w:rFonts w:ascii="Times New Roman" w:eastAsia="Times New Roman" w:hAnsi="Times New Roman" w:cs="Times New Roman"/>
          <w:vertAlign w:val="superscript"/>
          <w:lang w:val="fr-FR"/>
        </w:rPr>
        <w:t>o</w:t>
      </w:r>
      <w:r w:rsidRPr="0070292F">
        <w:rPr>
          <w:rFonts w:ascii="Times New Roman" w:eastAsia="Times New Roman" w:hAnsi="Times New Roman" w:cs="Times New Roman"/>
          <w:lang w:val="fr-FR"/>
        </w:rPr>
        <w:t xml:space="preserve"> 4 (défaut de prévisibilité à la fois de la liste des personnes auxquelles les mesures sont applicables (article 1 de la loi de 1956) et des mesures elles-mêmes (articles</w:t>
      </w:r>
      <w:r w:rsidR="001E49F2" w:rsidRPr="0070292F">
        <w:rPr>
          <w:rFonts w:ascii="Times New Roman" w:eastAsia="Times New Roman" w:hAnsi="Times New Roman" w:cs="Times New Roman"/>
          <w:lang w:val="fr-FR"/>
        </w:rPr>
        <w:t> </w:t>
      </w:r>
      <w:r w:rsidRPr="0070292F">
        <w:rPr>
          <w:rFonts w:ascii="Times New Roman" w:eastAsia="Times New Roman" w:hAnsi="Times New Roman" w:cs="Times New Roman"/>
          <w:lang w:val="fr-FR"/>
        </w:rPr>
        <w:t>3 et 5 de la loi de 1956)). Je suis toutefois au regret de ne pouvoir souscrire à la position de la majorité concernant les articles 5 et 6 (volet pénal), et ce principalement pour les raisons formulées dans l</w:t>
      </w:r>
      <w:r w:rsidR="0070292F" w:rsidRPr="0070292F">
        <w:rPr>
          <w:rFonts w:ascii="Times New Roman" w:eastAsia="Times New Roman" w:hAnsi="Times New Roman" w:cs="Times New Roman"/>
          <w:lang w:val="fr-FR"/>
        </w:rPr>
        <w:t>’</w:t>
      </w:r>
      <w:r w:rsidRPr="0070292F">
        <w:rPr>
          <w:rFonts w:ascii="Times New Roman" w:eastAsia="Times New Roman" w:hAnsi="Times New Roman" w:cs="Times New Roman"/>
          <w:lang w:val="fr-FR"/>
        </w:rPr>
        <w:t>opinion séparée du juge Pinto de Albuquerque.</w:t>
      </w:r>
    </w:p>
    <w:p w:rsidR="00B05991" w:rsidRPr="0070292F" w:rsidRDefault="00B05991" w:rsidP="0070292F">
      <w:pPr>
        <w:pStyle w:val="OpiPara"/>
        <w:rPr>
          <w:lang w:val="fr-FR"/>
        </w:rPr>
      </w:pPr>
    </w:p>
    <w:p w:rsidR="00B05991" w:rsidRPr="0070292F" w:rsidRDefault="00B05991" w:rsidP="0070292F">
      <w:pPr>
        <w:pStyle w:val="OpiPara"/>
        <w:rPr>
          <w:lang w:val="fr-FR"/>
        </w:rPr>
      </w:pPr>
    </w:p>
    <w:p w:rsidR="00EF6B37" w:rsidRPr="0070292F" w:rsidRDefault="00EF6B37" w:rsidP="0070292F">
      <w:pPr>
        <w:pStyle w:val="OpiPara"/>
        <w:rPr>
          <w:lang w:val="fr-FR"/>
        </w:rPr>
      </w:pPr>
      <w:r w:rsidRPr="0070292F">
        <w:rPr>
          <w:lang w:val="fr-FR"/>
        </w:rPr>
        <w:br w:type="page"/>
      </w:r>
    </w:p>
    <w:p w:rsidR="005103F7" w:rsidRPr="0070292F" w:rsidRDefault="005103F7" w:rsidP="0070292F">
      <w:pPr>
        <w:pStyle w:val="ECHRTitleCentre1"/>
        <w:rPr>
          <w:lang w:val="fr-FR"/>
        </w:rPr>
      </w:pPr>
      <w:bookmarkStart w:id="67" w:name="_Toc475451875"/>
      <w:r w:rsidRPr="0070292F">
        <w:rPr>
          <w:lang w:val="fr-FR"/>
        </w:rPr>
        <w:lastRenderedPageBreak/>
        <w:t>OPINION EN PARTIE DISSIDENTE DU JUGE VUČINIĆ</w:t>
      </w:r>
      <w:bookmarkEnd w:id="67"/>
    </w:p>
    <w:p w:rsidR="005103F7" w:rsidRPr="0070292F" w:rsidRDefault="005103F7" w:rsidP="0070292F">
      <w:pPr>
        <w:pStyle w:val="OpiPara"/>
        <w:rPr>
          <w:lang w:val="fr-FR"/>
        </w:rPr>
      </w:pPr>
      <w:r w:rsidRPr="0070292F">
        <w:rPr>
          <w:lang w:val="fr-FR"/>
        </w:rPr>
        <w:t>J</w:t>
      </w:r>
      <w:r w:rsidR="0070292F" w:rsidRPr="0070292F">
        <w:rPr>
          <w:lang w:val="fr-FR"/>
        </w:rPr>
        <w:t>’</w:t>
      </w:r>
      <w:r w:rsidRPr="0070292F">
        <w:rPr>
          <w:lang w:val="fr-FR"/>
        </w:rPr>
        <w:t>ai voté en faveur d</w:t>
      </w:r>
      <w:r w:rsidR="0070292F" w:rsidRPr="0070292F">
        <w:rPr>
          <w:lang w:val="fr-FR"/>
        </w:rPr>
        <w:t>’</w:t>
      </w:r>
      <w:r w:rsidRPr="0070292F">
        <w:rPr>
          <w:lang w:val="fr-FR"/>
        </w:rPr>
        <w:t>un constat de violation des articles 6 et 13, pour les raisons exposées dans la deuxième partie de l</w:t>
      </w:r>
      <w:r w:rsidR="0070292F" w:rsidRPr="0070292F">
        <w:rPr>
          <w:lang w:val="fr-FR"/>
        </w:rPr>
        <w:t>’</w:t>
      </w:r>
      <w:r w:rsidRPr="0070292F">
        <w:rPr>
          <w:lang w:val="fr-FR"/>
        </w:rPr>
        <w:t>opinion séparé</w:t>
      </w:r>
      <w:r w:rsidR="002177D9" w:rsidRPr="0070292F">
        <w:rPr>
          <w:lang w:val="fr-FR"/>
        </w:rPr>
        <w:t>e du juge Pinto de Albuquerque.</w:t>
      </w:r>
    </w:p>
    <w:p w:rsidR="00EF6B37" w:rsidRPr="0070292F" w:rsidRDefault="00EF6B37" w:rsidP="0070292F">
      <w:pPr>
        <w:pStyle w:val="OpiPara"/>
        <w:rPr>
          <w:bCs/>
          <w:iCs/>
          <w:lang w:val="fr-FR"/>
        </w:rPr>
      </w:pPr>
    </w:p>
    <w:p w:rsidR="003D30C1" w:rsidRPr="0070292F" w:rsidRDefault="003D30C1" w:rsidP="0070292F">
      <w:pPr>
        <w:pStyle w:val="OpiPara"/>
        <w:rPr>
          <w:lang w:val="fr-FR"/>
        </w:rPr>
      </w:pPr>
      <w:r w:rsidRPr="0070292F">
        <w:rPr>
          <w:lang w:val="fr-FR"/>
        </w:rPr>
        <w:br w:type="page"/>
      </w:r>
    </w:p>
    <w:p w:rsidR="003D30C1" w:rsidRPr="0070292F" w:rsidRDefault="003D30C1" w:rsidP="0070292F">
      <w:pPr>
        <w:pStyle w:val="ECHRTitleCentre1"/>
        <w:rPr>
          <w:lang w:val="fr-FR"/>
        </w:rPr>
      </w:pPr>
      <w:bookmarkStart w:id="68" w:name="_Toc473124019"/>
      <w:bookmarkStart w:id="69" w:name="_Toc473124165"/>
      <w:bookmarkStart w:id="70" w:name="_Toc473124197"/>
      <w:bookmarkStart w:id="71" w:name="_Toc474226556"/>
      <w:bookmarkStart w:id="72" w:name="_Toc475451876"/>
      <w:r w:rsidRPr="0070292F">
        <w:rPr>
          <w:lang w:val="fr-FR"/>
        </w:rPr>
        <w:lastRenderedPageBreak/>
        <w:t>OPINION EN PARTIE DISSIDENTE</w:t>
      </w:r>
      <w:r w:rsidRPr="0070292F">
        <w:rPr>
          <w:lang w:val="fr-FR"/>
        </w:rPr>
        <w:br/>
        <w:t>DU JUGE PINTO DE ALBUQUERQUE</w:t>
      </w:r>
      <w:bookmarkEnd w:id="68"/>
      <w:bookmarkEnd w:id="69"/>
      <w:bookmarkEnd w:id="70"/>
      <w:bookmarkEnd w:id="71"/>
      <w:bookmarkEnd w:id="72"/>
    </w:p>
    <w:p w:rsidR="003D30C1" w:rsidRPr="0070292F" w:rsidRDefault="003D30C1" w:rsidP="0070292F">
      <w:pPr>
        <w:pStyle w:val="OpiTranslation"/>
        <w:rPr>
          <w:lang w:val="fr-FR"/>
        </w:rPr>
      </w:pPr>
      <w:bookmarkStart w:id="73" w:name="_Toc473124020"/>
      <w:bookmarkStart w:id="74" w:name="_Toc473124166"/>
      <w:bookmarkStart w:id="75" w:name="_Toc473124198"/>
      <w:bookmarkStart w:id="76" w:name="_Toc474226557"/>
      <w:bookmarkStart w:id="77" w:name="_Toc475451877"/>
      <w:r w:rsidRPr="0070292F">
        <w:rPr>
          <w:lang w:val="fr-FR"/>
        </w:rPr>
        <w:t>(Traduction)</w:t>
      </w:r>
      <w:bookmarkEnd w:id="73"/>
      <w:bookmarkEnd w:id="74"/>
      <w:bookmarkEnd w:id="75"/>
      <w:bookmarkEnd w:id="76"/>
      <w:bookmarkEnd w:id="77"/>
    </w:p>
    <w:p w:rsidR="003D30C1" w:rsidRPr="0070292F" w:rsidRDefault="003D30C1" w:rsidP="0070292F">
      <w:pPr>
        <w:ind w:firstLine="284"/>
        <w:rPr>
          <w:b/>
          <w:lang w:val="fr-FR"/>
        </w:rPr>
      </w:pPr>
      <w:r w:rsidRPr="0070292F">
        <w:rPr>
          <w:b/>
          <w:lang w:val="fr-FR"/>
        </w:rPr>
        <w:t>Table des matières</w:t>
      </w:r>
    </w:p>
    <w:p w:rsidR="0070292F" w:rsidRPr="0070292F" w:rsidRDefault="003D30C1" w:rsidP="0070292F">
      <w:pPr>
        <w:pStyle w:val="Sommario1"/>
        <w:rPr>
          <w:b w:val="0"/>
          <w:noProof/>
        </w:rPr>
      </w:pPr>
      <w:r w:rsidRPr="0070292F">
        <w:rPr>
          <w:lang w:val="fr-FR"/>
        </w:rPr>
        <w:fldChar w:fldCharType="begin"/>
      </w:r>
      <w:r w:rsidRPr="0070292F">
        <w:rPr>
          <w:lang w:val="fr-FR"/>
        </w:rPr>
        <w:instrText xml:space="preserve"> TOC \o "1-3" \n \h \z \u </w:instrText>
      </w:r>
      <w:r w:rsidRPr="0070292F">
        <w:rPr>
          <w:lang w:val="fr-FR"/>
        </w:rPr>
        <w:fldChar w:fldCharType="separate"/>
      </w:r>
    </w:p>
    <w:p w:rsidR="0070292F" w:rsidRPr="0070292F" w:rsidRDefault="00ED0C5B" w:rsidP="0070292F">
      <w:pPr>
        <w:pStyle w:val="Sommario2"/>
        <w:rPr>
          <w:noProof/>
        </w:rPr>
      </w:pPr>
      <w:hyperlink w:anchor="_Toc475451878" w:history="1">
        <w:r w:rsidR="0070292F" w:rsidRPr="0070292F">
          <w:rPr>
            <w:rStyle w:val="Collegamentoipertestuale"/>
            <w:noProof/>
            <w:lang w:val="fr-FR"/>
          </w:rPr>
          <w:t>I.  Introduction (§ 1)</w:t>
        </w:r>
      </w:hyperlink>
    </w:p>
    <w:p w:rsidR="0070292F" w:rsidRPr="0070292F" w:rsidRDefault="00ED0C5B" w:rsidP="0070292F">
      <w:pPr>
        <w:pStyle w:val="Sommario2"/>
        <w:rPr>
          <w:noProof/>
        </w:rPr>
      </w:pPr>
      <w:hyperlink w:anchor="_Toc475451879" w:history="1">
        <w:r w:rsidR="0070292F" w:rsidRPr="0070292F">
          <w:rPr>
            <w:rStyle w:val="Collegamentoipertestuale"/>
            <w:noProof/>
            <w:lang w:val="fr-FR"/>
          </w:rPr>
          <w:t>Première partie (§§ 2-31)</w:t>
        </w:r>
      </w:hyperlink>
    </w:p>
    <w:p w:rsidR="0070292F" w:rsidRPr="0070292F" w:rsidRDefault="00ED0C5B" w:rsidP="0070292F">
      <w:pPr>
        <w:pStyle w:val="Sommario2"/>
        <w:rPr>
          <w:noProof/>
        </w:rPr>
      </w:pPr>
      <w:hyperlink w:anchor="_Toc475451880" w:history="1">
        <w:r w:rsidR="0070292F" w:rsidRPr="0070292F">
          <w:rPr>
            <w:rStyle w:val="Collegamentoipertestuale"/>
            <w:noProof/>
            <w:lang w:val="fr-FR"/>
          </w:rPr>
          <w:t>II.  La nature de la privation de liberté dans le contexte des mesures de prévention (§§ 2-11)</w:t>
        </w:r>
      </w:hyperlink>
    </w:p>
    <w:p w:rsidR="0070292F" w:rsidRPr="0070292F" w:rsidRDefault="00ED0C5B" w:rsidP="0070292F">
      <w:pPr>
        <w:pStyle w:val="Sommario3"/>
        <w:rPr>
          <w:noProof/>
          <w:sz w:val="22"/>
        </w:rPr>
      </w:pPr>
      <w:hyperlink w:anchor="_Toc475451881" w:history="1">
        <w:r w:rsidR="0070292F" w:rsidRPr="0070292F">
          <w:rPr>
            <w:rStyle w:val="Collegamentoipertestuale"/>
            <w:noProof/>
            <w:lang w:val="fr-FR"/>
          </w:rPr>
          <w:t>A.  </w:t>
        </w:r>
        <w:r w:rsidR="0070292F" w:rsidRPr="0070292F">
          <w:rPr>
            <w:rStyle w:val="Collegamentoipertestuale"/>
            <w:i/>
            <w:noProof/>
            <w:lang w:val="fr-FR"/>
          </w:rPr>
          <w:t>Prius ergo est suspicio</w:t>
        </w:r>
        <w:r w:rsidR="0070292F" w:rsidRPr="0070292F">
          <w:rPr>
            <w:rStyle w:val="Collegamentoipertestuale"/>
            <w:noProof/>
            <w:lang w:val="fr-FR"/>
          </w:rPr>
          <w:t xml:space="preserve"> (§§ 2-8)</w:t>
        </w:r>
      </w:hyperlink>
    </w:p>
    <w:p w:rsidR="0070292F" w:rsidRPr="0070292F" w:rsidRDefault="00ED0C5B" w:rsidP="0070292F">
      <w:pPr>
        <w:pStyle w:val="Sommario3"/>
        <w:rPr>
          <w:noProof/>
          <w:sz w:val="22"/>
        </w:rPr>
      </w:pPr>
      <w:hyperlink w:anchor="_Toc475451882" w:history="1">
        <w:r w:rsidR="0070292F" w:rsidRPr="0070292F">
          <w:rPr>
            <w:rStyle w:val="Collegamentoipertestuale"/>
            <w:noProof/>
            <w:lang w:val="fr-FR"/>
          </w:rPr>
          <w:t>B.  La</w:t>
        </w:r>
        <w:r w:rsidR="0070292F" w:rsidRPr="0070292F">
          <w:rPr>
            <w:rStyle w:val="Collegamentoipertestuale"/>
            <w:i/>
            <w:noProof/>
            <w:lang w:val="fr-FR"/>
          </w:rPr>
          <w:t xml:space="preserve"> frode delle etichette </w:t>
        </w:r>
        <w:r w:rsidR="0070292F" w:rsidRPr="0070292F">
          <w:rPr>
            <w:rStyle w:val="Collegamentoipertestuale"/>
            <w:noProof/>
            <w:lang w:val="fr-FR"/>
          </w:rPr>
          <w:t>dans le contexte des mesures de prévention (§§ 9-11)</w:t>
        </w:r>
      </w:hyperlink>
    </w:p>
    <w:p w:rsidR="0070292F" w:rsidRPr="0070292F" w:rsidRDefault="00ED0C5B" w:rsidP="0070292F">
      <w:pPr>
        <w:pStyle w:val="Sommario2"/>
        <w:rPr>
          <w:noProof/>
        </w:rPr>
      </w:pPr>
      <w:hyperlink w:anchor="_Toc475451883" w:history="1">
        <w:r w:rsidR="0070292F" w:rsidRPr="0070292F">
          <w:rPr>
            <w:rStyle w:val="Collegamentoipertestuale"/>
            <w:noProof/>
            <w:lang w:val="fr-FR"/>
          </w:rPr>
          <w:t>III.  Garanties matérielles relatives aux mesures de prévention (§§ 12-31)</w:t>
        </w:r>
      </w:hyperlink>
    </w:p>
    <w:p w:rsidR="0070292F" w:rsidRPr="0070292F" w:rsidRDefault="00ED0C5B" w:rsidP="0070292F">
      <w:pPr>
        <w:pStyle w:val="Sommario3"/>
        <w:rPr>
          <w:noProof/>
          <w:sz w:val="22"/>
        </w:rPr>
      </w:pPr>
      <w:hyperlink w:anchor="_Toc475451884" w:history="1">
        <w:r w:rsidR="0070292F" w:rsidRPr="0070292F">
          <w:rPr>
            <w:rStyle w:val="Collegamentoipertestuale"/>
            <w:noProof/>
            <w:lang w:val="fr-FR"/>
          </w:rPr>
          <w:t>A.  Applicabilité de l’article 5 de la Convention (§§ 12-20)</w:t>
        </w:r>
      </w:hyperlink>
    </w:p>
    <w:p w:rsidR="0070292F" w:rsidRPr="0070292F" w:rsidRDefault="00ED0C5B" w:rsidP="0070292F">
      <w:pPr>
        <w:pStyle w:val="Sommario3"/>
        <w:rPr>
          <w:noProof/>
          <w:sz w:val="22"/>
        </w:rPr>
      </w:pPr>
      <w:hyperlink w:anchor="_Toc475451885" w:history="1">
        <w:r w:rsidR="0070292F" w:rsidRPr="0070292F">
          <w:rPr>
            <w:rStyle w:val="Collegamentoipertestuale"/>
            <w:noProof/>
            <w:lang w:val="fr-FR"/>
          </w:rPr>
          <w:t>B.  Application de l’article 5 en l’espèce : absence de motif tiré de la Convention justifiant une privation de liberté (§§ 21-31)</w:t>
        </w:r>
      </w:hyperlink>
    </w:p>
    <w:p w:rsidR="0070292F" w:rsidRPr="0070292F" w:rsidRDefault="00ED0C5B" w:rsidP="0070292F">
      <w:pPr>
        <w:pStyle w:val="Sommario2"/>
        <w:rPr>
          <w:noProof/>
        </w:rPr>
      </w:pPr>
      <w:hyperlink w:anchor="_Toc475451886" w:history="1">
        <w:r w:rsidR="0070292F" w:rsidRPr="0070292F">
          <w:rPr>
            <w:rStyle w:val="Collegamentoipertestuale"/>
            <w:noProof/>
            <w:lang w:val="fr-FR"/>
          </w:rPr>
          <w:t>Deuxième partie (§§ 32-58)</w:t>
        </w:r>
      </w:hyperlink>
    </w:p>
    <w:p w:rsidR="0070292F" w:rsidRPr="0070292F" w:rsidRDefault="00ED0C5B" w:rsidP="0070292F">
      <w:pPr>
        <w:pStyle w:val="Sommario2"/>
        <w:rPr>
          <w:noProof/>
        </w:rPr>
      </w:pPr>
      <w:hyperlink w:anchor="_Toc475451887" w:history="1">
        <w:r w:rsidR="0070292F" w:rsidRPr="0070292F">
          <w:rPr>
            <w:rStyle w:val="Collegamentoipertestuale"/>
            <w:noProof/>
            <w:lang w:val="fr-FR"/>
          </w:rPr>
          <w:t>IV.  Garanties procédurales relatives aux mesures de prévention (§§ 32</w:t>
        </w:r>
        <w:r w:rsidR="0070292F" w:rsidRPr="0070292F">
          <w:rPr>
            <w:rStyle w:val="Collegamentoipertestuale"/>
            <w:noProof/>
            <w:lang w:val="fr-FR"/>
          </w:rPr>
          <w:noBreakHyphen/>
          <w:t>48)</w:t>
        </w:r>
      </w:hyperlink>
    </w:p>
    <w:p w:rsidR="0070292F" w:rsidRPr="0070292F" w:rsidRDefault="00ED0C5B" w:rsidP="0070292F">
      <w:pPr>
        <w:pStyle w:val="Sommario3"/>
        <w:rPr>
          <w:noProof/>
          <w:sz w:val="22"/>
        </w:rPr>
      </w:pPr>
      <w:hyperlink w:anchor="_Toc475451888" w:history="1">
        <w:r w:rsidR="0070292F" w:rsidRPr="0070292F">
          <w:rPr>
            <w:rStyle w:val="Collegamentoipertestuale"/>
            <w:noProof/>
            <w:lang w:val="fr-FR"/>
          </w:rPr>
          <w:t>A.  Applicabilité de l’article 6 § 1 (volet pénal) de la Convention (§§ 32-43)</w:t>
        </w:r>
      </w:hyperlink>
    </w:p>
    <w:p w:rsidR="0070292F" w:rsidRPr="0070292F" w:rsidRDefault="00ED0C5B" w:rsidP="0070292F">
      <w:pPr>
        <w:pStyle w:val="Sommario3"/>
        <w:rPr>
          <w:noProof/>
          <w:sz w:val="22"/>
        </w:rPr>
      </w:pPr>
      <w:hyperlink w:anchor="_Toc475451889" w:history="1">
        <w:r w:rsidR="0070292F" w:rsidRPr="0070292F">
          <w:rPr>
            <w:rStyle w:val="Collegamentoipertestuale"/>
            <w:noProof/>
            <w:lang w:val="fr-FR"/>
          </w:rPr>
          <w:t>B.  Application de l’article 6 en l’espèce : absence de procès public et équitable (§§ 44-48)</w:t>
        </w:r>
      </w:hyperlink>
    </w:p>
    <w:p w:rsidR="0070292F" w:rsidRPr="0070292F" w:rsidRDefault="00ED0C5B" w:rsidP="0070292F">
      <w:pPr>
        <w:pStyle w:val="Sommario2"/>
        <w:rPr>
          <w:noProof/>
        </w:rPr>
      </w:pPr>
      <w:hyperlink w:anchor="_Toc475451890" w:history="1">
        <w:r w:rsidR="0070292F" w:rsidRPr="0070292F">
          <w:rPr>
            <w:rStyle w:val="Collegamentoipertestuale"/>
            <w:noProof/>
            <w:lang w:val="fr-FR"/>
          </w:rPr>
          <w:t>V.  Recours internes dans le cas d’espèce (§§ 49-58)</w:t>
        </w:r>
      </w:hyperlink>
    </w:p>
    <w:p w:rsidR="0070292F" w:rsidRPr="0070292F" w:rsidRDefault="00ED0C5B" w:rsidP="0070292F">
      <w:pPr>
        <w:pStyle w:val="Sommario3"/>
        <w:rPr>
          <w:noProof/>
          <w:sz w:val="22"/>
        </w:rPr>
      </w:pPr>
      <w:hyperlink w:anchor="_Toc475451891" w:history="1">
        <w:r w:rsidR="0070292F" w:rsidRPr="0070292F">
          <w:rPr>
            <w:rStyle w:val="Collegamentoipertestuale"/>
            <w:noProof/>
            <w:lang w:val="fr-FR"/>
          </w:rPr>
          <w:t>A.  Absence de contrôle juridictionnel à bref délai (§§ 49-53)</w:t>
        </w:r>
      </w:hyperlink>
    </w:p>
    <w:p w:rsidR="0070292F" w:rsidRPr="0070292F" w:rsidRDefault="00ED0C5B" w:rsidP="0070292F">
      <w:pPr>
        <w:pStyle w:val="Sommario3"/>
        <w:rPr>
          <w:noProof/>
          <w:sz w:val="22"/>
        </w:rPr>
      </w:pPr>
      <w:hyperlink w:anchor="_Toc475451892" w:history="1">
        <w:r w:rsidR="0070292F" w:rsidRPr="0070292F">
          <w:rPr>
            <w:rStyle w:val="Collegamentoipertestuale"/>
            <w:noProof/>
            <w:lang w:val="fr-FR"/>
          </w:rPr>
          <w:t>B.  Défaut d’indemnisation pour mesure de prévention illégale (§§ 54</w:t>
        </w:r>
        <w:r w:rsidR="0070292F" w:rsidRPr="0070292F">
          <w:rPr>
            <w:rStyle w:val="Collegamentoipertestuale"/>
            <w:noProof/>
            <w:lang w:val="fr-FR"/>
          </w:rPr>
          <w:noBreakHyphen/>
          <w:t>58)</w:t>
        </w:r>
      </w:hyperlink>
    </w:p>
    <w:p w:rsidR="0070292F" w:rsidRPr="0070292F" w:rsidRDefault="00ED0C5B" w:rsidP="0070292F">
      <w:pPr>
        <w:pStyle w:val="Sommario2"/>
        <w:rPr>
          <w:noProof/>
        </w:rPr>
      </w:pPr>
      <w:hyperlink w:anchor="_Toc475451893" w:history="1">
        <w:r w:rsidR="0070292F" w:rsidRPr="0070292F">
          <w:rPr>
            <w:rStyle w:val="Collegamentoipertestuale"/>
            <w:noProof/>
            <w:lang w:val="fr-FR"/>
          </w:rPr>
          <w:t>VI</w:t>
        </w:r>
        <w:r w:rsidR="0070292F" w:rsidRPr="0070292F">
          <w:rPr>
            <w:rStyle w:val="Collegamentoipertestuale"/>
            <w:rFonts w:ascii="Sylfaen" w:hAnsi="Sylfaen"/>
            <w:noProof/>
            <w:lang w:val="fr-FR"/>
          </w:rPr>
          <w:t>.</w:t>
        </w:r>
        <w:r w:rsidR="0070292F" w:rsidRPr="0070292F">
          <w:rPr>
            <w:rStyle w:val="Collegamentoipertestuale"/>
            <w:noProof/>
            <w:lang w:val="fr-FR"/>
          </w:rPr>
          <w:t>  Conclusion (§§ 59-60)</w:t>
        </w:r>
      </w:hyperlink>
    </w:p>
    <w:p w:rsidR="003D30C1" w:rsidRPr="0070292F" w:rsidRDefault="003D30C1" w:rsidP="0070292F">
      <w:pPr>
        <w:rPr>
          <w:lang w:val="fr-FR"/>
        </w:rPr>
      </w:pPr>
      <w:r w:rsidRPr="0070292F">
        <w:rPr>
          <w:sz w:val="22"/>
          <w:lang w:val="fr-FR"/>
        </w:rPr>
        <w:fldChar w:fldCharType="end"/>
      </w:r>
    </w:p>
    <w:p w:rsidR="003D30C1" w:rsidRPr="0070292F" w:rsidRDefault="003D30C1" w:rsidP="0070292F">
      <w:pPr>
        <w:pStyle w:val="OpiHA"/>
        <w:rPr>
          <w:lang w:val="fr-FR"/>
        </w:rPr>
      </w:pPr>
      <w:bookmarkStart w:id="78" w:name="_Toc472493584"/>
      <w:bookmarkStart w:id="79" w:name="_Toc475451878"/>
      <w:bookmarkStart w:id="80" w:name="Table"/>
      <w:r w:rsidRPr="0070292F">
        <w:rPr>
          <w:lang w:val="fr-FR"/>
        </w:rPr>
        <w:t>I.  Introduction (§ 1)</w:t>
      </w:r>
      <w:bookmarkEnd w:id="78"/>
      <w:bookmarkEnd w:id="79"/>
    </w:p>
    <w:p w:rsidR="003D30C1" w:rsidRPr="0070292F" w:rsidRDefault="003D30C1" w:rsidP="0070292F">
      <w:pPr>
        <w:pStyle w:val="OpiPara"/>
        <w:rPr>
          <w:lang w:val="fr-FR"/>
        </w:rPr>
      </w:pPr>
      <w:r w:rsidRPr="0070292F">
        <w:rPr>
          <w:lang w:val="fr-FR"/>
        </w:rPr>
        <w:t>1.  Je désapprouve la décision de déclarer irrecevables les griefs tirés des articles 5 et 6 (volet pénal) de la Convention européenne des droits de l</w:t>
      </w:r>
      <w:r w:rsidR="0070292F" w:rsidRPr="0070292F">
        <w:rPr>
          <w:lang w:val="fr-FR"/>
        </w:rPr>
        <w:t>’</w:t>
      </w:r>
      <w:r w:rsidRPr="0070292F">
        <w:rPr>
          <w:lang w:val="fr-FR"/>
        </w:rPr>
        <w:t>homme (« la Convention »). À mes yeux, les mesures appliquées au requérant en vertu de la loi n</w:t>
      </w:r>
      <w:r w:rsidRPr="0070292F">
        <w:rPr>
          <w:vertAlign w:val="superscript"/>
          <w:lang w:val="fr-FR"/>
        </w:rPr>
        <w:t>o</w:t>
      </w:r>
      <w:r w:rsidRPr="0070292F">
        <w:rPr>
          <w:lang w:val="fr-FR"/>
        </w:rPr>
        <w:t xml:space="preserve"> 1423/1956</w:t>
      </w:r>
      <w:r w:rsidRPr="0070292F">
        <w:rPr>
          <w:b/>
          <w:lang w:val="fr-FR"/>
        </w:rPr>
        <w:t xml:space="preserve"> </w:t>
      </w:r>
      <w:r w:rsidRPr="0070292F">
        <w:rPr>
          <w:lang w:val="fr-FR"/>
        </w:rPr>
        <w:t>(« la loi de 1956 »)</w:t>
      </w:r>
      <w:r w:rsidRPr="0070292F">
        <w:rPr>
          <w:vertAlign w:val="superscript"/>
          <w:lang w:val="fr-FR"/>
        </w:rPr>
        <w:footnoteReference w:id="2"/>
      </w:r>
      <w:r w:rsidRPr="0070292F">
        <w:rPr>
          <w:lang w:val="fr-FR"/>
        </w:rPr>
        <w:t>, à savoir une mesure de surveillance spéciale de police assortie d</w:t>
      </w:r>
      <w:r w:rsidR="0070292F" w:rsidRPr="0070292F">
        <w:rPr>
          <w:lang w:val="fr-FR"/>
        </w:rPr>
        <w:t>’</w:t>
      </w:r>
      <w:r w:rsidRPr="0070292F">
        <w:rPr>
          <w:lang w:val="fr-FR"/>
        </w:rPr>
        <w:t>une assignation à résidence</w:t>
      </w:r>
      <w:r w:rsidRPr="0070292F">
        <w:rPr>
          <w:b/>
          <w:lang w:val="fr-FR"/>
        </w:rPr>
        <w:t xml:space="preserve"> </w:t>
      </w:r>
      <w:r w:rsidRPr="0070292F">
        <w:rPr>
          <w:lang w:val="fr-FR"/>
        </w:rPr>
        <w:t>d</w:t>
      </w:r>
      <w:r w:rsidR="0070292F" w:rsidRPr="0070292F">
        <w:rPr>
          <w:lang w:val="fr-FR"/>
        </w:rPr>
        <w:t>’</w:t>
      </w:r>
      <w:r w:rsidRPr="0070292F">
        <w:rPr>
          <w:lang w:val="fr-FR"/>
        </w:rPr>
        <w:t>une durée de</w:t>
      </w:r>
      <w:r w:rsidRPr="0070292F">
        <w:rPr>
          <w:b/>
          <w:lang w:val="fr-FR"/>
        </w:rPr>
        <w:t xml:space="preserve"> </w:t>
      </w:r>
      <w:r w:rsidRPr="0070292F">
        <w:rPr>
          <w:lang w:val="fr-FR"/>
        </w:rPr>
        <w:t>deux ans et d</w:t>
      </w:r>
      <w:r w:rsidR="0070292F" w:rsidRPr="0070292F">
        <w:rPr>
          <w:lang w:val="fr-FR"/>
        </w:rPr>
        <w:t>’</w:t>
      </w:r>
      <w:r w:rsidRPr="0070292F">
        <w:rPr>
          <w:lang w:val="fr-FR"/>
        </w:rPr>
        <w:t xml:space="preserve">autres mesures restrictives, revêtaient un caractère pénal et impliquaient pour le requérant une privation du droit à la liberté. Pour les raisons exposées ci-après, ces mesures auraient </w:t>
      </w:r>
      <w:r w:rsidRPr="0070292F">
        <w:rPr>
          <w:lang w:val="fr-FR"/>
        </w:rPr>
        <w:lastRenderedPageBreak/>
        <w:t>dû être associées aux garanties matérielles et procédurales de l</w:t>
      </w:r>
      <w:r w:rsidR="0070292F" w:rsidRPr="0070292F">
        <w:rPr>
          <w:lang w:val="fr-FR"/>
        </w:rPr>
        <w:t>’</w:t>
      </w:r>
      <w:r w:rsidRPr="0070292F">
        <w:rPr>
          <w:lang w:val="fr-FR"/>
        </w:rPr>
        <w:t>article 5 et de l</w:t>
      </w:r>
      <w:r w:rsidR="0070292F" w:rsidRPr="0070292F">
        <w:rPr>
          <w:lang w:val="fr-FR"/>
        </w:rPr>
        <w:t>’</w:t>
      </w:r>
      <w:r w:rsidRPr="0070292F">
        <w:rPr>
          <w:lang w:val="fr-FR"/>
        </w:rPr>
        <w:t>article 6 (volet pénal) de la Convention.</w:t>
      </w:r>
    </w:p>
    <w:p w:rsidR="003D30C1" w:rsidRPr="0070292F" w:rsidRDefault="003D30C1" w:rsidP="0070292F">
      <w:pPr>
        <w:pStyle w:val="OpiPara"/>
        <w:rPr>
          <w:lang w:val="fr-FR"/>
        </w:rPr>
      </w:pPr>
      <w:r w:rsidRPr="0070292F">
        <w:rPr>
          <w:lang w:val="fr-FR"/>
        </w:rPr>
        <w:t>Ayant voté contre l</w:t>
      </w:r>
      <w:r w:rsidR="00E05B2B" w:rsidRPr="0070292F">
        <w:rPr>
          <w:lang w:val="fr-FR"/>
        </w:rPr>
        <w:t>a décision d</w:t>
      </w:r>
      <w:r w:rsidR="0070292F" w:rsidRPr="0070292F">
        <w:rPr>
          <w:lang w:val="fr-FR"/>
        </w:rPr>
        <w:t>’</w:t>
      </w:r>
      <w:r w:rsidRPr="0070292F">
        <w:rPr>
          <w:lang w:val="fr-FR"/>
        </w:rPr>
        <w:t>irrecevabilité, j</w:t>
      </w:r>
      <w:r w:rsidR="0070292F" w:rsidRPr="0070292F">
        <w:rPr>
          <w:lang w:val="fr-FR"/>
        </w:rPr>
        <w:t>’</w:t>
      </w:r>
      <w:r w:rsidRPr="0070292F">
        <w:rPr>
          <w:lang w:val="fr-FR"/>
        </w:rPr>
        <w:t>ai voté sur le fond en faveur d</w:t>
      </w:r>
      <w:r w:rsidR="0070292F" w:rsidRPr="0070292F">
        <w:rPr>
          <w:lang w:val="fr-FR"/>
        </w:rPr>
        <w:t>’</w:t>
      </w:r>
      <w:r w:rsidRPr="0070292F">
        <w:rPr>
          <w:lang w:val="fr-FR"/>
        </w:rPr>
        <w:t>un constat de violation de l</w:t>
      </w:r>
      <w:r w:rsidR="0070292F" w:rsidRPr="0070292F">
        <w:rPr>
          <w:lang w:val="fr-FR"/>
        </w:rPr>
        <w:t>’</w:t>
      </w:r>
      <w:r w:rsidRPr="0070292F">
        <w:rPr>
          <w:lang w:val="fr-FR"/>
        </w:rPr>
        <w:t>article 2 du Protocole n</w:t>
      </w:r>
      <w:r w:rsidRPr="0070292F">
        <w:rPr>
          <w:vertAlign w:val="superscript"/>
          <w:lang w:val="fr-FR"/>
        </w:rPr>
        <w:t>o</w:t>
      </w:r>
      <w:r w:rsidRPr="0070292F">
        <w:rPr>
          <w:lang w:val="fr-FR"/>
        </w:rPr>
        <w:t xml:space="preserve"> 4, en raison du défaut de prévisibilité non seulement de la liste des personnes auxquelles les mesures pouvaient être appliquées (article 1 de la loi de 1956), mais aussi des mesures elles-mêmes (articles 3 et 5 de la loi de 1956). </w:t>
      </w:r>
      <w:bookmarkStart w:id="81" w:name="lt_pId057"/>
      <w:r w:rsidRPr="0070292F">
        <w:rPr>
          <w:lang w:val="fr-FR"/>
        </w:rPr>
        <w:t>Je souscris sans réserve au raisonnement contenu dans l</w:t>
      </w:r>
      <w:r w:rsidR="0070292F" w:rsidRPr="0070292F">
        <w:rPr>
          <w:lang w:val="fr-FR"/>
        </w:rPr>
        <w:t>’</w:t>
      </w:r>
      <w:r w:rsidRPr="0070292F">
        <w:rPr>
          <w:lang w:val="fr-FR"/>
        </w:rPr>
        <w:t>arrêt sur la question spécifique du défaut de prévisibilité de ces dispositions.</w:t>
      </w:r>
      <w:bookmarkEnd w:id="81"/>
    </w:p>
    <w:p w:rsidR="0070292F" w:rsidRPr="0070292F" w:rsidRDefault="003D30C1" w:rsidP="0070292F">
      <w:pPr>
        <w:pStyle w:val="OpiPara"/>
        <w:rPr>
          <w:lang w:val="fr-FR"/>
        </w:rPr>
      </w:pPr>
      <w:bookmarkStart w:id="82" w:name="lt_pId058"/>
      <w:r w:rsidRPr="0070292F">
        <w:rPr>
          <w:lang w:val="fr-FR"/>
        </w:rPr>
        <w:t>La présente opinion a pour objet de justifier mon vote dans le cadre de la décision d</w:t>
      </w:r>
      <w:r w:rsidR="0070292F" w:rsidRPr="0070292F">
        <w:rPr>
          <w:lang w:val="fr-FR"/>
        </w:rPr>
        <w:t>’</w:t>
      </w:r>
      <w:r w:rsidRPr="0070292F">
        <w:rPr>
          <w:lang w:val="fr-FR"/>
        </w:rPr>
        <w:t>irrecevabilité et, en conséquence, de tirer de l</w:t>
      </w:r>
      <w:r w:rsidR="0070292F" w:rsidRPr="0070292F">
        <w:rPr>
          <w:lang w:val="fr-FR"/>
        </w:rPr>
        <w:t>’</w:t>
      </w:r>
      <w:r w:rsidRPr="0070292F">
        <w:rPr>
          <w:lang w:val="fr-FR"/>
        </w:rPr>
        <w:t>applicabilité des articles 5 et 6 (volet pénal) aux faits de l</w:t>
      </w:r>
      <w:r w:rsidR="0070292F" w:rsidRPr="0070292F">
        <w:rPr>
          <w:lang w:val="fr-FR"/>
        </w:rPr>
        <w:t>’</w:t>
      </w:r>
      <w:r w:rsidRPr="0070292F">
        <w:rPr>
          <w:lang w:val="fr-FR"/>
        </w:rPr>
        <w:t>espèce les conclusions qui s</w:t>
      </w:r>
      <w:r w:rsidR="0070292F" w:rsidRPr="0070292F">
        <w:rPr>
          <w:lang w:val="fr-FR"/>
        </w:rPr>
        <w:t>’</w:t>
      </w:r>
      <w:r w:rsidRPr="0070292F">
        <w:rPr>
          <w:lang w:val="fr-FR"/>
        </w:rPr>
        <w:t>imposent quant au fond.</w:t>
      </w:r>
      <w:bookmarkEnd w:id="82"/>
      <w:r w:rsidRPr="0070292F">
        <w:rPr>
          <w:lang w:val="fr-FR"/>
        </w:rPr>
        <w:t xml:space="preserve"> </w:t>
      </w:r>
      <w:bookmarkStart w:id="83" w:name="lt_pId059"/>
      <w:r w:rsidRPr="0070292F">
        <w:rPr>
          <w:lang w:val="fr-FR"/>
        </w:rPr>
        <w:t>Par ailleurs, j</w:t>
      </w:r>
      <w:r w:rsidR="0070292F" w:rsidRPr="0070292F">
        <w:rPr>
          <w:lang w:val="fr-FR"/>
        </w:rPr>
        <w:t>’</w:t>
      </w:r>
      <w:r w:rsidRPr="0070292F">
        <w:rPr>
          <w:lang w:val="fr-FR"/>
        </w:rPr>
        <w:t>ai voté en faveur d</w:t>
      </w:r>
      <w:r w:rsidR="0070292F" w:rsidRPr="0070292F">
        <w:rPr>
          <w:lang w:val="fr-FR"/>
        </w:rPr>
        <w:t>’</w:t>
      </w:r>
      <w:r w:rsidRPr="0070292F">
        <w:rPr>
          <w:lang w:val="fr-FR"/>
        </w:rPr>
        <w:t>un constat de violation de l</w:t>
      </w:r>
      <w:r w:rsidR="0070292F" w:rsidRPr="0070292F">
        <w:rPr>
          <w:lang w:val="fr-FR"/>
        </w:rPr>
        <w:t>’</w:t>
      </w:r>
      <w:r w:rsidRPr="0070292F">
        <w:rPr>
          <w:lang w:val="fr-FR"/>
        </w:rPr>
        <w:t>article 13, pour des raisons liées aux déficiences des voies de recours internes dans la présente affaire.</w:t>
      </w:r>
      <w:bookmarkEnd w:id="83"/>
    </w:p>
    <w:p w:rsidR="003D30C1" w:rsidRPr="0070292F" w:rsidRDefault="003D30C1" w:rsidP="0070292F">
      <w:pPr>
        <w:pStyle w:val="OpiHA"/>
        <w:rPr>
          <w:lang w:val="fr-FR"/>
        </w:rPr>
      </w:pPr>
      <w:bookmarkStart w:id="84" w:name="_Toc472493585"/>
      <w:bookmarkStart w:id="85" w:name="_Toc475451879"/>
      <w:r w:rsidRPr="0070292F">
        <w:rPr>
          <w:lang w:val="fr-FR"/>
        </w:rPr>
        <w:t>Première partie (§§ 2-31)</w:t>
      </w:r>
      <w:bookmarkEnd w:id="84"/>
      <w:bookmarkEnd w:id="85"/>
    </w:p>
    <w:p w:rsidR="003D30C1" w:rsidRPr="0070292F" w:rsidRDefault="003D30C1" w:rsidP="0070292F">
      <w:pPr>
        <w:pStyle w:val="OpiHA"/>
        <w:rPr>
          <w:lang w:val="fr-FR"/>
        </w:rPr>
      </w:pPr>
      <w:bookmarkStart w:id="86" w:name="_Toc472493586"/>
      <w:bookmarkStart w:id="87" w:name="_Toc475451880"/>
      <w:r w:rsidRPr="0070292F">
        <w:rPr>
          <w:lang w:val="fr-FR"/>
        </w:rPr>
        <w:t>II.  La nature de la privation de liberté dans le contexte des mesures de prévention (§§ 2-11)</w:t>
      </w:r>
      <w:bookmarkEnd w:id="86"/>
      <w:bookmarkEnd w:id="87"/>
    </w:p>
    <w:p w:rsidR="003D30C1" w:rsidRPr="0070292F" w:rsidRDefault="003D30C1" w:rsidP="0070292F">
      <w:pPr>
        <w:pStyle w:val="OpiH1"/>
        <w:rPr>
          <w:lang w:val="fr-FR"/>
        </w:rPr>
      </w:pPr>
      <w:bookmarkStart w:id="88" w:name="_Toc472493587"/>
      <w:bookmarkStart w:id="89" w:name="_Toc475451881"/>
      <w:r w:rsidRPr="0070292F">
        <w:rPr>
          <w:lang w:val="fr-FR"/>
        </w:rPr>
        <w:t>A.  </w:t>
      </w:r>
      <w:r w:rsidRPr="0070292F">
        <w:rPr>
          <w:i/>
          <w:lang w:val="fr-FR"/>
        </w:rPr>
        <w:t>Prius ergo est suspicio</w:t>
      </w:r>
      <w:r w:rsidRPr="0070292F">
        <w:rPr>
          <w:lang w:val="fr-FR"/>
        </w:rPr>
        <w:t xml:space="preserve"> (§§ 2-8)</w:t>
      </w:r>
      <w:bookmarkEnd w:id="88"/>
      <w:bookmarkEnd w:id="89"/>
    </w:p>
    <w:p w:rsidR="003D30C1" w:rsidRPr="0070292F" w:rsidRDefault="003D30C1" w:rsidP="0070292F">
      <w:pPr>
        <w:pStyle w:val="OpiPara"/>
        <w:rPr>
          <w:lang w:val="fr-FR"/>
        </w:rPr>
      </w:pPr>
      <w:r w:rsidRPr="0070292F">
        <w:rPr>
          <w:lang w:val="fr-FR"/>
        </w:rPr>
        <w:t>2.  La Constitution italienne ne prévoit pas de mesures de prévention personnelles (</w:t>
      </w:r>
      <w:r w:rsidRPr="0070292F">
        <w:rPr>
          <w:i/>
          <w:lang w:val="fr-FR"/>
        </w:rPr>
        <w:t>misure di prevenzione personali</w:t>
      </w:r>
      <w:r w:rsidRPr="0070292F">
        <w:rPr>
          <w:lang w:val="fr-FR"/>
        </w:rPr>
        <w:t>)</w:t>
      </w:r>
      <w:r w:rsidRPr="0070292F">
        <w:rPr>
          <w:vertAlign w:val="superscript"/>
          <w:lang w:val="fr-FR"/>
        </w:rPr>
        <w:footnoteReference w:id="3"/>
      </w:r>
      <w:r w:rsidRPr="0070292F">
        <w:rPr>
          <w:lang w:val="fr-FR"/>
        </w:rPr>
        <w:t>. Les dispositions pertinentes des articles 25 et 27 sur les mesures afflictives énoncent simplement des règles sur les sanctions pénales (</w:t>
      </w:r>
      <w:r w:rsidRPr="0070292F">
        <w:rPr>
          <w:i/>
          <w:lang w:val="fr-FR"/>
        </w:rPr>
        <w:t>pene</w:t>
      </w:r>
      <w:r w:rsidRPr="0070292F">
        <w:rPr>
          <w:lang w:val="fr-FR"/>
        </w:rPr>
        <w:t>) et les mesures de sûreté (</w:t>
      </w:r>
      <w:r w:rsidRPr="0070292F">
        <w:rPr>
          <w:i/>
          <w:lang w:val="fr-FR"/>
        </w:rPr>
        <w:t>misure di sicurezza</w:t>
      </w:r>
      <w:r w:rsidRPr="0070292F">
        <w:rPr>
          <w:lang w:val="fr-FR"/>
        </w:rPr>
        <w:t>).</w:t>
      </w:r>
    </w:p>
    <w:p w:rsidR="003D30C1" w:rsidRPr="0070292F" w:rsidRDefault="003D30C1" w:rsidP="0070292F">
      <w:pPr>
        <w:pStyle w:val="OpiPara"/>
        <w:rPr>
          <w:lang w:val="fr-FR"/>
        </w:rPr>
      </w:pPr>
      <w:r w:rsidRPr="0070292F">
        <w:rPr>
          <w:lang w:val="fr-FR"/>
        </w:rPr>
        <w:t>Dans un arrêt crucial de 1964, la Cour constitutionnelle a affirmé « le principe selon lequel le développement ordonné et pacifique des relations sociales doit être garanti non seulement par un système de normes sanctionnant les actes illicites, mais aussi par un système de mesures de prévention contre le risque que de tels actes se produisent à l</w:t>
      </w:r>
      <w:r w:rsidR="0070292F" w:rsidRPr="0070292F">
        <w:rPr>
          <w:lang w:val="fr-FR"/>
        </w:rPr>
        <w:t>’</w:t>
      </w:r>
      <w:r w:rsidRPr="0070292F">
        <w:rPr>
          <w:lang w:val="fr-FR"/>
        </w:rPr>
        <w:t>avenir » (</w:t>
      </w:r>
      <w:r w:rsidRPr="0070292F">
        <w:rPr>
          <w:i/>
          <w:lang w:val="fr-FR"/>
        </w:rPr>
        <w:t>[il] principio secondo cui l</w:t>
      </w:r>
      <w:r w:rsidR="0070292F" w:rsidRPr="0070292F">
        <w:rPr>
          <w:i/>
          <w:lang w:val="fr-FR"/>
        </w:rPr>
        <w:t>’</w:t>
      </w:r>
      <w:r w:rsidRPr="0070292F">
        <w:rPr>
          <w:i/>
          <w:lang w:val="fr-FR"/>
        </w:rPr>
        <w:t>ordinato e pacifico svolgimento dei rapporti sociali deve essere garantito, oltre che dal sistema delle norme repressive di fatti illeciti, anche da un sistema di misure preventive contro il pericolo del loro verificarsi in avvenire</w:t>
      </w:r>
      <w:r w:rsidRPr="0070292F">
        <w:rPr>
          <w:lang w:val="fr-FR"/>
        </w:rPr>
        <w:t xml:space="preserve">). Ainsi, le </w:t>
      </w:r>
      <w:r w:rsidRPr="0070292F">
        <w:rPr>
          <w:i/>
          <w:lang w:val="fr-FR"/>
        </w:rPr>
        <w:t>giudice delle leggi</w:t>
      </w:r>
      <w:r w:rsidRPr="0070292F">
        <w:rPr>
          <w:lang w:val="fr-FR"/>
        </w:rPr>
        <w:t xml:space="preserve"> a estimé les dispositions </w:t>
      </w:r>
      <w:r w:rsidRPr="0070292F">
        <w:rPr>
          <w:lang w:val="fr-FR"/>
        </w:rPr>
        <w:lastRenderedPageBreak/>
        <w:t>de la loi de 1956 compatibles avec la Constitution italienne, notamment avec le principe de légalité contenu à</w:t>
      </w:r>
      <w:r w:rsidRPr="0070292F">
        <w:rPr>
          <w:b/>
          <w:lang w:val="fr-FR"/>
        </w:rPr>
        <w:t xml:space="preserve"> </w:t>
      </w:r>
      <w:r w:rsidRPr="0070292F">
        <w:rPr>
          <w:lang w:val="fr-FR"/>
        </w:rPr>
        <w:t>l</w:t>
      </w:r>
      <w:r w:rsidR="0070292F" w:rsidRPr="0070292F">
        <w:rPr>
          <w:lang w:val="fr-FR"/>
        </w:rPr>
        <w:t>’</w:t>
      </w:r>
      <w:r w:rsidRPr="0070292F">
        <w:rPr>
          <w:lang w:val="fr-FR"/>
        </w:rPr>
        <w:t>article 13 relatif</w:t>
      </w:r>
      <w:r w:rsidRPr="0070292F">
        <w:rPr>
          <w:b/>
          <w:lang w:val="fr-FR"/>
        </w:rPr>
        <w:t xml:space="preserve"> </w:t>
      </w:r>
      <w:r w:rsidRPr="0070292F">
        <w:rPr>
          <w:lang w:val="fr-FR"/>
        </w:rPr>
        <w:t>à la liberté personnelle et à l</w:t>
      </w:r>
      <w:r w:rsidR="0070292F" w:rsidRPr="0070292F">
        <w:rPr>
          <w:lang w:val="fr-FR"/>
        </w:rPr>
        <w:t>’</w:t>
      </w:r>
      <w:r w:rsidRPr="0070292F">
        <w:rPr>
          <w:lang w:val="fr-FR"/>
        </w:rPr>
        <w:t>article 25 § 3 relatif aux mesures de sûreté</w:t>
      </w:r>
      <w:r w:rsidRPr="0070292F">
        <w:rPr>
          <w:vertAlign w:val="superscript"/>
          <w:lang w:val="fr-FR"/>
        </w:rPr>
        <w:footnoteReference w:id="4"/>
      </w:r>
      <w:r w:rsidRPr="0070292F">
        <w:rPr>
          <w:lang w:val="fr-FR"/>
        </w:rPr>
        <w:t>.</w:t>
      </w:r>
    </w:p>
    <w:p w:rsidR="003D30C1" w:rsidRPr="0070292F" w:rsidRDefault="003D30C1" w:rsidP="0070292F">
      <w:pPr>
        <w:pStyle w:val="OpiPara"/>
        <w:rPr>
          <w:lang w:val="fr-FR"/>
        </w:rPr>
      </w:pPr>
      <w:bookmarkStart w:id="90" w:name="lt_pId070"/>
      <w:r w:rsidRPr="0070292F">
        <w:rPr>
          <w:lang w:val="fr-FR"/>
        </w:rPr>
        <w:t>Dans d</w:t>
      </w:r>
      <w:r w:rsidR="0070292F" w:rsidRPr="0070292F">
        <w:rPr>
          <w:lang w:val="fr-FR"/>
        </w:rPr>
        <w:t>’</w:t>
      </w:r>
      <w:r w:rsidRPr="0070292F">
        <w:rPr>
          <w:lang w:val="fr-FR"/>
        </w:rPr>
        <w:t>autres décisions, la Cour constitutionnelle s</w:t>
      </w:r>
      <w:r w:rsidR="0070292F" w:rsidRPr="0070292F">
        <w:rPr>
          <w:lang w:val="fr-FR"/>
        </w:rPr>
        <w:t>’</w:t>
      </w:r>
      <w:r w:rsidRPr="0070292F">
        <w:rPr>
          <w:lang w:val="fr-FR"/>
        </w:rPr>
        <w:t>est montrée moins précise et a examiné des recours sous l</w:t>
      </w:r>
      <w:r w:rsidR="0070292F" w:rsidRPr="0070292F">
        <w:rPr>
          <w:lang w:val="fr-FR"/>
        </w:rPr>
        <w:t>’</w:t>
      </w:r>
      <w:r w:rsidRPr="0070292F">
        <w:rPr>
          <w:lang w:val="fr-FR"/>
        </w:rPr>
        <w:t>angle des articles 13 et 25 en général, sans indiquer si elle se penchait sur l</w:t>
      </w:r>
      <w:r w:rsidR="0070292F" w:rsidRPr="0070292F">
        <w:rPr>
          <w:lang w:val="fr-FR"/>
        </w:rPr>
        <w:t>’</w:t>
      </w:r>
      <w:r w:rsidRPr="0070292F">
        <w:rPr>
          <w:lang w:val="fr-FR"/>
        </w:rPr>
        <w:t>aspect lié aux infractions pénales ou sur celui relatif aux mesures de sûreté.</w:t>
      </w:r>
      <w:bookmarkEnd w:id="90"/>
      <w:r w:rsidRPr="0070292F">
        <w:rPr>
          <w:lang w:val="fr-FR"/>
        </w:rPr>
        <w:t xml:space="preserve"> </w:t>
      </w:r>
      <w:bookmarkStart w:id="91" w:name="lt_pId071"/>
      <w:r w:rsidRPr="0070292F">
        <w:rPr>
          <w:lang w:val="fr-FR"/>
        </w:rPr>
        <w:t>Quoi qu</w:t>
      </w:r>
      <w:r w:rsidR="0070292F" w:rsidRPr="0070292F">
        <w:rPr>
          <w:lang w:val="fr-FR"/>
        </w:rPr>
        <w:t>’</w:t>
      </w:r>
      <w:r w:rsidRPr="0070292F">
        <w:rPr>
          <w:lang w:val="fr-FR"/>
        </w:rPr>
        <w:t>il en soit, en appréciant le respect du principe de légalité</w:t>
      </w:r>
      <w:r w:rsidRPr="0070292F">
        <w:rPr>
          <w:i/>
          <w:lang w:val="fr-FR"/>
        </w:rPr>
        <w:t xml:space="preserve"> la Consulta</w:t>
      </w:r>
      <w:r w:rsidRPr="0070292F">
        <w:rPr>
          <w:lang w:val="fr-FR"/>
        </w:rPr>
        <w:t xml:space="preserve"> a toujours eu une approche plus souple dans le contexte des mesures de prévention que dans celui des dispositions relevant du droit pénal </w:t>
      </w:r>
      <w:r w:rsidRPr="0070292F">
        <w:rPr>
          <w:i/>
          <w:lang w:val="fr-FR"/>
        </w:rPr>
        <w:t>stricto sensu</w:t>
      </w:r>
      <w:r w:rsidRPr="0070292F">
        <w:rPr>
          <w:lang w:val="fr-FR"/>
        </w:rPr>
        <w:t>.</w:t>
      </w:r>
      <w:bookmarkEnd w:id="91"/>
      <w:r w:rsidRPr="0070292F">
        <w:rPr>
          <w:lang w:val="fr-FR"/>
        </w:rPr>
        <w:t xml:space="preserve"> Elle a déclaré de façon elliptique que le critère de précision pour les dispositions régissant les mesures de prévention ne voulait pas dire « </w:t>
      </w:r>
      <w:r w:rsidRPr="0070292F">
        <w:rPr>
          <w:color w:val="000000"/>
          <w:lang w:val="fr-FR"/>
        </w:rPr>
        <w:t xml:space="preserve">moins de rigueur, mais une rigueur différente » </w:t>
      </w:r>
      <w:r w:rsidRPr="0070292F">
        <w:rPr>
          <w:lang w:val="fr-FR"/>
        </w:rPr>
        <w:t>(</w:t>
      </w:r>
      <w:r w:rsidRPr="0070292F">
        <w:rPr>
          <w:i/>
          <w:lang w:val="fr-FR"/>
        </w:rPr>
        <w:t>non vuol dire minor rigore, ma diverso rigore</w:t>
      </w:r>
      <w:r w:rsidRPr="0070292F">
        <w:rPr>
          <w:lang w:val="fr-FR"/>
        </w:rPr>
        <w:t>) en regard du critère requis pour les dispositions de droit pénal</w:t>
      </w:r>
      <w:r w:rsidRPr="0070292F">
        <w:rPr>
          <w:vertAlign w:val="superscript"/>
          <w:lang w:val="fr-FR"/>
        </w:rPr>
        <w:footnoteReference w:id="5"/>
      </w:r>
      <w:r w:rsidRPr="0070292F">
        <w:rPr>
          <w:lang w:val="fr-FR"/>
        </w:rPr>
        <w:t>.</w:t>
      </w:r>
    </w:p>
    <w:p w:rsidR="003D30C1" w:rsidRPr="0070292F" w:rsidRDefault="003D30C1" w:rsidP="0070292F">
      <w:pPr>
        <w:pStyle w:val="OpiPara"/>
        <w:rPr>
          <w:lang w:val="fr-FR"/>
        </w:rPr>
      </w:pPr>
      <w:r w:rsidRPr="0070292F">
        <w:rPr>
          <w:lang w:val="fr-FR"/>
        </w:rPr>
        <w:t>La Cour constitutionnelle a également considéré que les mesures de prévention n</w:t>
      </w:r>
      <w:r w:rsidR="0070292F" w:rsidRPr="0070292F">
        <w:rPr>
          <w:lang w:val="fr-FR"/>
        </w:rPr>
        <w:t>’</w:t>
      </w:r>
      <w:r w:rsidRPr="0070292F">
        <w:rPr>
          <w:lang w:val="fr-FR"/>
        </w:rPr>
        <w:t>étaient pas contraires au principe de la présomption d</w:t>
      </w:r>
      <w:r w:rsidR="0070292F" w:rsidRPr="0070292F">
        <w:rPr>
          <w:lang w:val="fr-FR"/>
        </w:rPr>
        <w:t>’</w:t>
      </w:r>
      <w:r w:rsidRPr="0070292F">
        <w:rPr>
          <w:lang w:val="fr-FR"/>
        </w:rPr>
        <w:t xml:space="preserve">innocence. Le raisonnement est étrange. Les juges du </w:t>
      </w:r>
      <w:r w:rsidRPr="0070292F">
        <w:rPr>
          <w:i/>
          <w:lang w:val="fr-FR"/>
        </w:rPr>
        <w:t>Palazzo della Consulta</w:t>
      </w:r>
      <w:r w:rsidRPr="0070292F">
        <w:rPr>
          <w:lang w:val="fr-FR"/>
        </w:rPr>
        <w:t xml:space="preserve"> ont argué que la présomption d</w:t>
      </w:r>
      <w:r w:rsidR="0070292F" w:rsidRPr="0070292F">
        <w:rPr>
          <w:lang w:val="fr-FR"/>
        </w:rPr>
        <w:t>’</w:t>
      </w:r>
      <w:r w:rsidRPr="0070292F">
        <w:rPr>
          <w:lang w:val="fr-FR"/>
        </w:rPr>
        <w:t>innocence n</w:t>
      </w:r>
      <w:r w:rsidR="0070292F" w:rsidRPr="0070292F">
        <w:rPr>
          <w:lang w:val="fr-FR"/>
        </w:rPr>
        <w:t>’</w:t>
      </w:r>
      <w:r w:rsidRPr="0070292F">
        <w:rPr>
          <w:lang w:val="fr-FR"/>
        </w:rPr>
        <w:t>entrait pas en ligne de compte dans les mesures de prévention en ce que celles-ci ne se fondaient pas sur la culpabilité et ne touchaient pas à la responsabilité pénale d</w:t>
      </w:r>
      <w:r w:rsidR="0070292F" w:rsidRPr="0070292F">
        <w:rPr>
          <w:lang w:val="fr-FR"/>
        </w:rPr>
        <w:t>’</w:t>
      </w:r>
      <w:r w:rsidRPr="0070292F">
        <w:rPr>
          <w:lang w:val="fr-FR"/>
        </w:rPr>
        <w:t>un individu. En même temps, ils ont considéré que les mesures de prévention ne dérogeaient pas non plus à ce principe, en ce que de « simples soupçons » (</w:t>
      </w:r>
      <w:r w:rsidRPr="0070292F">
        <w:rPr>
          <w:i/>
          <w:lang w:val="fr-FR"/>
        </w:rPr>
        <w:t>semplici sospetti</w:t>
      </w:r>
      <w:r w:rsidRPr="0070292F">
        <w:rPr>
          <w:lang w:val="fr-FR"/>
        </w:rPr>
        <w:t>) basés sur des appréciations purement subjectives et invérifiables (</w:t>
      </w:r>
      <w:r w:rsidRPr="0070292F">
        <w:rPr>
          <w:i/>
          <w:lang w:val="fr-FR"/>
        </w:rPr>
        <w:t>valutazioni puramente soggettive e incontrollabili</w:t>
      </w:r>
      <w:r w:rsidRPr="0070292F">
        <w:rPr>
          <w:lang w:val="fr-FR"/>
        </w:rPr>
        <w:t>) ne suffiraient pas à rendre ces mesures applicables</w:t>
      </w:r>
      <w:r w:rsidRPr="0070292F">
        <w:rPr>
          <w:vertAlign w:val="superscript"/>
          <w:lang w:val="fr-FR"/>
        </w:rPr>
        <w:footnoteReference w:id="6"/>
      </w:r>
      <w:r w:rsidRPr="0070292F">
        <w:rPr>
          <w:lang w:val="fr-FR"/>
        </w:rPr>
        <w:t>.</w:t>
      </w:r>
    </w:p>
    <w:p w:rsidR="003D30C1" w:rsidRPr="0070292F" w:rsidRDefault="003D30C1" w:rsidP="0070292F">
      <w:pPr>
        <w:pStyle w:val="OpiPara"/>
        <w:rPr>
          <w:lang w:val="fr-FR"/>
        </w:rPr>
      </w:pPr>
      <w:r w:rsidRPr="0070292F">
        <w:rPr>
          <w:lang w:val="fr-FR"/>
        </w:rPr>
        <w:t>Le législateur a réagi à cette jurisprudence par la loi n</w:t>
      </w:r>
      <w:r w:rsidRPr="0070292F">
        <w:rPr>
          <w:vertAlign w:val="superscript"/>
          <w:lang w:val="fr-FR"/>
        </w:rPr>
        <w:t>o</w:t>
      </w:r>
      <w:r w:rsidRPr="0070292F">
        <w:rPr>
          <w:lang w:val="fr-FR"/>
        </w:rPr>
        <w:t xml:space="preserve"> 327/1988, qui a retiré de la loi de 1956 deux catégories de suspects – premièrement, les « </w:t>
      </w:r>
      <w:r w:rsidRPr="0070292F">
        <w:rPr>
          <w:i/>
          <w:lang w:val="fr-FR"/>
        </w:rPr>
        <w:t>oziosi e i vagabondi abituali validi al lavoro</w:t>
      </w:r>
      <w:r w:rsidRPr="0070292F">
        <w:rPr>
          <w:lang w:val="fr-FR"/>
        </w:rPr>
        <w:t> » et, deuxièmement, « </w:t>
      </w:r>
      <w:r w:rsidRPr="0070292F">
        <w:rPr>
          <w:i/>
          <w:lang w:val="fr-FR"/>
        </w:rPr>
        <w:t xml:space="preserve">coloro che svolgono abitualmente altre attività contrarie alla morale pubblica e al </w:t>
      </w:r>
      <w:r w:rsidRPr="0070292F">
        <w:rPr>
          <w:i/>
          <w:lang w:val="fr-FR"/>
        </w:rPr>
        <w:lastRenderedPageBreak/>
        <w:t>buon costume</w:t>
      </w:r>
      <w:r w:rsidRPr="0070292F">
        <w:rPr>
          <w:lang w:val="fr-FR"/>
        </w:rPr>
        <w:t> » – et imposé que les trois catégories restantes de personnes auxquelles la loi s</w:t>
      </w:r>
      <w:r w:rsidR="0070292F" w:rsidRPr="0070292F">
        <w:rPr>
          <w:lang w:val="fr-FR"/>
        </w:rPr>
        <w:t>’</w:t>
      </w:r>
      <w:r w:rsidRPr="0070292F">
        <w:rPr>
          <w:lang w:val="fr-FR"/>
        </w:rPr>
        <w:t>appliquait fussent déterminées « sur la base d</w:t>
      </w:r>
      <w:r w:rsidR="0070292F" w:rsidRPr="0070292F">
        <w:rPr>
          <w:lang w:val="fr-FR"/>
        </w:rPr>
        <w:t>’</w:t>
      </w:r>
      <w:r w:rsidRPr="0070292F">
        <w:rPr>
          <w:lang w:val="fr-FR"/>
        </w:rPr>
        <w:t>éléments factuels » (</w:t>
      </w:r>
      <w:r w:rsidRPr="0070292F">
        <w:rPr>
          <w:i/>
          <w:lang w:val="fr-FR"/>
        </w:rPr>
        <w:t>sulla base di elementi di fatto</w:t>
      </w:r>
      <w:r w:rsidRPr="0070292F">
        <w:rPr>
          <w:lang w:val="fr-FR"/>
        </w:rPr>
        <w:t>).</w:t>
      </w:r>
    </w:p>
    <w:p w:rsidR="003D30C1" w:rsidRPr="0070292F" w:rsidRDefault="003D30C1" w:rsidP="0070292F">
      <w:pPr>
        <w:pStyle w:val="OpiPara"/>
        <w:rPr>
          <w:lang w:val="fr-FR"/>
        </w:rPr>
      </w:pPr>
      <w:r w:rsidRPr="0070292F">
        <w:rPr>
          <w:lang w:val="fr-FR"/>
        </w:rPr>
        <w:t>3.  En matière constitutionnelle, rien n</w:t>
      </w:r>
      <w:r w:rsidR="0070292F" w:rsidRPr="0070292F">
        <w:rPr>
          <w:lang w:val="fr-FR"/>
        </w:rPr>
        <w:t>’</w:t>
      </w:r>
      <w:r w:rsidRPr="0070292F">
        <w:rPr>
          <w:lang w:val="fr-FR"/>
        </w:rPr>
        <w:t xml:space="preserve">a changé en Italie depuis 1964 concernant la compatibilité du système des mesures de prévention personnelles avec la Constitution. Certes, plus tard, il est arrivé quelquefois au </w:t>
      </w:r>
      <w:r w:rsidRPr="0070292F">
        <w:rPr>
          <w:i/>
          <w:lang w:val="fr-FR"/>
        </w:rPr>
        <w:t>giudice delle leggi</w:t>
      </w:r>
      <w:r w:rsidRPr="0070292F">
        <w:rPr>
          <w:lang w:val="fr-FR"/>
        </w:rPr>
        <w:t xml:space="preserve"> de constater la violation de la Constitution, et ce en raison de questions très spécifiques</w:t>
      </w:r>
      <w:r w:rsidRPr="0070292F">
        <w:rPr>
          <w:vertAlign w:val="superscript"/>
          <w:lang w:val="fr-FR"/>
        </w:rPr>
        <w:footnoteReference w:id="7"/>
      </w:r>
      <w:r w:rsidRPr="0070292F">
        <w:rPr>
          <w:lang w:val="fr-FR"/>
        </w:rPr>
        <w:t>. Comme l</w:t>
      </w:r>
      <w:r w:rsidR="0070292F" w:rsidRPr="0070292F">
        <w:rPr>
          <w:lang w:val="fr-FR"/>
        </w:rPr>
        <w:t>’</w:t>
      </w:r>
      <w:r w:rsidRPr="0070292F">
        <w:rPr>
          <w:lang w:val="fr-FR"/>
        </w:rPr>
        <w:t>indique l</w:t>
      </w:r>
      <w:r w:rsidR="0070292F" w:rsidRPr="0070292F">
        <w:rPr>
          <w:lang w:val="fr-FR"/>
        </w:rPr>
        <w:t>’</w:t>
      </w:r>
      <w:r w:rsidRPr="0070292F">
        <w:rPr>
          <w:lang w:val="fr-FR"/>
        </w:rPr>
        <w:t>arrêt de la Grande Chambre, en 1970 il a jugé que les personnes concernées devaient être assistées par un défenseur lors d</w:t>
      </w:r>
      <w:r w:rsidR="0070292F" w:rsidRPr="0070292F">
        <w:rPr>
          <w:lang w:val="fr-FR"/>
        </w:rPr>
        <w:t>’</w:t>
      </w:r>
      <w:r w:rsidRPr="0070292F">
        <w:rPr>
          <w:lang w:val="fr-FR"/>
        </w:rPr>
        <w:t>une procédure relative à l</w:t>
      </w:r>
      <w:r w:rsidR="0070292F" w:rsidRPr="0070292F">
        <w:rPr>
          <w:lang w:val="fr-FR"/>
        </w:rPr>
        <w:t>’</w:t>
      </w:r>
      <w:r w:rsidRPr="0070292F">
        <w:rPr>
          <w:lang w:val="fr-FR"/>
        </w:rPr>
        <w:t xml:space="preserve">application de telles mesures. </w:t>
      </w:r>
      <w:bookmarkStart w:id="92" w:name="lt_pId082"/>
      <w:r w:rsidRPr="0070292F">
        <w:rPr>
          <w:lang w:val="fr-FR"/>
        </w:rPr>
        <w:t>En 1980, il a estimé que l</w:t>
      </w:r>
      <w:r w:rsidR="0070292F" w:rsidRPr="0070292F">
        <w:rPr>
          <w:lang w:val="fr-FR"/>
        </w:rPr>
        <w:t>’</w:t>
      </w:r>
      <w:r w:rsidRPr="0070292F">
        <w:rPr>
          <w:lang w:val="fr-FR"/>
        </w:rPr>
        <w:t>une des catégories de sujets, celle des personnes « que certains signes extérieurs port[ai]ent à considérer enclines à la délinquance », n</w:t>
      </w:r>
      <w:r w:rsidR="0070292F" w:rsidRPr="0070292F">
        <w:rPr>
          <w:lang w:val="fr-FR"/>
        </w:rPr>
        <w:t>’</w:t>
      </w:r>
      <w:r w:rsidRPr="0070292F">
        <w:rPr>
          <w:lang w:val="fr-FR"/>
        </w:rPr>
        <w:t>était pas suffisamment détaillée par la loi.</w:t>
      </w:r>
      <w:bookmarkEnd w:id="92"/>
      <w:r w:rsidRPr="0070292F">
        <w:rPr>
          <w:lang w:val="fr-FR"/>
        </w:rPr>
        <w:t xml:space="preserve"> </w:t>
      </w:r>
      <w:bookmarkStart w:id="93" w:name="lt_pId083"/>
      <w:r w:rsidRPr="0070292F">
        <w:rPr>
          <w:lang w:val="fr-FR"/>
        </w:rPr>
        <w:t>En 2010, il a jugé inconstitutionnelle l</w:t>
      </w:r>
      <w:r w:rsidR="0070292F" w:rsidRPr="0070292F">
        <w:rPr>
          <w:lang w:val="fr-FR"/>
        </w:rPr>
        <w:t>’</w:t>
      </w:r>
      <w:r w:rsidRPr="0070292F">
        <w:rPr>
          <w:lang w:val="fr-FR"/>
        </w:rPr>
        <w:t>impossibilité pour l</w:t>
      </w:r>
      <w:r w:rsidR="0070292F" w:rsidRPr="0070292F">
        <w:rPr>
          <w:lang w:val="fr-FR"/>
        </w:rPr>
        <w:t>’</w:t>
      </w:r>
      <w:r w:rsidRPr="0070292F">
        <w:rPr>
          <w:lang w:val="fr-FR"/>
        </w:rPr>
        <w:t>intéressé de demander pendant la procédure d</w:t>
      </w:r>
      <w:r w:rsidR="0070292F" w:rsidRPr="0070292F">
        <w:rPr>
          <w:lang w:val="fr-FR"/>
        </w:rPr>
        <w:t>’</w:t>
      </w:r>
      <w:r w:rsidRPr="0070292F">
        <w:rPr>
          <w:lang w:val="fr-FR"/>
        </w:rPr>
        <w:t>application des mesures de prévention une audience publique, que ce soit en première instance ou en appel.</w:t>
      </w:r>
      <w:bookmarkEnd w:id="93"/>
      <w:r w:rsidRPr="0070292F">
        <w:rPr>
          <w:lang w:val="fr-FR"/>
        </w:rPr>
        <w:t xml:space="preserve"> En substance, le régime de 1956 est cependant resté le même, avec l</w:t>
      </w:r>
      <w:r w:rsidR="0070292F" w:rsidRPr="0070292F">
        <w:rPr>
          <w:lang w:val="fr-FR"/>
        </w:rPr>
        <w:t>’</w:t>
      </w:r>
      <w:r w:rsidRPr="0070292F">
        <w:rPr>
          <w:lang w:val="fr-FR"/>
        </w:rPr>
        <w:t xml:space="preserve">approbation des juges du </w:t>
      </w:r>
      <w:r w:rsidRPr="0070292F">
        <w:rPr>
          <w:i/>
          <w:lang w:val="fr-FR"/>
        </w:rPr>
        <w:t>Palazzo della Consulta</w:t>
      </w:r>
      <w:r w:rsidRPr="0070292F">
        <w:rPr>
          <w:lang w:val="fr-FR"/>
        </w:rPr>
        <w:t>.</w:t>
      </w:r>
    </w:p>
    <w:p w:rsidR="003D30C1" w:rsidRPr="0070292F" w:rsidRDefault="003D30C1" w:rsidP="0070292F">
      <w:pPr>
        <w:pStyle w:val="OpiPara"/>
        <w:rPr>
          <w:lang w:val="fr-FR"/>
        </w:rPr>
      </w:pPr>
      <w:r w:rsidRPr="0070292F">
        <w:rPr>
          <w:lang w:val="fr-FR"/>
        </w:rPr>
        <w:t>4.  En réalité, des mesures de prévention personnelles étaient appliquées en vertu de la loi de 1956 à des personnes soupçonnées d</w:t>
      </w:r>
      <w:r w:rsidR="0070292F" w:rsidRPr="0070292F">
        <w:rPr>
          <w:lang w:val="fr-FR"/>
        </w:rPr>
        <w:t>’</w:t>
      </w:r>
      <w:r w:rsidRPr="0070292F">
        <w:rPr>
          <w:lang w:val="fr-FR"/>
        </w:rPr>
        <w:t>infractions avant leur condamnation et en cas d</w:t>
      </w:r>
      <w:r w:rsidR="0070292F" w:rsidRPr="0070292F">
        <w:rPr>
          <w:lang w:val="fr-FR"/>
        </w:rPr>
        <w:t>’</w:t>
      </w:r>
      <w:r w:rsidRPr="0070292F">
        <w:rPr>
          <w:lang w:val="fr-FR"/>
        </w:rPr>
        <w:t>acquittement</w:t>
      </w:r>
      <w:r w:rsidRPr="0070292F">
        <w:rPr>
          <w:vertAlign w:val="superscript"/>
          <w:lang w:val="fr-FR"/>
        </w:rPr>
        <w:footnoteReference w:id="8"/>
      </w:r>
      <w:r w:rsidRPr="0070292F">
        <w:rPr>
          <w:lang w:val="fr-FR"/>
        </w:rPr>
        <w:t xml:space="preserve"> ou de </w:t>
      </w:r>
      <w:r w:rsidRPr="0070292F">
        <w:rPr>
          <w:i/>
          <w:lang w:val="fr-FR"/>
        </w:rPr>
        <w:t>sentenza di proscioglimento</w:t>
      </w:r>
      <w:r w:rsidRPr="0070292F">
        <w:rPr>
          <w:lang w:val="fr-FR"/>
        </w:rPr>
        <w:t xml:space="preserve"> prononcée en vertu de l</w:t>
      </w:r>
      <w:r w:rsidR="0070292F" w:rsidRPr="0070292F">
        <w:rPr>
          <w:lang w:val="fr-FR"/>
        </w:rPr>
        <w:t>’</w:t>
      </w:r>
      <w:r w:rsidRPr="0070292F">
        <w:rPr>
          <w:lang w:val="fr-FR"/>
        </w:rPr>
        <w:t>article 530 § 2 du code de procédure pénale pour preuves insuffisantes ou contradictoires</w:t>
      </w:r>
      <w:r w:rsidRPr="0070292F">
        <w:rPr>
          <w:vertAlign w:val="superscript"/>
          <w:lang w:val="fr-FR"/>
        </w:rPr>
        <w:footnoteReference w:id="9"/>
      </w:r>
      <w:r w:rsidRPr="0070292F">
        <w:rPr>
          <w:lang w:val="fr-FR"/>
        </w:rPr>
        <w:t>. Malgré la séparation formelle entre la procédure pénale, régie par le code de procédure pénale, et la procédure relative à l</w:t>
      </w:r>
      <w:r w:rsidR="0070292F" w:rsidRPr="0070292F">
        <w:rPr>
          <w:lang w:val="fr-FR"/>
        </w:rPr>
        <w:t>’</w:t>
      </w:r>
      <w:r w:rsidRPr="0070292F">
        <w:rPr>
          <w:lang w:val="fr-FR"/>
        </w:rPr>
        <w:t>application de mesures de prévention, régie par la loi de 1956, les éléments de preuve recueillis dans le cadre de la première pouvaient dans le cadre de la seconde servir d</w:t>
      </w:r>
      <w:r w:rsidR="0070292F" w:rsidRPr="0070292F">
        <w:rPr>
          <w:lang w:val="fr-FR"/>
        </w:rPr>
        <w:t>’</w:t>
      </w:r>
      <w:r w:rsidRPr="0070292F">
        <w:rPr>
          <w:lang w:val="fr-FR"/>
        </w:rPr>
        <w:t>indicateur du besoin de mesures de prévention</w:t>
      </w:r>
      <w:r w:rsidRPr="0070292F">
        <w:rPr>
          <w:vertAlign w:val="superscript"/>
          <w:lang w:val="fr-FR"/>
        </w:rPr>
        <w:footnoteReference w:id="10"/>
      </w:r>
      <w:r w:rsidRPr="0070292F">
        <w:rPr>
          <w:lang w:val="fr-FR"/>
        </w:rPr>
        <w:t xml:space="preserve">. </w:t>
      </w:r>
      <w:bookmarkStart w:id="95" w:name="lt_pId088"/>
      <w:r w:rsidRPr="0070292F">
        <w:rPr>
          <w:lang w:val="fr-FR"/>
        </w:rPr>
        <w:t>Cela a bien sûr rendu possible l</w:t>
      </w:r>
      <w:r w:rsidR="0070292F" w:rsidRPr="0070292F">
        <w:rPr>
          <w:lang w:val="fr-FR"/>
        </w:rPr>
        <w:t>’</w:t>
      </w:r>
      <w:r w:rsidRPr="0070292F">
        <w:rPr>
          <w:lang w:val="fr-FR"/>
        </w:rPr>
        <w:t>instrumentalisation des mesures de prévention à des fins de « punition » des personnes mises hors de cause à l</w:t>
      </w:r>
      <w:r w:rsidR="0070292F" w:rsidRPr="0070292F">
        <w:rPr>
          <w:lang w:val="fr-FR"/>
        </w:rPr>
        <w:t>’</w:t>
      </w:r>
      <w:r w:rsidRPr="0070292F">
        <w:rPr>
          <w:lang w:val="fr-FR"/>
        </w:rPr>
        <w:t>issue d</w:t>
      </w:r>
      <w:r w:rsidR="0070292F" w:rsidRPr="0070292F">
        <w:rPr>
          <w:lang w:val="fr-FR"/>
        </w:rPr>
        <w:t>’</w:t>
      </w:r>
      <w:r w:rsidRPr="0070292F">
        <w:rPr>
          <w:lang w:val="fr-FR"/>
        </w:rPr>
        <w:t>une procédure pénale.</w:t>
      </w:r>
      <w:bookmarkEnd w:id="95"/>
      <w:r w:rsidRPr="0070292F">
        <w:rPr>
          <w:lang w:val="fr-FR"/>
        </w:rPr>
        <w:t xml:space="preserve"> Dans ces conditions, les mesures de prévention n</w:t>
      </w:r>
      <w:r w:rsidR="0070292F" w:rsidRPr="0070292F">
        <w:rPr>
          <w:lang w:val="fr-FR"/>
        </w:rPr>
        <w:t>’</w:t>
      </w:r>
      <w:r w:rsidRPr="0070292F">
        <w:rPr>
          <w:lang w:val="fr-FR"/>
        </w:rPr>
        <w:t>étaient rien d</w:t>
      </w:r>
      <w:r w:rsidR="0070292F" w:rsidRPr="0070292F">
        <w:rPr>
          <w:lang w:val="fr-FR"/>
        </w:rPr>
        <w:t>’</w:t>
      </w:r>
      <w:r w:rsidRPr="0070292F">
        <w:rPr>
          <w:lang w:val="fr-FR"/>
        </w:rPr>
        <w:t xml:space="preserve">autre que des sanctions pénales de « deuxième classe », des « peines fondées sur le </w:t>
      </w:r>
      <w:r w:rsidRPr="0070292F">
        <w:rPr>
          <w:lang w:val="fr-FR"/>
        </w:rPr>
        <w:lastRenderedPageBreak/>
        <w:t>soupçon » (</w:t>
      </w:r>
      <w:r w:rsidRPr="0070292F">
        <w:rPr>
          <w:i/>
          <w:lang w:val="fr-FR"/>
        </w:rPr>
        <w:t>pene del sospetto</w:t>
      </w:r>
      <w:r w:rsidRPr="0070292F">
        <w:rPr>
          <w:vertAlign w:val="superscript"/>
          <w:lang w:val="fr-FR"/>
        </w:rPr>
        <w:footnoteReference w:id="11"/>
      </w:r>
      <w:r w:rsidRPr="0070292F">
        <w:rPr>
          <w:lang w:val="fr-FR"/>
        </w:rPr>
        <w:t>). Même après la réforme opérée par la loi n</w:t>
      </w:r>
      <w:r w:rsidRPr="0070292F">
        <w:rPr>
          <w:vertAlign w:val="superscript"/>
          <w:lang w:val="fr-FR"/>
        </w:rPr>
        <w:t>o</w:t>
      </w:r>
      <w:r w:rsidRPr="0070292F">
        <w:rPr>
          <w:lang w:val="fr-FR"/>
        </w:rPr>
        <w:t xml:space="preserve"> 327/1988, une </w:t>
      </w:r>
      <w:r w:rsidRPr="0070292F">
        <w:rPr>
          <w:i/>
          <w:lang w:val="fr-FR"/>
        </w:rPr>
        <w:t>probatio minus plena</w:t>
      </w:r>
      <w:r w:rsidRPr="0070292F">
        <w:rPr>
          <w:vertAlign w:val="superscript"/>
          <w:lang w:val="fr-FR"/>
        </w:rPr>
        <w:footnoteReference w:id="12"/>
      </w:r>
      <w:r w:rsidRPr="0070292F">
        <w:rPr>
          <w:lang w:val="fr-FR"/>
        </w:rPr>
        <w:t xml:space="preserve"> suffisait pour placer des individus dans la ligne de mire du système de justice pénale, avec son arsenal de mesures de restriction fondées sur la loi de 1956.</w:t>
      </w:r>
    </w:p>
    <w:p w:rsidR="003D30C1" w:rsidRPr="0070292F" w:rsidRDefault="003D30C1" w:rsidP="0070292F">
      <w:pPr>
        <w:pStyle w:val="OpiPara"/>
        <w:rPr>
          <w:lang w:val="fr-FR"/>
        </w:rPr>
      </w:pPr>
      <w:r w:rsidRPr="0070292F">
        <w:rPr>
          <w:lang w:val="fr-FR"/>
        </w:rPr>
        <w:t>5.  </w:t>
      </w:r>
      <w:bookmarkStart w:id="96" w:name="lt_pId092"/>
      <w:r w:rsidRPr="0070292F">
        <w:rPr>
          <w:lang w:val="fr-FR"/>
        </w:rPr>
        <w:t>Pire encore, les mesures de prévention basées sur la loi de 1956 étaient par essence fortement désocialisantes, du fait des restrictions draconiennes qui frappaient la vie personnelle, professionnelle et sociale du suspect, s</w:t>
      </w:r>
      <w:r w:rsidR="0070292F" w:rsidRPr="0070292F">
        <w:rPr>
          <w:lang w:val="fr-FR"/>
        </w:rPr>
        <w:t>’</w:t>
      </w:r>
      <w:r w:rsidRPr="0070292F">
        <w:rPr>
          <w:lang w:val="fr-FR"/>
        </w:rPr>
        <w:t>ajoutant à la privation de liberté appliquée pendant une partie de la journée.</w:t>
      </w:r>
      <w:bookmarkEnd w:id="96"/>
      <w:r w:rsidRPr="0070292F">
        <w:rPr>
          <w:lang w:val="fr-FR"/>
        </w:rPr>
        <w:t xml:space="preserve"> </w:t>
      </w:r>
      <w:bookmarkStart w:id="97" w:name="lt_pId093"/>
      <w:r w:rsidRPr="0070292F">
        <w:rPr>
          <w:lang w:val="fr-FR"/>
        </w:rPr>
        <w:t>Ces mesures avaient un caractère intrinsèquement « anti</w:t>
      </w:r>
      <w:r w:rsidRPr="0070292F">
        <w:rPr>
          <w:lang w:val="fr-FR"/>
        </w:rPr>
        <w:noBreakHyphen/>
        <w:t xml:space="preserve">resocialisant », </w:t>
      </w:r>
      <w:bookmarkStart w:id="98" w:name="lt_pId094"/>
      <w:bookmarkEnd w:id="97"/>
      <w:r w:rsidRPr="0070292F">
        <w:rPr>
          <w:lang w:val="fr-FR"/>
        </w:rPr>
        <w:t>augmentant par là même la probabilité que le suspect commît des infractions pénales quand il contrevenait au régime de restrictions imposé, car pareil manquement était en soi punissable comme une infraction pénale passible d</w:t>
      </w:r>
      <w:r w:rsidR="0070292F" w:rsidRPr="0070292F">
        <w:rPr>
          <w:lang w:val="fr-FR"/>
        </w:rPr>
        <w:t>’</w:t>
      </w:r>
      <w:r w:rsidRPr="0070292F">
        <w:rPr>
          <w:lang w:val="fr-FR"/>
        </w:rPr>
        <w:t>une lourde peine d</w:t>
      </w:r>
      <w:r w:rsidR="0070292F" w:rsidRPr="0070292F">
        <w:rPr>
          <w:lang w:val="fr-FR"/>
        </w:rPr>
        <w:t>’</w:t>
      </w:r>
      <w:r w:rsidRPr="0070292F">
        <w:rPr>
          <w:lang w:val="fr-FR"/>
        </w:rPr>
        <w:t>emprisonnement.</w:t>
      </w:r>
      <w:bookmarkEnd w:id="98"/>
      <w:r w:rsidRPr="0070292F">
        <w:rPr>
          <w:lang w:val="fr-FR"/>
        </w:rPr>
        <w:t xml:space="preserve"> Ainsi, comme Bricola l</w:t>
      </w:r>
      <w:r w:rsidR="0070292F" w:rsidRPr="0070292F">
        <w:rPr>
          <w:lang w:val="fr-FR"/>
        </w:rPr>
        <w:t>’</w:t>
      </w:r>
      <w:r w:rsidRPr="0070292F">
        <w:rPr>
          <w:lang w:val="fr-FR"/>
        </w:rPr>
        <w:t>a fort justement déclaré dès 1974, l</w:t>
      </w:r>
      <w:r w:rsidR="0070292F" w:rsidRPr="0070292F">
        <w:rPr>
          <w:lang w:val="fr-FR"/>
        </w:rPr>
        <w:t>’</w:t>
      </w:r>
      <w:r w:rsidRPr="0070292F">
        <w:rPr>
          <w:lang w:val="fr-FR"/>
        </w:rPr>
        <w:t>application de mesures personnelles aux fins de la prévention des infractions entraînait la commission de nouvelles infractions pénales, lesquelles donnaient une base légale à des poursuites pénales contre un individu qui au départ ne pouvait pas être poursuivi faute de preuves</w:t>
      </w:r>
      <w:r w:rsidRPr="0070292F">
        <w:rPr>
          <w:vertAlign w:val="superscript"/>
          <w:lang w:val="fr-FR"/>
        </w:rPr>
        <w:footnoteReference w:id="13"/>
      </w:r>
      <w:r w:rsidRPr="0070292F">
        <w:rPr>
          <w:lang w:val="fr-FR"/>
        </w:rPr>
        <w:t>. En fait, la logique tortueuse de la loi de 1956 comportait bel et bien un fort potentiel criminogène</w:t>
      </w:r>
      <w:r w:rsidRPr="0070292F">
        <w:rPr>
          <w:vertAlign w:val="superscript"/>
          <w:lang w:val="fr-FR"/>
        </w:rPr>
        <w:footnoteReference w:id="14"/>
      </w:r>
      <w:r w:rsidRPr="0070292F">
        <w:rPr>
          <w:lang w:val="fr-FR"/>
        </w:rPr>
        <w:t>.</w:t>
      </w:r>
    </w:p>
    <w:p w:rsidR="003D30C1" w:rsidRPr="0070292F" w:rsidRDefault="003D30C1" w:rsidP="0070292F">
      <w:pPr>
        <w:pStyle w:val="OpiPara"/>
        <w:rPr>
          <w:lang w:val="fr-FR"/>
        </w:rPr>
      </w:pPr>
      <w:r w:rsidRPr="0070292F">
        <w:rPr>
          <w:lang w:val="fr-FR"/>
        </w:rPr>
        <w:t>En plus de leur caractère « anti-resocialisant », ces mesures avaient un effet discriminatoire, car la loi considérait leur application comme un facteur aggravant dans le cadre de la fixation des peines pour diverses infractions pénales</w:t>
      </w:r>
      <w:r w:rsidRPr="0070292F">
        <w:rPr>
          <w:vertAlign w:val="superscript"/>
          <w:lang w:val="fr-FR"/>
        </w:rPr>
        <w:footnoteReference w:id="15"/>
      </w:r>
      <w:r w:rsidRPr="0070292F">
        <w:rPr>
          <w:lang w:val="fr-FR"/>
        </w:rPr>
        <w:t>. En fait, cette aggravation n</w:t>
      </w:r>
      <w:r w:rsidR="0070292F" w:rsidRPr="0070292F">
        <w:rPr>
          <w:lang w:val="fr-FR"/>
        </w:rPr>
        <w:t>’</w:t>
      </w:r>
      <w:r w:rsidRPr="0070292F">
        <w:rPr>
          <w:lang w:val="fr-FR"/>
        </w:rPr>
        <w:t>avait rien à voir avec l</w:t>
      </w:r>
      <w:r w:rsidR="0070292F" w:rsidRPr="0070292F">
        <w:rPr>
          <w:lang w:val="fr-FR"/>
        </w:rPr>
        <w:t>’</w:t>
      </w:r>
      <w:r w:rsidRPr="0070292F">
        <w:rPr>
          <w:lang w:val="fr-FR"/>
        </w:rPr>
        <w:t>objet de l</w:t>
      </w:r>
      <w:r w:rsidR="0070292F" w:rsidRPr="0070292F">
        <w:rPr>
          <w:lang w:val="fr-FR"/>
        </w:rPr>
        <w:t>’</w:t>
      </w:r>
      <w:r w:rsidRPr="0070292F">
        <w:rPr>
          <w:lang w:val="fr-FR"/>
        </w:rPr>
        <w:t>infraction de base, et le facteur aggravant résultait donc exclusivement de l</w:t>
      </w:r>
      <w:r w:rsidR="0070292F" w:rsidRPr="0070292F">
        <w:rPr>
          <w:lang w:val="fr-FR"/>
        </w:rPr>
        <w:t>’</w:t>
      </w:r>
      <w:r w:rsidRPr="0070292F">
        <w:rPr>
          <w:lang w:val="fr-FR"/>
        </w:rPr>
        <w:t>étiquette négative que le législateur mettait au suspect ayant fait l</w:t>
      </w:r>
      <w:r w:rsidR="0070292F" w:rsidRPr="0070292F">
        <w:rPr>
          <w:lang w:val="fr-FR"/>
        </w:rPr>
        <w:t>’</w:t>
      </w:r>
      <w:r w:rsidRPr="0070292F">
        <w:rPr>
          <w:lang w:val="fr-FR"/>
        </w:rPr>
        <w:t>objet de mesures de prévention</w:t>
      </w:r>
      <w:r w:rsidRPr="0070292F">
        <w:rPr>
          <w:vertAlign w:val="superscript"/>
          <w:lang w:val="fr-FR"/>
        </w:rPr>
        <w:footnoteReference w:id="16"/>
      </w:r>
      <w:r w:rsidRPr="0070292F">
        <w:rPr>
          <w:lang w:val="fr-FR"/>
        </w:rPr>
        <w:t xml:space="preserve">. Partant, parmi les nombreux effets personnels dommageables desdites mesures, leur effet </w:t>
      </w:r>
      <w:r w:rsidRPr="0070292F">
        <w:rPr>
          <w:lang w:val="fr-FR"/>
        </w:rPr>
        <w:lastRenderedPageBreak/>
        <w:t>intrinsèquement déshonorant avait un impact non seulement sociologique mais aussi sur l</w:t>
      </w:r>
      <w:r w:rsidR="0070292F" w:rsidRPr="0070292F">
        <w:rPr>
          <w:lang w:val="fr-FR"/>
        </w:rPr>
        <w:t>’</w:t>
      </w:r>
      <w:r w:rsidRPr="0070292F">
        <w:rPr>
          <w:lang w:val="fr-FR"/>
        </w:rPr>
        <w:t>application de la loi.</w:t>
      </w:r>
    </w:p>
    <w:p w:rsidR="003D30C1" w:rsidRPr="0070292F" w:rsidRDefault="003D30C1" w:rsidP="0070292F">
      <w:pPr>
        <w:pStyle w:val="OpiPara"/>
        <w:rPr>
          <w:lang w:val="fr-FR"/>
        </w:rPr>
      </w:pPr>
      <w:r w:rsidRPr="0070292F">
        <w:rPr>
          <w:lang w:val="fr-FR"/>
        </w:rPr>
        <w:t>6.  En outre, le cumul de mesures de prévention personnelles et de sanctions de droit pénal n</w:t>
      </w:r>
      <w:r w:rsidR="0070292F" w:rsidRPr="0070292F">
        <w:rPr>
          <w:lang w:val="fr-FR"/>
        </w:rPr>
        <w:t>’</w:t>
      </w:r>
      <w:r w:rsidRPr="0070292F">
        <w:rPr>
          <w:lang w:val="fr-FR"/>
        </w:rPr>
        <w:t xml:space="preserve">était même pas limité par le principe </w:t>
      </w:r>
      <w:r w:rsidRPr="0070292F">
        <w:rPr>
          <w:i/>
          <w:lang w:val="fr-FR"/>
        </w:rPr>
        <w:t>ne bis in idem</w:t>
      </w:r>
      <w:r w:rsidRPr="0070292F">
        <w:rPr>
          <w:lang w:val="fr-FR"/>
        </w:rPr>
        <w:t>, compte tenu du principe de « compatibilité logique » entre les deux, distillé par la jurisprudence relative à certaines dispositions de loi</w:t>
      </w:r>
      <w:r w:rsidRPr="0070292F">
        <w:rPr>
          <w:vertAlign w:val="superscript"/>
          <w:lang w:val="fr-FR"/>
        </w:rPr>
        <w:footnoteReference w:id="17"/>
      </w:r>
      <w:r w:rsidRPr="0070292F">
        <w:rPr>
          <w:lang w:val="fr-FR"/>
        </w:rPr>
        <w:t xml:space="preserve">. </w:t>
      </w:r>
      <w:bookmarkStart w:id="99" w:name="lt_pId102"/>
      <w:r w:rsidRPr="0070292F">
        <w:rPr>
          <w:lang w:val="fr-FR"/>
        </w:rPr>
        <w:t>En fait, la loi favorise une telle jurisprudence.</w:t>
      </w:r>
      <w:bookmarkEnd w:id="99"/>
      <w:r w:rsidRPr="0070292F">
        <w:rPr>
          <w:lang w:val="fr-FR"/>
        </w:rPr>
        <w:t xml:space="preserve"> L</w:t>
      </w:r>
      <w:r w:rsidR="0070292F" w:rsidRPr="0070292F">
        <w:rPr>
          <w:lang w:val="fr-FR"/>
        </w:rPr>
        <w:t>’</w:t>
      </w:r>
      <w:r w:rsidRPr="0070292F">
        <w:rPr>
          <w:lang w:val="fr-FR"/>
        </w:rPr>
        <w:t>article 166 § 2 du code pénal permet l</w:t>
      </w:r>
      <w:r w:rsidR="0070292F" w:rsidRPr="0070292F">
        <w:rPr>
          <w:lang w:val="fr-FR"/>
        </w:rPr>
        <w:t>’</w:t>
      </w:r>
      <w:r w:rsidRPr="0070292F">
        <w:rPr>
          <w:lang w:val="fr-FR"/>
        </w:rPr>
        <w:t>application de mesures préventives même en cas de sursis associé à la peine prononcée lors d</w:t>
      </w:r>
      <w:r w:rsidR="0070292F" w:rsidRPr="0070292F">
        <w:rPr>
          <w:lang w:val="fr-FR"/>
        </w:rPr>
        <w:t>’</w:t>
      </w:r>
      <w:r w:rsidRPr="0070292F">
        <w:rPr>
          <w:lang w:val="fr-FR"/>
        </w:rPr>
        <w:t>un jugement pénal, si d</w:t>
      </w:r>
      <w:r w:rsidR="0070292F" w:rsidRPr="0070292F">
        <w:rPr>
          <w:lang w:val="fr-FR"/>
        </w:rPr>
        <w:t>’</w:t>
      </w:r>
      <w:r w:rsidRPr="0070292F">
        <w:rPr>
          <w:lang w:val="fr-FR"/>
        </w:rPr>
        <w:t xml:space="preserve">autres éléments de preuve peuvent être trouvés </w:t>
      </w:r>
      <w:r w:rsidRPr="0070292F">
        <w:rPr>
          <w:i/>
          <w:lang w:val="fr-FR"/>
        </w:rPr>
        <w:t>aliunde</w:t>
      </w:r>
      <w:r w:rsidRPr="0070292F">
        <w:rPr>
          <w:vertAlign w:val="superscript"/>
          <w:lang w:val="fr-FR"/>
        </w:rPr>
        <w:footnoteReference w:id="18"/>
      </w:r>
      <w:r w:rsidRPr="0070292F">
        <w:rPr>
          <w:lang w:val="fr-FR"/>
        </w:rPr>
        <w:t>. En conséquence dudit principe de compatibilité logique, il arrivait même que des mesures de prévention soient combinées à une peine prononcée dans le cadre d</w:t>
      </w:r>
      <w:r w:rsidR="0070292F" w:rsidRPr="0070292F">
        <w:rPr>
          <w:lang w:val="fr-FR"/>
        </w:rPr>
        <w:t>’</w:t>
      </w:r>
      <w:r w:rsidRPr="0070292F">
        <w:rPr>
          <w:lang w:val="fr-FR"/>
        </w:rPr>
        <w:t>une transaction pénale (</w:t>
      </w:r>
      <w:r w:rsidRPr="0070292F">
        <w:rPr>
          <w:i/>
          <w:lang w:val="fr-FR"/>
        </w:rPr>
        <w:t>sentenza di pattegiamento</w:t>
      </w:r>
      <w:r w:rsidRPr="0070292F">
        <w:rPr>
          <w:lang w:val="fr-FR"/>
        </w:rPr>
        <w:t>)</w:t>
      </w:r>
      <w:r w:rsidRPr="0070292F">
        <w:rPr>
          <w:vertAlign w:val="superscript"/>
          <w:lang w:val="fr-FR"/>
        </w:rPr>
        <w:footnoteReference w:id="19"/>
      </w:r>
      <w:r w:rsidRPr="0070292F">
        <w:rPr>
          <w:lang w:val="fr-FR"/>
        </w:rPr>
        <w:t>, ou à une réclusion à perpétuité (</w:t>
      </w:r>
      <w:r w:rsidRPr="0070292F">
        <w:rPr>
          <w:i/>
          <w:lang w:val="fr-FR"/>
        </w:rPr>
        <w:t>condana all</w:t>
      </w:r>
      <w:r w:rsidR="0070292F" w:rsidRPr="0070292F">
        <w:rPr>
          <w:i/>
          <w:lang w:val="fr-FR"/>
        </w:rPr>
        <w:t>’</w:t>
      </w:r>
      <w:r w:rsidRPr="0070292F">
        <w:rPr>
          <w:i/>
          <w:lang w:val="fr-FR"/>
        </w:rPr>
        <w:t xml:space="preserve"> ergastolo</w:t>
      </w:r>
      <w:r w:rsidRPr="0070292F">
        <w:rPr>
          <w:lang w:val="fr-FR"/>
        </w:rPr>
        <w:t>)</w:t>
      </w:r>
      <w:r w:rsidRPr="0070292F">
        <w:rPr>
          <w:vertAlign w:val="superscript"/>
          <w:lang w:val="fr-FR"/>
        </w:rPr>
        <w:footnoteReference w:id="20"/>
      </w:r>
      <w:r w:rsidRPr="0070292F">
        <w:rPr>
          <w:lang w:val="fr-FR"/>
        </w:rPr>
        <w:t>.</w:t>
      </w:r>
    </w:p>
    <w:p w:rsidR="003D30C1" w:rsidRPr="0070292F" w:rsidRDefault="003D30C1" w:rsidP="0070292F">
      <w:pPr>
        <w:pStyle w:val="OpiPara"/>
        <w:rPr>
          <w:lang w:val="fr-FR"/>
        </w:rPr>
      </w:pPr>
      <w:r w:rsidRPr="0070292F">
        <w:rPr>
          <w:lang w:val="fr-FR"/>
        </w:rPr>
        <w:t>7.  </w:t>
      </w:r>
      <w:bookmarkStart w:id="100" w:name="lt_pId106"/>
      <w:r w:rsidRPr="0070292F">
        <w:rPr>
          <w:lang w:val="fr-FR"/>
        </w:rPr>
        <w:t>L</w:t>
      </w:r>
      <w:r w:rsidR="0070292F" w:rsidRPr="0070292F">
        <w:rPr>
          <w:lang w:val="fr-FR"/>
        </w:rPr>
        <w:t>’</w:t>
      </w:r>
      <w:r w:rsidRPr="0070292F">
        <w:rPr>
          <w:lang w:val="fr-FR"/>
        </w:rPr>
        <w:t>effet punitif des mesures de prévention fondées sur la loi de 1956 était exacerbé par le fait que celles-ci étaient appliquées alors que la procédure pénale était encore en cours, sur la base des circonstances qui étaient visées par l</w:t>
      </w:r>
      <w:r w:rsidR="0070292F" w:rsidRPr="0070292F">
        <w:rPr>
          <w:lang w:val="fr-FR"/>
        </w:rPr>
        <w:t>’</w:t>
      </w:r>
      <w:r w:rsidRPr="0070292F">
        <w:rPr>
          <w:lang w:val="fr-FR"/>
        </w:rPr>
        <w:t>instruction dans le cadre de ladite procédure. Dans ce contexte, les mesures de prévention permettaient de contourner les exigences temporelles plus strictes qui sont associées à l</w:t>
      </w:r>
      <w:r w:rsidR="0070292F" w:rsidRPr="0070292F">
        <w:rPr>
          <w:lang w:val="fr-FR"/>
        </w:rPr>
        <w:t>’</w:t>
      </w:r>
      <w:r w:rsidRPr="0070292F">
        <w:rPr>
          <w:lang w:val="fr-FR"/>
        </w:rPr>
        <w:t>applicabilité de mesures conservatoires</w:t>
      </w:r>
      <w:bookmarkEnd w:id="100"/>
      <w:r w:rsidRPr="0070292F">
        <w:rPr>
          <w:lang w:val="fr-FR"/>
        </w:rPr>
        <w:t xml:space="preserve"> (</w:t>
      </w:r>
      <w:r w:rsidRPr="0070292F">
        <w:rPr>
          <w:i/>
          <w:lang w:val="fr-FR"/>
        </w:rPr>
        <w:t>misure cautelari</w:t>
      </w:r>
      <w:r w:rsidRPr="0070292F">
        <w:rPr>
          <w:lang w:val="fr-FR"/>
        </w:rPr>
        <w:t>) selon les règles ordinaires de la procédure pénale</w:t>
      </w:r>
      <w:r w:rsidRPr="0070292F">
        <w:rPr>
          <w:vertAlign w:val="superscript"/>
          <w:lang w:val="fr-FR"/>
        </w:rPr>
        <w:footnoteReference w:id="21"/>
      </w:r>
      <w:r w:rsidRPr="0070292F">
        <w:rPr>
          <w:lang w:val="fr-FR"/>
        </w:rPr>
        <w:t>. En pratique, l</w:t>
      </w:r>
      <w:r w:rsidR="0070292F" w:rsidRPr="0070292F">
        <w:rPr>
          <w:lang w:val="fr-FR"/>
        </w:rPr>
        <w:t>’</w:t>
      </w:r>
      <w:r w:rsidRPr="0070292F">
        <w:rPr>
          <w:lang w:val="fr-FR"/>
        </w:rPr>
        <w:t>interchangeabilité entre les mesures de prévention et les mesures conservatoires, dont la nature, le régime et les effets sont différents, a « escamoté » le droit contenu dans les livres</w:t>
      </w:r>
      <w:r w:rsidRPr="0070292F">
        <w:rPr>
          <w:vertAlign w:val="superscript"/>
          <w:lang w:val="fr-FR"/>
        </w:rPr>
        <w:footnoteReference w:id="22"/>
      </w:r>
      <w:r w:rsidRPr="0070292F">
        <w:rPr>
          <w:lang w:val="fr-FR"/>
        </w:rPr>
        <w:t xml:space="preserve">. </w:t>
      </w:r>
      <w:bookmarkStart w:id="101" w:name="lt_pId109"/>
      <w:r w:rsidRPr="0070292F">
        <w:rPr>
          <w:lang w:val="fr-FR"/>
        </w:rPr>
        <w:t>Pendant une procédure pénale, les mesures de prévention fondées sur la loi de 1956 fonctionnaient en réalité comme un puissant objet de marchandage « endo-procédural »</w:t>
      </w:r>
      <w:r w:rsidRPr="0070292F">
        <w:rPr>
          <w:b/>
          <w:lang w:val="fr-FR"/>
        </w:rPr>
        <w:t xml:space="preserve"> </w:t>
      </w:r>
      <w:r w:rsidRPr="0070292F">
        <w:rPr>
          <w:lang w:val="fr-FR"/>
        </w:rPr>
        <w:t>pour la police et les procureurs.</w:t>
      </w:r>
      <w:bookmarkEnd w:id="101"/>
      <w:r w:rsidRPr="0070292F">
        <w:rPr>
          <w:lang w:val="fr-FR"/>
        </w:rPr>
        <w:t xml:space="preserve"> Pour dire les choses crûment, l</w:t>
      </w:r>
      <w:r w:rsidR="0070292F" w:rsidRPr="0070292F">
        <w:rPr>
          <w:lang w:val="fr-FR"/>
        </w:rPr>
        <w:t>’</w:t>
      </w:r>
      <w:r w:rsidRPr="0070292F">
        <w:rPr>
          <w:lang w:val="fr-FR"/>
        </w:rPr>
        <w:t>ascendant tactique de la police et du parquet sur la défense était grandement renforcé par l</w:t>
      </w:r>
      <w:r w:rsidR="0070292F" w:rsidRPr="0070292F">
        <w:rPr>
          <w:lang w:val="fr-FR"/>
        </w:rPr>
        <w:t>’</w:t>
      </w:r>
      <w:r w:rsidRPr="0070292F">
        <w:rPr>
          <w:lang w:val="fr-FR"/>
        </w:rPr>
        <w:t>utilisation de mesures de prévention comme moyen de faire pression sur une personne présumée innocente</w:t>
      </w:r>
      <w:r w:rsidRPr="0070292F">
        <w:rPr>
          <w:b/>
          <w:lang w:val="fr-FR"/>
        </w:rPr>
        <w:t xml:space="preserve"> </w:t>
      </w:r>
      <w:r w:rsidRPr="0070292F">
        <w:rPr>
          <w:lang w:val="fr-FR"/>
        </w:rPr>
        <w:t>afin qu</w:t>
      </w:r>
      <w:r w:rsidR="0070292F" w:rsidRPr="0070292F">
        <w:rPr>
          <w:lang w:val="fr-FR"/>
        </w:rPr>
        <w:t>’</w:t>
      </w:r>
      <w:r w:rsidRPr="0070292F">
        <w:rPr>
          <w:lang w:val="fr-FR"/>
        </w:rPr>
        <w:t>elle coopère dans le cadre de la procédure pénale en cours.</w:t>
      </w:r>
    </w:p>
    <w:p w:rsidR="003D30C1" w:rsidRPr="0070292F" w:rsidRDefault="003D30C1" w:rsidP="0070292F">
      <w:pPr>
        <w:pStyle w:val="OpiPara"/>
        <w:rPr>
          <w:lang w:val="fr-FR"/>
        </w:rPr>
      </w:pPr>
      <w:r w:rsidRPr="0070292F">
        <w:rPr>
          <w:lang w:val="fr-FR"/>
        </w:rPr>
        <w:t xml:space="preserve">8.  En définitive, les </w:t>
      </w:r>
      <w:r w:rsidRPr="0070292F">
        <w:rPr>
          <w:i/>
          <w:lang w:val="fr-FR"/>
        </w:rPr>
        <w:t>misure di prevenzione personali</w:t>
      </w:r>
      <w:r w:rsidRPr="0070292F">
        <w:rPr>
          <w:lang w:val="fr-FR"/>
        </w:rPr>
        <w:t xml:space="preserve"> ont abandonné le principe de responsabilité personnelle relatif à un acte. Pour reprendre les termes d</w:t>
      </w:r>
      <w:r w:rsidR="0070292F" w:rsidRPr="0070292F">
        <w:rPr>
          <w:lang w:val="fr-FR"/>
        </w:rPr>
        <w:t>’</w:t>
      </w:r>
      <w:r w:rsidRPr="0070292F">
        <w:rPr>
          <w:lang w:val="fr-FR"/>
        </w:rPr>
        <w:t>Elia, le jugement préventif « disqualifie socialement une personne, sans avoir au préalable disqualifié un fait » (</w:t>
      </w:r>
      <w:r w:rsidRPr="0070292F">
        <w:rPr>
          <w:i/>
          <w:lang w:val="fr-FR"/>
        </w:rPr>
        <w:t xml:space="preserve">un giudizio quale si squalifia </w:t>
      </w:r>
      <w:r w:rsidRPr="0070292F">
        <w:rPr>
          <w:i/>
          <w:lang w:val="fr-FR"/>
        </w:rPr>
        <w:lastRenderedPageBreak/>
        <w:t>socialmente una persona, senza prima poter squalificare un fatto</w:t>
      </w:r>
      <w:r w:rsidRPr="0070292F">
        <w:rPr>
          <w:lang w:val="fr-FR"/>
        </w:rPr>
        <w:t>)</w:t>
      </w:r>
      <w:r w:rsidRPr="0070292F">
        <w:rPr>
          <w:vertAlign w:val="superscript"/>
        </w:rPr>
        <w:footnoteReference w:id="23"/>
      </w:r>
      <w:r w:rsidRPr="0070292F">
        <w:rPr>
          <w:lang w:val="fr-FR"/>
        </w:rPr>
        <w:t>. En fait, les mesures fondées sur la loi de 1956 s</w:t>
      </w:r>
      <w:r w:rsidR="0070292F" w:rsidRPr="0070292F">
        <w:rPr>
          <w:lang w:val="fr-FR"/>
        </w:rPr>
        <w:t>’</w:t>
      </w:r>
      <w:r w:rsidRPr="0070292F">
        <w:rPr>
          <w:lang w:val="fr-FR"/>
        </w:rPr>
        <w:t>appliquaient ante o praeter delictum. Basées sur un jugement hautement indéterminé et probabiliste quant à la conduite future du suspect (</w:t>
      </w:r>
      <w:r w:rsidRPr="0070292F">
        <w:rPr>
          <w:i/>
          <w:lang w:val="fr-FR"/>
        </w:rPr>
        <w:t>Prius ergo est suspicio</w:t>
      </w:r>
      <w:r w:rsidRPr="0070292F">
        <w:rPr>
          <w:vertAlign w:val="superscript"/>
        </w:rPr>
        <w:footnoteReference w:id="24"/>
      </w:r>
      <w:r w:rsidRPr="0070292F">
        <w:rPr>
          <w:lang w:val="fr-FR"/>
        </w:rPr>
        <w:t>), elles ciblaient celui-ci indépendamment de toute preuve d</w:t>
      </w:r>
      <w:r w:rsidR="0070292F" w:rsidRPr="0070292F">
        <w:rPr>
          <w:lang w:val="fr-FR"/>
        </w:rPr>
        <w:t>’</w:t>
      </w:r>
      <w:r w:rsidRPr="0070292F">
        <w:rPr>
          <w:lang w:val="fr-FR"/>
        </w:rPr>
        <w:t>une infraction pénale passée, s</w:t>
      </w:r>
      <w:r w:rsidR="0070292F" w:rsidRPr="0070292F">
        <w:rPr>
          <w:lang w:val="fr-FR"/>
        </w:rPr>
        <w:t>’</w:t>
      </w:r>
      <w:r w:rsidRPr="0070292F">
        <w:rPr>
          <w:lang w:val="fr-FR"/>
        </w:rPr>
        <w:t>appuyant sur de supposées « typologies de délinquants » (</w:t>
      </w:r>
      <w:r w:rsidRPr="0070292F">
        <w:rPr>
          <w:i/>
          <w:lang w:val="fr-FR"/>
        </w:rPr>
        <w:t>tipologie d</w:t>
      </w:r>
      <w:r w:rsidR="0070292F" w:rsidRPr="0070292F">
        <w:rPr>
          <w:i/>
          <w:lang w:val="fr-FR"/>
        </w:rPr>
        <w:t>’</w:t>
      </w:r>
      <w:r w:rsidRPr="0070292F">
        <w:rPr>
          <w:i/>
          <w:lang w:val="fr-FR"/>
        </w:rPr>
        <w:t>autore</w:t>
      </w:r>
      <w:r w:rsidRPr="0070292F">
        <w:rPr>
          <w:lang w:val="fr-FR"/>
        </w:rPr>
        <w:t>). Dans ce contexte, la garantie d</w:t>
      </w:r>
      <w:r w:rsidR="0070292F" w:rsidRPr="0070292F">
        <w:rPr>
          <w:lang w:val="fr-FR"/>
        </w:rPr>
        <w:t>’</w:t>
      </w:r>
      <w:r w:rsidRPr="0070292F">
        <w:rPr>
          <w:lang w:val="fr-FR"/>
        </w:rPr>
        <w:t>un contrôle juridictionnel n</w:t>
      </w:r>
      <w:r w:rsidR="0070292F" w:rsidRPr="0070292F">
        <w:rPr>
          <w:lang w:val="fr-FR"/>
        </w:rPr>
        <w:t>’</w:t>
      </w:r>
      <w:r w:rsidRPr="0070292F">
        <w:rPr>
          <w:lang w:val="fr-FR"/>
        </w:rPr>
        <w:t>était qu</w:t>
      </w:r>
      <w:r w:rsidR="0070292F" w:rsidRPr="0070292F">
        <w:rPr>
          <w:lang w:val="fr-FR"/>
        </w:rPr>
        <w:t>’</w:t>
      </w:r>
      <w:r w:rsidRPr="0070292F">
        <w:rPr>
          <w:lang w:val="fr-FR"/>
        </w:rPr>
        <w:t>illusion</w:t>
      </w:r>
      <w:r w:rsidRPr="0070292F">
        <w:rPr>
          <w:vertAlign w:val="superscript"/>
        </w:rPr>
        <w:footnoteReference w:id="25"/>
      </w:r>
      <w:r w:rsidRPr="0070292F">
        <w:rPr>
          <w:lang w:val="fr-FR"/>
        </w:rPr>
        <w:t xml:space="preserve">. La loi de 1956 </w:t>
      </w:r>
      <w:bookmarkStart w:id="102" w:name="lt_pId117"/>
      <w:r w:rsidRPr="0070292F">
        <w:rPr>
          <w:lang w:val="fr-FR"/>
        </w:rPr>
        <w:t>est devenue l</w:t>
      </w:r>
      <w:r w:rsidR="0070292F" w:rsidRPr="0070292F">
        <w:rPr>
          <w:lang w:val="fr-FR"/>
        </w:rPr>
        <w:t>’</w:t>
      </w:r>
      <w:r w:rsidRPr="0070292F">
        <w:rPr>
          <w:lang w:val="fr-FR"/>
        </w:rPr>
        <w:t>instrument d</w:t>
      </w:r>
      <w:r w:rsidR="0070292F" w:rsidRPr="0070292F">
        <w:rPr>
          <w:lang w:val="fr-FR"/>
        </w:rPr>
        <w:t>’</w:t>
      </w:r>
      <w:r w:rsidRPr="0070292F">
        <w:rPr>
          <w:lang w:val="fr-FR"/>
        </w:rPr>
        <w:t xml:space="preserve">une politique pénale fondée sur le </w:t>
      </w:r>
      <w:r w:rsidRPr="0070292F">
        <w:rPr>
          <w:i/>
          <w:lang w:val="fr-FR"/>
        </w:rPr>
        <w:t>Täter-Typus</w:t>
      </w:r>
      <w:r w:rsidRPr="0070292F">
        <w:rPr>
          <w:lang w:val="fr-FR"/>
        </w:rPr>
        <w:t xml:space="preserve"> qui a trahi la règle fondamentale jadis si éloquemment formulée par Bettiol pour le droit pénal : </w:t>
      </w:r>
      <w:bookmarkEnd w:id="102"/>
      <w:r w:rsidRPr="0070292F">
        <w:rPr>
          <w:i/>
          <w:lang w:val="fr-FR"/>
        </w:rPr>
        <w:t>Im Anfang ist die Tat</w:t>
      </w:r>
      <w:r w:rsidRPr="0070292F">
        <w:rPr>
          <w:vertAlign w:val="superscript"/>
        </w:rPr>
        <w:footnoteReference w:id="26"/>
      </w:r>
      <w:r w:rsidRPr="0070292F">
        <w:rPr>
          <w:lang w:val="fr-FR"/>
        </w:rPr>
        <w:t>.</w:t>
      </w:r>
    </w:p>
    <w:p w:rsidR="003D30C1" w:rsidRPr="0070292F" w:rsidRDefault="003D30C1" w:rsidP="0070292F">
      <w:pPr>
        <w:pStyle w:val="OpiH1"/>
        <w:rPr>
          <w:lang w:val="fr-FR"/>
        </w:rPr>
      </w:pPr>
      <w:bookmarkStart w:id="103" w:name="_Toc472493588"/>
      <w:bookmarkStart w:id="104" w:name="_Toc475451882"/>
      <w:r w:rsidRPr="0070292F">
        <w:rPr>
          <w:lang w:val="fr-FR"/>
        </w:rPr>
        <w:t>B.  La</w:t>
      </w:r>
      <w:r w:rsidRPr="0070292F">
        <w:rPr>
          <w:i/>
          <w:lang w:val="fr-FR"/>
        </w:rPr>
        <w:t xml:space="preserve"> frode delle etichette </w:t>
      </w:r>
      <w:r w:rsidRPr="0070292F">
        <w:rPr>
          <w:lang w:val="fr-FR"/>
        </w:rPr>
        <w:t>dans le contexte des mesures de prévention (§§ 9-11)</w:t>
      </w:r>
      <w:bookmarkEnd w:id="103"/>
      <w:bookmarkEnd w:id="104"/>
    </w:p>
    <w:p w:rsidR="003D30C1" w:rsidRPr="0070292F" w:rsidRDefault="003D30C1" w:rsidP="0070292F">
      <w:pPr>
        <w:pStyle w:val="OpiPara"/>
        <w:rPr>
          <w:lang w:val="fr-FR"/>
        </w:rPr>
      </w:pPr>
      <w:r w:rsidRPr="0070292F">
        <w:rPr>
          <w:lang w:val="fr-FR"/>
        </w:rPr>
        <w:t>9.  Jusqu</w:t>
      </w:r>
      <w:r w:rsidR="0070292F" w:rsidRPr="0070292F">
        <w:rPr>
          <w:lang w:val="fr-FR"/>
        </w:rPr>
        <w:t>’</w:t>
      </w:r>
      <w:r w:rsidRPr="0070292F">
        <w:rPr>
          <w:lang w:val="fr-FR"/>
        </w:rPr>
        <w:t>à présent, la Cour de Strasbourg n</w:t>
      </w:r>
      <w:r w:rsidR="0070292F" w:rsidRPr="0070292F">
        <w:rPr>
          <w:lang w:val="fr-FR"/>
        </w:rPr>
        <w:t>’</w:t>
      </w:r>
      <w:r w:rsidRPr="0070292F">
        <w:rPr>
          <w:lang w:val="fr-FR"/>
        </w:rPr>
        <w:t>a guère aidé à contrer cette « fraude à l</w:t>
      </w:r>
      <w:r w:rsidR="0070292F" w:rsidRPr="0070292F">
        <w:rPr>
          <w:lang w:val="fr-FR"/>
        </w:rPr>
        <w:t>’</w:t>
      </w:r>
      <w:r w:rsidRPr="0070292F">
        <w:rPr>
          <w:lang w:val="fr-FR"/>
        </w:rPr>
        <w:t>étiquette » (</w:t>
      </w:r>
      <w:r w:rsidRPr="0070292F">
        <w:rPr>
          <w:i/>
          <w:lang w:val="fr-FR"/>
        </w:rPr>
        <w:t>frode delle etichette</w:t>
      </w:r>
      <w:r w:rsidRPr="0070292F">
        <w:rPr>
          <w:lang w:val="fr-FR"/>
        </w:rPr>
        <w:t>). Appelée à apprécier la compatibilité des mesures de prévention avec la Convention, elle s</w:t>
      </w:r>
      <w:r w:rsidR="0070292F" w:rsidRPr="0070292F">
        <w:rPr>
          <w:lang w:val="fr-FR"/>
        </w:rPr>
        <w:t>’</w:t>
      </w:r>
      <w:r w:rsidRPr="0070292F">
        <w:rPr>
          <w:lang w:val="fr-FR"/>
        </w:rPr>
        <w:t>est concentrée sur la procédure relative à l</w:t>
      </w:r>
      <w:r w:rsidR="0070292F" w:rsidRPr="0070292F">
        <w:rPr>
          <w:lang w:val="fr-FR"/>
        </w:rPr>
        <w:t>’</w:t>
      </w:r>
      <w:r w:rsidRPr="0070292F">
        <w:rPr>
          <w:lang w:val="fr-FR"/>
        </w:rPr>
        <w:t>application de telles mesures – dans laquelle était évaluée la dangerosité de la personne concernée – et vérifié si les droits de la défense avaient été respectés</w:t>
      </w:r>
      <w:r w:rsidRPr="0070292F">
        <w:rPr>
          <w:vertAlign w:val="superscript"/>
          <w:lang w:val="fr-FR"/>
        </w:rPr>
        <w:footnoteReference w:id="27"/>
      </w:r>
      <w:r w:rsidRPr="0070292F">
        <w:rPr>
          <w:lang w:val="fr-FR"/>
        </w:rPr>
        <w:t xml:space="preserve">. Comme nous le démontrerons plus loin, après le crucial arrêt </w:t>
      </w:r>
      <w:r w:rsidRPr="0070292F">
        <w:rPr>
          <w:i/>
          <w:lang w:val="fr-FR"/>
        </w:rPr>
        <w:t>Guzzardi</w:t>
      </w:r>
      <w:r w:rsidRPr="0070292F">
        <w:rPr>
          <w:lang w:val="fr-FR"/>
        </w:rPr>
        <w:t xml:space="preserve"> </w:t>
      </w:r>
      <w:r w:rsidRPr="0070292F">
        <w:rPr>
          <w:i/>
          <w:lang w:val="fr-FR"/>
        </w:rPr>
        <w:t>c. Italie</w:t>
      </w:r>
      <w:r w:rsidRPr="0070292F">
        <w:rPr>
          <w:vertAlign w:val="superscript"/>
          <w:lang w:val="fr-FR"/>
        </w:rPr>
        <w:footnoteReference w:id="28"/>
      </w:r>
      <w:r w:rsidRPr="0070292F">
        <w:rPr>
          <w:lang w:val="fr-FR"/>
        </w:rPr>
        <w:t>, la Cour a toujours évité d</w:t>
      </w:r>
      <w:r w:rsidR="0070292F" w:rsidRPr="0070292F">
        <w:rPr>
          <w:lang w:val="fr-FR"/>
        </w:rPr>
        <w:t>’</w:t>
      </w:r>
      <w:r w:rsidRPr="0070292F">
        <w:rPr>
          <w:lang w:val="fr-FR"/>
        </w:rPr>
        <w:t>opérer une analyse approfondie des caractéristiques matérielles des mesures de prévention fondées sur la loi de 1956, se contentant de présumer leur légalité. L</w:t>
      </w:r>
      <w:r w:rsidR="0070292F" w:rsidRPr="0070292F">
        <w:rPr>
          <w:lang w:val="fr-FR"/>
        </w:rPr>
        <w:t>’</w:t>
      </w:r>
      <w:r w:rsidRPr="0070292F">
        <w:rPr>
          <w:lang w:val="fr-FR"/>
        </w:rPr>
        <w:t xml:space="preserve">affaire </w:t>
      </w:r>
      <w:r w:rsidRPr="0070292F">
        <w:rPr>
          <w:i/>
          <w:lang w:val="fr-FR"/>
        </w:rPr>
        <w:t>Monno</w:t>
      </w:r>
      <w:r w:rsidRPr="0070292F">
        <w:rPr>
          <w:lang w:val="fr-FR"/>
        </w:rPr>
        <w:t xml:space="preserve"> représente la dernière occasion en date qu</w:t>
      </w:r>
      <w:r w:rsidR="0070292F" w:rsidRPr="0070292F">
        <w:rPr>
          <w:lang w:val="fr-FR"/>
        </w:rPr>
        <w:t>’</w:t>
      </w:r>
      <w:r w:rsidRPr="0070292F">
        <w:rPr>
          <w:lang w:val="fr-FR"/>
        </w:rPr>
        <w:t>elle ait eue de se livrer à un tel exercice ; or elle n</w:t>
      </w:r>
      <w:r w:rsidR="0070292F" w:rsidRPr="0070292F">
        <w:rPr>
          <w:lang w:val="fr-FR"/>
        </w:rPr>
        <w:t>’</w:t>
      </w:r>
      <w:r w:rsidRPr="0070292F">
        <w:rPr>
          <w:lang w:val="fr-FR"/>
        </w:rPr>
        <w:t>a pas saisi cette opportunité et, à la majorité, a déclaré la requête irrecevable</w:t>
      </w:r>
      <w:r w:rsidRPr="0070292F">
        <w:rPr>
          <w:vertAlign w:val="superscript"/>
          <w:lang w:val="fr-FR"/>
        </w:rPr>
        <w:footnoteReference w:id="29"/>
      </w:r>
      <w:r w:rsidRPr="0070292F">
        <w:rPr>
          <w:lang w:val="fr-FR"/>
        </w:rPr>
        <w:t>.</w:t>
      </w:r>
    </w:p>
    <w:p w:rsidR="003D30C1" w:rsidRPr="0070292F" w:rsidRDefault="003D30C1" w:rsidP="0070292F">
      <w:pPr>
        <w:pStyle w:val="OpiPara"/>
        <w:rPr>
          <w:lang w:val="fr-FR"/>
        </w:rPr>
      </w:pPr>
      <w:r w:rsidRPr="0070292F">
        <w:rPr>
          <w:lang w:val="fr-FR"/>
        </w:rPr>
        <w:t>10.  De plus, la Cour a estimé que l</w:t>
      </w:r>
      <w:r w:rsidR="0070292F" w:rsidRPr="0070292F">
        <w:rPr>
          <w:lang w:val="fr-FR"/>
        </w:rPr>
        <w:t>’</w:t>
      </w:r>
      <w:r w:rsidRPr="0070292F">
        <w:rPr>
          <w:lang w:val="fr-FR"/>
        </w:rPr>
        <w:t>annulation d</w:t>
      </w:r>
      <w:r w:rsidR="0070292F" w:rsidRPr="0070292F">
        <w:rPr>
          <w:lang w:val="fr-FR"/>
        </w:rPr>
        <w:t>’</w:t>
      </w:r>
      <w:r w:rsidRPr="0070292F">
        <w:rPr>
          <w:lang w:val="fr-FR"/>
        </w:rPr>
        <w:t>une mesure de prévention par la cour d</w:t>
      </w:r>
      <w:r w:rsidR="0070292F" w:rsidRPr="0070292F">
        <w:rPr>
          <w:lang w:val="fr-FR"/>
        </w:rPr>
        <w:t>’</w:t>
      </w:r>
      <w:r w:rsidRPr="0070292F">
        <w:rPr>
          <w:lang w:val="fr-FR"/>
        </w:rPr>
        <w:t>appel n</w:t>
      </w:r>
      <w:r w:rsidR="0070292F" w:rsidRPr="0070292F">
        <w:rPr>
          <w:lang w:val="fr-FR"/>
        </w:rPr>
        <w:t>’</w:t>
      </w:r>
      <w:r w:rsidRPr="0070292F">
        <w:rPr>
          <w:lang w:val="fr-FR"/>
        </w:rPr>
        <w:t>affectait pas, en tant que telle, la légalité de l</w:t>
      </w:r>
      <w:r w:rsidR="0070292F" w:rsidRPr="0070292F">
        <w:rPr>
          <w:lang w:val="fr-FR"/>
        </w:rPr>
        <w:t>’</w:t>
      </w:r>
      <w:r w:rsidRPr="0070292F">
        <w:rPr>
          <w:lang w:val="fr-FR"/>
        </w:rPr>
        <w:t xml:space="preserve">ingérence pour la période précédente, au motif que la décision de la </w:t>
      </w:r>
      <w:r w:rsidRPr="0070292F">
        <w:rPr>
          <w:lang w:val="fr-FR"/>
        </w:rPr>
        <w:lastRenderedPageBreak/>
        <w:t xml:space="preserve">juridiction de première instance était </w:t>
      </w:r>
      <w:r w:rsidRPr="0070292F">
        <w:rPr>
          <w:i/>
          <w:lang w:val="fr-FR"/>
        </w:rPr>
        <w:t>prima facie</w:t>
      </w:r>
      <w:r w:rsidRPr="0070292F">
        <w:rPr>
          <w:lang w:val="fr-FR"/>
        </w:rPr>
        <w:t xml:space="preserve"> valide et efficace jusqu</w:t>
      </w:r>
      <w:r w:rsidR="0070292F" w:rsidRPr="0070292F">
        <w:rPr>
          <w:lang w:val="fr-FR"/>
        </w:rPr>
        <w:t>’</w:t>
      </w:r>
      <w:r w:rsidRPr="0070292F">
        <w:rPr>
          <w:lang w:val="fr-FR"/>
        </w:rPr>
        <w:t>au moment de son annulation par la juridiction supérieure</w:t>
      </w:r>
      <w:r w:rsidRPr="0070292F">
        <w:rPr>
          <w:vertAlign w:val="superscript"/>
          <w:lang w:val="fr-FR"/>
        </w:rPr>
        <w:footnoteReference w:id="30"/>
      </w:r>
      <w:r w:rsidRPr="0070292F">
        <w:rPr>
          <w:lang w:val="fr-FR"/>
        </w:rPr>
        <w:t>. En outre, elle a jugé que le non-respect d</w:t>
      </w:r>
      <w:r w:rsidR="0070292F" w:rsidRPr="0070292F">
        <w:rPr>
          <w:lang w:val="fr-FR"/>
        </w:rPr>
        <w:t>’</w:t>
      </w:r>
      <w:r w:rsidRPr="0070292F">
        <w:rPr>
          <w:lang w:val="fr-FR"/>
        </w:rPr>
        <w:t>un délai légal ne signifiait pas qu</w:t>
      </w:r>
      <w:r w:rsidR="0070292F" w:rsidRPr="0070292F">
        <w:rPr>
          <w:lang w:val="fr-FR"/>
        </w:rPr>
        <w:t>’</w:t>
      </w:r>
      <w:r w:rsidRPr="0070292F">
        <w:rPr>
          <w:lang w:val="fr-FR"/>
        </w:rPr>
        <w:t>il y avait eu rupture du juste équilibre</w:t>
      </w:r>
      <w:r w:rsidRPr="0070292F">
        <w:rPr>
          <w:vertAlign w:val="superscript"/>
          <w:lang w:val="fr-FR"/>
        </w:rPr>
        <w:footnoteReference w:id="31"/>
      </w:r>
      <w:r w:rsidRPr="0070292F">
        <w:rPr>
          <w:lang w:val="fr-FR"/>
        </w:rPr>
        <w:t>.</w:t>
      </w:r>
    </w:p>
    <w:p w:rsidR="003D30C1" w:rsidRPr="0070292F" w:rsidRDefault="003D30C1" w:rsidP="0070292F">
      <w:pPr>
        <w:pStyle w:val="OpiPara"/>
        <w:rPr>
          <w:lang w:val="fr-FR"/>
        </w:rPr>
      </w:pPr>
      <w:r w:rsidRPr="0070292F">
        <w:rPr>
          <w:lang w:val="fr-FR"/>
        </w:rPr>
        <w:t>11.  Au surplus, la Cour a toujours dit que le fait d</w:t>
      </w:r>
      <w:r w:rsidR="0070292F" w:rsidRPr="0070292F">
        <w:rPr>
          <w:lang w:val="fr-FR"/>
        </w:rPr>
        <w:t>’</w:t>
      </w:r>
      <w:r w:rsidRPr="0070292F">
        <w:rPr>
          <w:lang w:val="fr-FR"/>
        </w:rPr>
        <w:t>exclure le public d</w:t>
      </w:r>
      <w:r w:rsidR="0070292F" w:rsidRPr="0070292F">
        <w:rPr>
          <w:lang w:val="fr-FR"/>
        </w:rPr>
        <w:t>’</w:t>
      </w:r>
      <w:r w:rsidRPr="0070292F">
        <w:rPr>
          <w:lang w:val="fr-FR"/>
        </w:rPr>
        <w:t>une procédure relative à</w:t>
      </w:r>
      <w:r w:rsidRPr="0070292F">
        <w:rPr>
          <w:b/>
          <w:lang w:val="fr-FR"/>
        </w:rPr>
        <w:t xml:space="preserve"> </w:t>
      </w:r>
      <w:r w:rsidRPr="0070292F">
        <w:rPr>
          <w:lang w:val="fr-FR"/>
        </w:rPr>
        <w:t>l</w:t>
      </w:r>
      <w:r w:rsidR="0070292F" w:rsidRPr="0070292F">
        <w:rPr>
          <w:lang w:val="fr-FR"/>
        </w:rPr>
        <w:t>’</w:t>
      </w:r>
      <w:r w:rsidRPr="0070292F">
        <w:rPr>
          <w:lang w:val="fr-FR"/>
        </w:rPr>
        <w:t>application de mesures de prévention patrimoniales emportait violation de l</w:t>
      </w:r>
      <w:r w:rsidR="0070292F" w:rsidRPr="0070292F">
        <w:rPr>
          <w:lang w:val="fr-FR"/>
        </w:rPr>
        <w:t>’</w:t>
      </w:r>
      <w:r w:rsidRPr="0070292F">
        <w:rPr>
          <w:lang w:val="fr-FR"/>
        </w:rPr>
        <w:t>article 6 § 1 de la Convention</w:t>
      </w:r>
      <w:r w:rsidRPr="0070292F">
        <w:rPr>
          <w:vertAlign w:val="superscript"/>
          <w:lang w:val="fr-FR"/>
        </w:rPr>
        <w:footnoteReference w:id="32"/>
      </w:r>
      <w:r w:rsidRPr="0070292F">
        <w:rPr>
          <w:lang w:val="fr-FR"/>
        </w:rPr>
        <w:t>. Toutefois, il n</w:t>
      </w:r>
      <w:r w:rsidR="0070292F" w:rsidRPr="0070292F">
        <w:rPr>
          <w:lang w:val="fr-FR"/>
        </w:rPr>
        <w:t>’</w:t>
      </w:r>
      <w:r w:rsidRPr="0070292F">
        <w:rPr>
          <w:lang w:val="fr-FR"/>
        </w:rPr>
        <w:t>y avait pas jusqu</w:t>
      </w:r>
      <w:r w:rsidR="0070292F" w:rsidRPr="0070292F">
        <w:rPr>
          <w:lang w:val="fr-FR"/>
        </w:rPr>
        <w:t>’</w:t>
      </w:r>
      <w:r w:rsidRPr="0070292F">
        <w:rPr>
          <w:lang w:val="fr-FR"/>
        </w:rPr>
        <w:t>à présent de jurisprudence semblable concernant les mesures de prévention personnelles.</w:t>
      </w:r>
    </w:p>
    <w:p w:rsidR="003D30C1" w:rsidRPr="0070292F" w:rsidRDefault="003D30C1" w:rsidP="0070292F">
      <w:pPr>
        <w:pStyle w:val="OpiPara"/>
        <w:rPr>
          <w:lang w:val="fr-FR"/>
        </w:rPr>
      </w:pPr>
      <w:r w:rsidRPr="0070292F">
        <w:rPr>
          <w:lang w:val="fr-FR"/>
        </w:rPr>
        <w:t>En un mot, la Cour pour l</w:t>
      </w:r>
      <w:r w:rsidR="0070292F" w:rsidRPr="0070292F">
        <w:rPr>
          <w:lang w:val="fr-FR"/>
        </w:rPr>
        <w:t>’</w:t>
      </w:r>
      <w:r w:rsidRPr="0070292F">
        <w:rPr>
          <w:lang w:val="fr-FR"/>
        </w:rPr>
        <w:t>heure n</w:t>
      </w:r>
      <w:r w:rsidR="0070292F" w:rsidRPr="0070292F">
        <w:rPr>
          <w:lang w:val="fr-FR"/>
        </w:rPr>
        <w:t>’</w:t>
      </w:r>
      <w:r w:rsidRPr="0070292F">
        <w:rPr>
          <w:lang w:val="fr-FR"/>
        </w:rPr>
        <w:t>était pas parvenue à assurer les garanties minimales de la légalité matérielle et de l</w:t>
      </w:r>
      <w:r w:rsidR="0070292F" w:rsidRPr="0070292F">
        <w:rPr>
          <w:lang w:val="fr-FR"/>
        </w:rPr>
        <w:t>’</w:t>
      </w:r>
      <w:r w:rsidRPr="0070292F">
        <w:rPr>
          <w:lang w:val="fr-FR"/>
        </w:rPr>
        <w:t>équité procédurale dans le domaine hautement intrusif des mesures de prévention personnelles. Le présent arrêt change le cours des choses.</w:t>
      </w:r>
    </w:p>
    <w:p w:rsidR="003D30C1" w:rsidRPr="0070292F" w:rsidRDefault="003D30C1" w:rsidP="0070292F">
      <w:pPr>
        <w:pStyle w:val="OpiHA"/>
        <w:rPr>
          <w:lang w:val="fr-FR"/>
        </w:rPr>
      </w:pPr>
      <w:bookmarkStart w:id="105" w:name="_Toc472493589"/>
      <w:bookmarkStart w:id="106" w:name="_Toc475451883"/>
      <w:r w:rsidRPr="0070292F">
        <w:rPr>
          <w:lang w:val="fr-FR"/>
        </w:rPr>
        <w:t>III.  Garanties matérielles relatives aux mesures de prévention (§§ 12-31)</w:t>
      </w:r>
      <w:bookmarkEnd w:id="105"/>
      <w:bookmarkEnd w:id="106"/>
    </w:p>
    <w:p w:rsidR="003D30C1" w:rsidRPr="0070292F" w:rsidRDefault="003D30C1" w:rsidP="0070292F">
      <w:pPr>
        <w:pStyle w:val="OpiH1"/>
        <w:rPr>
          <w:lang w:val="fr-FR"/>
        </w:rPr>
      </w:pPr>
      <w:bookmarkStart w:id="107" w:name="_Toc472493590"/>
      <w:bookmarkStart w:id="108" w:name="_Toc475451884"/>
      <w:r w:rsidRPr="0070292F">
        <w:rPr>
          <w:lang w:val="fr-FR"/>
        </w:rPr>
        <w:t>A.  Applicabilité de l</w:t>
      </w:r>
      <w:r w:rsidR="0070292F" w:rsidRPr="0070292F">
        <w:rPr>
          <w:lang w:val="fr-FR"/>
        </w:rPr>
        <w:t>’</w:t>
      </w:r>
      <w:r w:rsidRPr="0070292F">
        <w:rPr>
          <w:lang w:val="fr-FR"/>
        </w:rPr>
        <w:t>article 5 de la Convention (§§ 12-20)</w:t>
      </w:r>
      <w:bookmarkEnd w:id="107"/>
      <w:bookmarkEnd w:id="108"/>
    </w:p>
    <w:p w:rsidR="003D30C1" w:rsidRPr="0070292F" w:rsidRDefault="003D30C1" w:rsidP="0070292F">
      <w:pPr>
        <w:pStyle w:val="OpiPara"/>
        <w:rPr>
          <w:lang w:val="fr-FR"/>
        </w:rPr>
      </w:pPr>
      <w:r w:rsidRPr="0070292F">
        <w:rPr>
          <w:lang w:val="fr-FR"/>
        </w:rPr>
        <w:t>12.  Sous l</w:t>
      </w:r>
      <w:r w:rsidR="0070292F" w:rsidRPr="0070292F">
        <w:rPr>
          <w:lang w:val="fr-FR"/>
        </w:rPr>
        <w:t>’</w:t>
      </w:r>
      <w:r w:rsidRPr="0070292F">
        <w:rPr>
          <w:lang w:val="fr-FR"/>
        </w:rPr>
        <w:t>angle de l</w:t>
      </w:r>
      <w:r w:rsidR="0070292F" w:rsidRPr="0070292F">
        <w:rPr>
          <w:lang w:val="fr-FR"/>
        </w:rPr>
        <w:t>’</w:t>
      </w:r>
      <w:r w:rsidRPr="0070292F">
        <w:rPr>
          <w:lang w:val="fr-FR"/>
        </w:rPr>
        <w:t>article 5, le requérant se plaint d</w:t>
      </w:r>
      <w:r w:rsidR="0070292F" w:rsidRPr="0070292F">
        <w:rPr>
          <w:lang w:val="fr-FR"/>
        </w:rPr>
        <w:t>’</w:t>
      </w:r>
      <w:r w:rsidRPr="0070292F">
        <w:rPr>
          <w:lang w:val="fr-FR"/>
        </w:rPr>
        <w:t>avoir subi une privation arbitraire et excessive de sa liberté. Pour déterminer si l</w:t>
      </w:r>
      <w:r w:rsidR="0070292F" w:rsidRPr="0070292F">
        <w:rPr>
          <w:lang w:val="fr-FR"/>
        </w:rPr>
        <w:t>’</w:t>
      </w:r>
      <w:r w:rsidRPr="0070292F">
        <w:rPr>
          <w:lang w:val="fr-FR"/>
        </w:rPr>
        <w:t>article 5 de la Convention est applicable, la Cour doit appliquer les critères énoncés dans l</w:t>
      </w:r>
      <w:r w:rsidR="0070292F" w:rsidRPr="0070292F">
        <w:rPr>
          <w:lang w:val="fr-FR"/>
        </w:rPr>
        <w:t>’</w:t>
      </w:r>
      <w:r w:rsidRPr="0070292F">
        <w:rPr>
          <w:lang w:val="fr-FR"/>
        </w:rPr>
        <w:t xml:space="preserve">arrêt </w:t>
      </w:r>
      <w:r w:rsidRPr="0070292F">
        <w:rPr>
          <w:i/>
          <w:lang w:val="fr-FR"/>
        </w:rPr>
        <w:t>Guzzardi</w:t>
      </w:r>
      <w:r w:rsidRPr="0070292F">
        <w:rPr>
          <w:lang w:val="fr-FR"/>
        </w:rPr>
        <w:t xml:space="preserve"> </w:t>
      </w:r>
      <w:r w:rsidRPr="0070292F">
        <w:rPr>
          <w:i/>
          <w:lang w:val="fr-FR"/>
        </w:rPr>
        <w:t>c. Italie</w:t>
      </w:r>
      <w:r w:rsidRPr="0070292F">
        <w:rPr>
          <w:vertAlign w:val="superscript"/>
          <w:lang w:val="fr-FR"/>
        </w:rPr>
        <w:footnoteReference w:id="33"/>
      </w:r>
      <w:r w:rsidRPr="0070292F">
        <w:rPr>
          <w:lang w:val="fr-FR"/>
        </w:rPr>
        <w:t>. Afin de déterminer si un individu se trouve « privé de sa liberté » au sens de l</w:t>
      </w:r>
      <w:r w:rsidR="0070292F" w:rsidRPr="0070292F">
        <w:rPr>
          <w:lang w:val="fr-FR"/>
        </w:rPr>
        <w:t>’</w:t>
      </w:r>
      <w:r w:rsidRPr="0070292F">
        <w:rPr>
          <w:lang w:val="fr-FR"/>
        </w:rPr>
        <w:t>article 5, il faut partir de sa situation concrète et prendre en compte un ensemble de critères comme le genre, la durée, les effets et les modalités d</w:t>
      </w:r>
      <w:r w:rsidR="0070292F" w:rsidRPr="0070292F">
        <w:rPr>
          <w:lang w:val="fr-FR"/>
        </w:rPr>
        <w:t>’</w:t>
      </w:r>
      <w:r w:rsidRPr="0070292F">
        <w:rPr>
          <w:lang w:val="fr-FR"/>
        </w:rPr>
        <w:t>exécution de la mesure considérée. Entre privation et restriction de liberté, il n</w:t>
      </w:r>
      <w:r w:rsidR="0070292F" w:rsidRPr="0070292F">
        <w:rPr>
          <w:lang w:val="fr-FR"/>
        </w:rPr>
        <w:t>’</w:t>
      </w:r>
      <w:r w:rsidRPr="0070292F">
        <w:rPr>
          <w:lang w:val="fr-FR"/>
        </w:rPr>
        <w:t>y a qu</w:t>
      </w:r>
      <w:r w:rsidR="0070292F" w:rsidRPr="0070292F">
        <w:rPr>
          <w:lang w:val="fr-FR"/>
        </w:rPr>
        <w:t>’</w:t>
      </w:r>
      <w:r w:rsidRPr="0070292F">
        <w:rPr>
          <w:lang w:val="fr-FR"/>
        </w:rPr>
        <w:t>une différence de degré ou d</w:t>
      </w:r>
      <w:r w:rsidR="0070292F" w:rsidRPr="0070292F">
        <w:rPr>
          <w:lang w:val="fr-FR"/>
        </w:rPr>
        <w:t>’</w:t>
      </w:r>
      <w:r w:rsidRPr="0070292F">
        <w:rPr>
          <w:lang w:val="fr-FR"/>
        </w:rPr>
        <w:t>intensité, non de nature ou d</w:t>
      </w:r>
      <w:r w:rsidR="0070292F" w:rsidRPr="0070292F">
        <w:rPr>
          <w:lang w:val="fr-FR"/>
        </w:rPr>
        <w:t>’</w:t>
      </w:r>
      <w:r w:rsidRPr="0070292F">
        <w:rPr>
          <w:lang w:val="fr-FR"/>
        </w:rPr>
        <w:t>essence</w:t>
      </w:r>
      <w:r w:rsidRPr="0070292F">
        <w:rPr>
          <w:vertAlign w:val="superscript"/>
          <w:lang w:val="fr-FR"/>
        </w:rPr>
        <w:footnoteReference w:id="34"/>
      </w:r>
      <w:r w:rsidRPr="0070292F">
        <w:rPr>
          <w:lang w:val="fr-FR"/>
        </w:rPr>
        <w:t>. De plus, pour évaluer la nature des mesures de prévention prévues par la loi de 1956, il faut les examiner « accumulées et combinées »</w:t>
      </w:r>
      <w:r w:rsidRPr="0070292F">
        <w:rPr>
          <w:vertAlign w:val="superscript"/>
          <w:lang w:val="fr-FR"/>
        </w:rPr>
        <w:footnoteReference w:id="35"/>
      </w:r>
      <w:r w:rsidRPr="0070292F">
        <w:rPr>
          <w:lang w:val="fr-FR"/>
        </w:rPr>
        <w:t>. Enfin, la Cour a également dit que la démarche consistant à prendre en compte le « genre » et les « modalités d</w:t>
      </w:r>
      <w:r w:rsidR="0070292F" w:rsidRPr="0070292F">
        <w:rPr>
          <w:lang w:val="fr-FR"/>
        </w:rPr>
        <w:t>’</w:t>
      </w:r>
      <w:r w:rsidRPr="0070292F">
        <w:rPr>
          <w:lang w:val="fr-FR"/>
        </w:rPr>
        <w:t>exécution » de la mesure en question lui permet d</w:t>
      </w:r>
      <w:r w:rsidR="0070292F" w:rsidRPr="0070292F">
        <w:rPr>
          <w:lang w:val="fr-FR"/>
        </w:rPr>
        <w:t>’</w:t>
      </w:r>
      <w:r w:rsidRPr="0070292F">
        <w:rPr>
          <w:lang w:val="fr-FR"/>
        </w:rPr>
        <w:t xml:space="preserve">avoir égard au contexte </w:t>
      </w:r>
      <w:r w:rsidRPr="0070292F">
        <w:rPr>
          <w:lang w:val="fr-FR"/>
        </w:rPr>
        <w:lastRenderedPageBreak/>
        <w:t>et aux circonstances spécifiques entourant les restrictions à la liberté qui s</w:t>
      </w:r>
      <w:r w:rsidR="0070292F" w:rsidRPr="0070292F">
        <w:rPr>
          <w:lang w:val="fr-FR"/>
        </w:rPr>
        <w:t>’</w:t>
      </w:r>
      <w:r w:rsidRPr="0070292F">
        <w:rPr>
          <w:lang w:val="fr-FR"/>
        </w:rPr>
        <w:t>éloignent de la situation type qu</w:t>
      </w:r>
      <w:r w:rsidR="0070292F" w:rsidRPr="0070292F">
        <w:rPr>
          <w:lang w:val="fr-FR"/>
        </w:rPr>
        <w:t>’</w:t>
      </w:r>
      <w:r w:rsidRPr="0070292F">
        <w:rPr>
          <w:lang w:val="fr-FR"/>
        </w:rPr>
        <w:t>est l</w:t>
      </w:r>
      <w:r w:rsidR="0070292F" w:rsidRPr="0070292F">
        <w:rPr>
          <w:lang w:val="fr-FR"/>
        </w:rPr>
        <w:t>’</w:t>
      </w:r>
      <w:r w:rsidRPr="0070292F">
        <w:rPr>
          <w:lang w:val="fr-FR"/>
        </w:rPr>
        <w:t>incarcération</w:t>
      </w:r>
      <w:r w:rsidRPr="0070292F">
        <w:rPr>
          <w:vertAlign w:val="superscript"/>
          <w:lang w:val="fr-FR"/>
        </w:rPr>
        <w:footnoteReference w:id="36"/>
      </w:r>
      <w:r w:rsidRPr="0070292F">
        <w:rPr>
          <w:lang w:val="fr-FR"/>
        </w:rPr>
        <w:t>.</w:t>
      </w:r>
    </w:p>
    <w:p w:rsidR="003D30C1" w:rsidRPr="0070292F" w:rsidRDefault="003D30C1" w:rsidP="0070292F">
      <w:pPr>
        <w:pStyle w:val="OpiPara"/>
        <w:rPr>
          <w:lang w:val="fr-FR"/>
        </w:rPr>
      </w:pPr>
      <w:r w:rsidRPr="0070292F">
        <w:rPr>
          <w:lang w:val="fr-FR"/>
        </w:rPr>
        <w:t>13.  Dans l</w:t>
      </w:r>
      <w:r w:rsidR="0070292F" w:rsidRPr="0070292F">
        <w:rPr>
          <w:lang w:val="fr-FR"/>
        </w:rPr>
        <w:t>’</w:t>
      </w:r>
      <w:r w:rsidRPr="0070292F">
        <w:rPr>
          <w:lang w:val="fr-FR"/>
        </w:rPr>
        <w:t xml:space="preserve">affaire </w:t>
      </w:r>
      <w:r w:rsidRPr="0070292F">
        <w:rPr>
          <w:i/>
          <w:lang w:val="fr-FR"/>
        </w:rPr>
        <w:t>Guzzardi</w:t>
      </w:r>
      <w:r w:rsidRPr="0070292F">
        <w:rPr>
          <w:lang w:val="fr-FR"/>
        </w:rPr>
        <w:t>, la Cour, appelée à examiner les mesures de prévention personnelles appliquées au requérant, a estimé que celui-ci avait été privé de sa liberté et qu</w:t>
      </w:r>
      <w:r w:rsidR="0070292F" w:rsidRPr="0070292F">
        <w:rPr>
          <w:lang w:val="fr-FR"/>
        </w:rPr>
        <w:t>’</w:t>
      </w:r>
      <w:r w:rsidRPr="0070292F">
        <w:rPr>
          <w:lang w:val="fr-FR"/>
        </w:rPr>
        <w:t>il y avait eu violation de l</w:t>
      </w:r>
      <w:r w:rsidR="0070292F" w:rsidRPr="0070292F">
        <w:rPr>
          <w:lang w:val="fr-FR"/>
        </w:rPr>
        <w:t>’</w:t>
      </w:r>
      <w:r w:rsidRPr="0070292F">
        <w:rPr>
          <w:lang w:val="fr-FR"/>
        </w:rPr>
        <w:t>article 5.</w:t>
      </w:r>
      <w:bookmarkStart w:id="109" w:name="lt_pId148"/>
      <w:r w:rsidRPr="0070292F">
        <w:rPr>
          <w:lang w:val="fr-FR"/>
        </w:rPr>
        <w:t xml:space="preserve"> En effet, soupçonné d</w:t>
      </w:r>
      <w:r w:rsidR="0070292F" w:rsidRPr="0070292F">
        <w:rPr>
          <w:lang w:val="fr-FR"/>
        </w:rPr>
        <w:t>’</w:t>
      </w:r>
      <w:r w:rsidRPr="0070292F">
        <w:rPr>
          <w:lang w:val="fr-FR"/>
        </w:rPr>
        <w:t>appartenir à un « clan mafieux », le requérant avait été contraint de vivre sur une île dans une zone – non clôturée – de 2,5 kilomètres carrés, en compagnie essentiellement de personnes se trouvant dans une situation semblable ainsi que de personnel de surveillance. L</w:t>
      </w:r>
      <w:r w:rsidR="0070292F" w:rsidRPr="0070292F">
        <w:rPr>
          <w:lang w:val="fr-FR"/>
        </w:rPr>
        <w:t>’</w:t>
      </w:r>
      <w:r w:rsidRPr="0070292F">
        <w:rPr>
          <w:lang w:val="fr-FR"/>
        </w:rPr>
        <w:t>obligation de vivre sur l</w:t>
      </w:r>
      <w:r w:rsidR="0070292F" w:rsidRPr="0070292F">
        <w:rPr>
          <w:lang w:val="fr-FR"/>
        </w:rPr>
        <w:t>’</w:t>
      </w:r>
      <w:r w:rsidRPr="0070292F">
        <w:rPr>
          <w:lang w:val="fr-FR"/>
        </w:rPr>
        <w:t>île avait été assortie d</w:t>
      </w:r>
      <w:r w:rsidR="0070292F" w:rsidRPr="0070292F">
        <w:rPr>
          <w:lang w:val="fr-FR"/>
        </w:rPr>
        <w:t>’</w:t>
      </w:r>
      <w:r w:rsidRPr="0070292F">
        <w:rPr>
          <w:lang w:val="fr-FR"/>
        </w:rPr>
        <w:t xml:space="preserve">autres restrictions comparables aux mesures imposées </w:t>
      </w:r>
      <w:bookmarkStart w:id="110" w:name="lt_pId149"/>
      <w:bookmarkEnd w:id="109"/>
      <w:r w:rsidRPr="0070292F">
        <w:rPr>
          <w:lang w:val="fr-FR"/>
        </w:rPr>
        <w:t>aux requérants dans les affaires mentionnées ci-dessus</w:t>
      </w:r>
      <w:r w:rsidRPr="0070292F">
        <w:rPr>
          <w:vertAlign w:val="superscript"/>
          <w:lang w:val="fr-FR"/>
        </w:rPr>
        <w:footnoteReference w:id="37"/>
      </w:r>
      <w:r w:rsidRPr="0070292F">
        <w:rPr>
          <w:lang w:val="fr-FR"/>
        </w:rPr>
        <w:t>.</w:t>
      </w:r>
      <w:bookmarkEnd w:id="110"/>
    </w:p>
    <w:p w:rsidR="003D30C1" w:rsidRPr="0070292F" w:rsidRDefault="003D30C1" w:rsidP="0070292F">
      <w:pPr>
        <w:pStyle w:val="OpiPara"/>
        <w:rPr>
          <w:lang w:val="fr-FR"/>
        </w:rPr>
      </w:pPr>
      <w:r w:rsidRPr="0070292F">
        <w:rPr>
          <w:lang w:val="fr-FR"/>
        </w:rPr>
        <w:t>14.  </w:t>
      </w:r>
      <w:bookmarkStart w:id="111" w:name="lt_pId151"/>
      <w:r w:rsidRPr="0070292F">
        <w:rPr>
          <w:lang w:val="fr-FR"/>
        </w:rPr>
        <w:t>Toutes les autres affaires qui ont été examinées par la suite étaient similaires à l</w:t>
      </w:r>
      <w:r w:rsidR="0070292F" w:rsidRPr="0070292F">
        <w:rPr>
          <w:lang w:val="fr-FR"/>
        </w:rPr>
        <w:t>’</w:t>
      </w:r>
      <w:r w:rsidRPr="0070292F">
        <w:rPr>
          <w:lang w:val="fr-FR"/>
        </w:rPr>
        <w:t xml:space="preserve">affaire </w:t>
      </w:r>
      <w:r w:rsidRPr="0070292F">
        <w:rPr>
          <w:i/>
          <w:lang w:val="fr-FR"/>
        </w:rPr>
        <w:t>Guzzardi</w:t>
      </w:r>
      <w:r w:rsidRPr="0070292F">
        <w:rPr>
          <w:lang w:val="fr-FR"/>
        </w:rPr>
        <w:t xml:space="preserve"> puisque les restrictions étaient les mêmes : se présenter une fois par semaine à l</w:t>
      </w:r>
      <w:r w:rsidR="0070292F" w:rsidRPr="0070292F">
        <w:rPr>
          <w:lang w:val="fr-FR"/>
        </w:rPr>
        <w:t>’</w:t>
      </w:r>
      <w:r w:rsidRPr="0070292F">
        <w:rPr>
          <w:lang w:val="fr-FR"/>
        </w:rPr>
        <w:t>autorité de police chargée de la surveillance ;</w:t>
      </w:r>
      <w:bookmarkEnd w:id="111"/>
      <w:r w:rsidRPr="0070292F">
        <w:rPr>
          <w:lang w:val="fr-FR"/>
        </w:rPr>
        <w:t xml:space="preserve"> </w:t>
      </w:r>
      <w:bookmarkStart w:id="112" w:name="lt_pId153"/>
      <w:r w:rsidRPr="0070292F">
        <w:rPr>
          <w:lang w:val="fr-FR"/>
        </w:rPr>
        <w:t>chercher du travail dans le délai d</w:t>
      </w:r>
      <w:r w:rsidR="0070292F" w:rsidRPr="0070292F">
        <w:rPr>
          <w:lang w:val="fr-FR"/>
        </w:rPr>
        <w:t>’</w:t>
      </w:r>
      <w:r w:rsidRPr="0070292F">
        <w:rPr>
          <w:lang w:val="fr-FR"/>
        </w:rPr>
        <w:t>un mois ;</w:t>
      </w:r>
      <w:bookmarkEnd w:id="112"/>
      <w:r w:rsidRPr="0070292F">
        <w:rPr>
          <w:lang w:val="fr-FR"/>
        </w:rPr>
        <w:t xml:space="preserve"> </w:t>
      </w:r>
      <w:bookmarkStart w:id="113" w:name="lt_pId154"/>
      <w:r w:rsidRPr="0070292F">
        <w:rPr>
          <w:lang w:val="fr-FR"/>
        </w:rPr>
        <w:t>ne pas changer de lieu de résidence ;</w:t>
      </w:r>
      <w:bookmarkEnd w:id="113"/>
      <w:r w:rsidRPr="0070292F">
        <w:rPr>
          <w:lang w:val="fr-FR"/>
        </w:rPr>
        <w:t xml:space="preserve"> </w:t>
      </w:r>
      <w:bookmarkStart w:id="114" w:name="lt_pId155"/>
      <w:r w:rsidRPr="0070292F">
        <w:rPr>
          <w:lang w:val="fr-FR"/>
        </w:rPr>
        <w:t>vivre honnêtement et dans le respect des lois et ne pas prêter à soupçon ;</w:t>
      </w:r>
      <w:bookmarkEnd w:id="114"/>
      <w:r w:rsidRPr="0070292F">
        <w:rPr>
          <w:lang w:val="fr-FR"/>
        </w:rPr>
        <w:t xml:space="preserve"> </w:t>
      </w:r>
      <w:bookmarkStart w:id="115" w:name="lt_pId156"/>
      <w:r w:rsidRPr="0070292F">
        <w:rPr>
          <w:lang w:val="fr-FR"/>
        </w:rPr>
        <w:t>ne pas fréquenter des personnes ayant fait l</w:t>
      </w:r>
      <w:r w:rsidR="0070292F" w:rsidRPr="0070292F">
        <w:rPr>
          <w:lang w:val="fr-FR"/>
        </w:rPr>
        <w:t>’</w:t>
      </w:r>
      <w:r w:rsidRPr="0070292F">
        <w:rPr>
          <w:lang w:val="fr-FR"/>
        </w:rPr>
        <w:t>objet de condamnations et soumises à des mesures de prévention ou de sûreté ;</w:t>
      </w:r>
      <w:bookmarkEnd w:id="115"/>
      <w:r w:rsidRPr="0070292F">
        <w:rPr>
          <w:lang w:val="fr-FR"/>
        </w:rPr>
        <w:t xml:space="preserve"> </w:t>
      </w:r>
      <w:bookmarkStart w:id="116" w:name="lt_pId157"/>
      <w:r w:rsidRPr="0070292F">
        <w:rPr>
          <w:lang w:val="fr-FR"/>
        </w:rPr>
        <w:t>ne pas rentrer le soir après vingt-deux heures et ne pas sortir le matin avant six heures, sauf en cas de nécessité et non sans avoir averti les autorités en temps utile ;</w:t>
      </w:r>
      <w:bookmarkEnd w:id="116"/>
      <w:r w:rsidRPr="0070292F">
        <w:rPr>
          <w:lang w:val="fr-FR"/>
        </w:rPr>
        <w:t xml:space="preserve"> </w:t>
      </w:r>
      <w:bookmarkStart w:id="117" w:name="lt_pId158"/>
      <w:r w:rsidRPr="0070292F">
        <w:rPr>
          <w:lang w:val="fr-FR"/>
        </w:rPr>
        <w:t>ne détenir ni porter aucune arme ;</w:t>
      </w:r>
      <w:bookmarkEnd w:id="117"/>
      <w:r w:rsidRPr="0070292F">
        <w:rPr>
          <w:lang w:val="fr-FR"/>
        </w:rPr>
        <w:t xml:space="preserve"> </w:t>
      </w:r>
      <w:bookmarkStart w:id="118" w:name="lt_pId159"/>
      <w:r w:rsidRPr="0070292F">
        <w:rPr>
          <w:lang w:val="fr-FR"/>
        </w:rPr>
        <w:t>ne pas fréquenter les cafés, cabarets, salles de jeux et lieux de prostitution et ne pas participer à des réunions publiques. La seule différence avec la situation dans l</w:t>
      </w:r>
      <w:r w:rsidR="0070292F" w:rsidRPr="0070292F">
        <w:rPr>
          <w:lang w:val="fr-FR"/>
        </w:rPr>
        <w:t>’</w:t>
      </w:r>
      <w:r w:rsidRPr="0070292F">
        <w:rPr>
          <w:lang w:val="fr-FR"/>
        </w:rPr>
        <w:t xml:space="preserve">affaire </w:t>
      </w:r>
      <w:r w:rsidRPr="0070292F">
        <w:rPr>
          <w:i/>
          <w:lang w:val="fr-FR"/>
        </w:rPr>
        <w:t>Guzzardi</w:t>
      </w:r>
      <w:r w:rsidRPr="0070292F">
        <w:rPr>
          <w:lang w:val="fr-FR"/>
        </w:rPr>
        <w:t xml:space="preserve"> réside dans le fait que les requérants n</w:t>
      </w:r>
      <w:r w:rsidR="0070292F" w:rsidRPr="0070292F">
        <w:rPr>
          <w:lang w:val="fr-FR"/>
        </w:rPr>
        <w:t>’</w:t>
      </w:r>
      <w:r w:rsidRPr="0070292F">
        <w:rPr>
          <w:lang w:val="fr-FR"/>
        </w:rPr>
        <w:t>étaient pas contraints de vivre sur une île.</w:t>
      </w:r>
      <w:bookmarkEnd w:id="118"/>
      <w:r w:rsidRPr="0070292F">
        <w:rPr>
          <w:lang w:val="fr-FR"/>
        </w:rPr>
        <w:t xml:space="preserve"> Sur ce fondement, ces affaires ont été examinées exclusivement sous l</w:t>
      </w:r>
      <w:r w:rsidR="0070292F" w:rsidRPr="0070292F">
        <w:rPr>
          <w:lang w:val="fr-FR"/>
        </w:rPr>
        <w:t>’</w:t>
      </w:r>
      <w:r w:rsidRPr="0070292F">
        <w:rPr>
          <w:lang w:val="fr-FR"/>
        </w:rPr>
        <w:t>angle de l</w:t>
      </w:r>
      <w:r w:rsidR="0070292F" w:rsidRPr="0070292F">
        <w:rPr>
          <w:lang w:val="fr-FR"/>
        </w:rPr>
        <w:t>’</w:t>
      </w:r>
      <w:r w:rsidRPr="0070292F">
        <w:rPr>
          <w:lang w:val="fr-FR"/>
        </w:rPr>
        <w:t>article 2 du Protocole n</w:t>
      </w:r>
      <w:r w:rsidRPr="0070292F">
        <w:rPr>
          <w:vertAlign w:val="superscript"/>
          <w:lang w:val="fr-FR"/>
        </w:rPr>
        <w:t>o</w:t>
      </w:r>
      <w:r w:rsidRPr="0070292F">
        <w:rPr>
          <w:lang w:val="fr-FR"/>
        </w:rPr>
        <w:t xml:space="preserve"> 4</w:t>
      </w:r>
      <w:r w:rsidRPr="0070292F">
        <w:rPr>
          <w:vertAlign w:val="superscript"/>
          <w:lang w:val="fr-FR"/>
        </w:rPr>
        <w:footnoteReference w:id="38"/>
      </w:r>
      <w:r w:rsidRPr="0070292F">
        <w:rPr>
          <w:lang w:val="fr-FR"/>
        </w:rPr>
        <w:t>.</w:t>
      </w:r>
    </w:p>
    <w:p w:rsidR="003D30C1" w:rsidRPr="0070292F" w:rsidRDefault="003D30C1" w:rsidP="0070292F">
      <w:pPr>
        <w:pStyle w:val="OpiPara"/>
        <w:rPr>
          <w:lang w:val="fr-FR"/>
        </w:rPr>
      </w:pPr>
      <w:r w:rsidRPr="0070292F">
        <w:rPr>
          <w:lang w:val="fr-FR"/>
        </w:rPr>
        <w:t>15.  Cette jurisprudence est contradictoire. D</w:t>
      </w:r>
      <w:r w:rsidR="0070292F" w:rsidRPr="0070292F">
        <w:rPr>
          <w:lang w:val="fr-FR"/>
        </w:rPr>
        <w:t>’</w:t>
      </w:r>
      <w:r w:rsidRPr="0070292F">
        <w:rPr>
          <w:lang w:val="fr-FR"/>
        </w:rPr>
        <w:t xml:space="preserve">un côté, dans </w:t>
      </w:r>
      <w:r w:rsidRPr="0070292F">
        <w:rPr>
          <w:i/>
          <w:lang w:val="fr-FR"/>
        </w:rPr>
        <w:t>Guzzardi</w:t>
      </w:r>
      <w:r w:rsidRPr="0070292F">
        <w:rPr>
          <w:lang w:val="fr-FR"/>
        </w:rPr>
        <w:t xml:space="preserve"> </w:t>
      </w:r>
      <w:bookmarkStart w:id="119" w:name="lt_pId164"/>
      <w:r w:rsidRPr="0070292F">
        <w:rPr>
          <w:lang w:val="fr-FR"/>
        </w:rPr>
        <w:t>la Cour a affirmé que les mesures de prévention appliquées au requérant en vertu de la loi de 1956 impliquaient une privation de liberté. D</w:t>
      </w:r>
      <w:r w:rsidR="0070292F" w:rsidRPr="0070292F">
        <w:rPr>
          <w:lang w:val="fr-FR"/>
        </w:rPr>
        <w:t>’</w:t>
      </w:r>
      <w:r w:rsidRPr="0070292F">
        <w:rPr>
          <w:lang w:val="fr-FR"/>
        </w:rPr>
        <w:t xml:space="preserve">un autre côté, dans les affaires italiennes postérieures à </w:t>
      </w:r>
      <w:r w:rsidRPr="0070292F">
        <w:rPr>
          <w:i/>
          <w:lang w:val="fr-FR"/>
        </w:rPr>
        <w:t>Guzzardi</w:t>
      </w:r>
      <w:r w:rsidRPr="0070292F">
        <w:rPr>
          <w:lang w:val="fr-FR"/>
        </w:rPr>
        <w:t xml:space="preserve">, à commencer par le fâcheux arrêt </w:t>
      </w:r>
      <w:r w:rsidRPr="0070292F">
        <w:rPr>
          <w:i/>
          <w:lang w:val="fr-FR"/>
        </w:rPr>
        <w:t>Raimondo</w:t>
      </w:r>
      <w:r w:rsidRPr="0070292F">
        <w:rPr>
          <w:lang w:val="fr-FR"/>
        </w:rPr>
        <w:t>, la Cour a jugé que les mesures en question ne constituaient pas une privation de liberté mais une simple restriction à la liberté de circulation</w:t>
      </w:r>
      <w:bookmarkEnd w:id="119"/>
      <w:r w:rsidRPr="0070292F">
        <w:rPr>
          <w:vertAlign w:val="superscript"/>
          <w:lang w:val="fr-FR"/>
        </w:rPr>
        <w:footnoteReference w:id="39"/>
      </w:r>
      <w:r w:rsidRPr="0070292F">
        <w:rPr>
          <w:lang w:val="fr-FR"/>
        </w:rPr>
        <w:t>. Je suis d</w:t>
      </w:r>
      <w:r w:rsidR="0070292F" w:rsidRPr="0070292F">
        <w:rPr>
          <w:lang w:val="fr-FR"/>
        </w:rPr>
        <w:t>’</w:t>
      </w:r>
      <w:r w:rsidRPr="0070292F">
        <w:rPr>
          <w:lang w:val="fr-FR"/>
        </w:rPr>
        <w:t xml:space="preserve">avis que la Cour devrait revenir aux </w:t>
      </w:r>
      <w:r w:rsidRPr="0070292F">
        <w:rPr>
          <w:lang w:val="fr-FR"/>
        </w:rPr>
        <w:lastRenderedPageBreak/>
        <w:t>principes fondamentaux de l</w:t>
      </w:r>
      <w:r w:rsidR="0070292F" w:rsidRPr="0070292F">
        <w:rPr>
          <w:lang w:val="fr-FR"/>
        </w:rPr>
        <w:t>’</w:t>
      </w:r>
      <w:r w:rsidRPr="0070292F">
        <w:rPr>
          <w:lang w:val="fr-FR"/>
        </w:rPr>
        <w:t xml:space="preserve">approche </w:t>
      </w:r>
      <w:r w:rsidRPr="0070292F">
        <w:rPr>
          <w:i/>
          <w:lang w:val="fr-FR"/>
        </w:rPr>
        <w:t>Guzzardi</w:t>
      </w:r>
      <w:r w:rsidRPr="0070292F">
        <w:rPr>
          <w:lang w:val="fr-FR"/>
        </w:rPr>
        <w:t>, comme elle l</w:t>
      </w:r>
      <w:r w:rsidR="0070292F" w:rsidRPr="0070292F">
        <w:rPr>
          <w:lang w:val="fr-FR"/>
        </w:rPr>
        <w:t>’</w:t>
      </w:r>
      <w:r w:rsidRPr="0070292F">
        <w:rPr>
          <w:lang w:val="fr-FR"/>
        </w:rPr>
        <w:t xml:space="preserve">a redit expressément dans </w:t>
      </w:r>
      <w:r w:rsidRPr="0070292F">
        <w:rPr>
          <w:i/>
          <w:lang w:val="fr-FR"/>
        </w:rPr>
        <w:t>Ciulla</w:t>
      </w:r>
      <w:r w:rsidRPr="0070292F">
        <w:rPr>
          <w:vertAlign w:val="superscript"/>
          <w:lang w:val="fr-FR"/>
        </w:rPr>
        <w:footnoteReference w:id="40"/>
      </w:r>
      <w:r w:rsidRPr="0070292F">
        <w:rPr>
          <w:lang w:val="fr-FR"/>
        </w:rPr>
        <w:t>.</w:t>
      </w:r>
    </w:p>
    <w:p w:rsidR="003D30C1" w:rsidRPr="0070292F" w:rsidRDefault="003D30C1" w:rsidP="0070292F">
      <w:pPr>
        <w:pStyle w:val="OpiPara"/>
        <w:rPr>
          <w:lang w:val="fr-FR"/>
        </w:rPr>
      </w:pPr>
      <w:r w:rsidRPr="0070292F">
        <w:rPr>
          <w:lang w:val="fr-FR"/>
        </w:rPr>
        <w:t>16.  </w:t>
      </w:r>
      <w:bookmarkStart w:id="120" w:name="lt_pId168"/>
      <w:r w:rsidRPr="0070292F">
        <w:rPr>
          <w:rFonts w:cstheme="minorHAnsi"/>
          <w:lang w:val="fr-FR"/>
        </w:rPr>
        <w:t>À</w:t>
      </w:r>
      <w:r w:rsidRPr="0070292F">
        <w:rPr>
          <w:lang w:val="fr-FR"/>
        </w:rPr>
        <w:t xml:space="preserve"> mon avis, si l</w:t>
      </w:r>
      <w:r w:rsidR="0070292F" w:rsidRPr="0070292F">
        <w:rPr>
          <w:lang w:val="fr-FR"/>
        </w:rPr>
        <w:t>’</w:t>
      </w:r>
      <w:r w:rsidRPr="0070292F">
        <w:rPr>
          <w:lang w:val="fr-FR"/>
        </w:rPr>
        <w:t>on compare les mesures imposées respectivement au requérant dans l</w:t>
      </w:r>
      <w:r w:rsidR="0070292F" w:rsidRPr="0070292F">
        <w:rPr>
          <w:lang w:val="fr-FR"/>
        </w:rPr>
        <w:t>’</w:t>
      </w:r>
      <w:r w:rsidRPr="0070292F">
        <w:rPr>
          <w:lang w:val="fr-FR"/>
        </w:rPr>
        <w:t xml:space="preserve">affaire </w:t>
      </w:r>
      <w:r w:rsidRPr="0070292F">
        <w:rPr>
          <w:i/>
          <w:lang w:val="fr-FR"/>
        </w:rPr>
        <w:t>Guzzardi</w:t>
      </w:r>
      <w:r w:rsidRPr="0070292F">
        <w:rPr>
          <w:lang w:val="fr-FR"/>
        </w:rPr>
        <w:t xml:space="preserve"> et au requérant dans l</w:t>
      </w:r>
      <w:r w:rsidR="0070292F" w:rsidRPr="0070292F">
        <w:rPr>
          <w:lang w:val="fr-FR"/>
        </w:rPr>
        <w:t>’</w:t>
      </w:r>
      <w:r w:rsidRPr="0070292F">
        <w:rPr>
          <w:lang w:val="fr-FR"/>
        </w:rPr>
        <w:t xml:space="preserve">affaire </w:t>
      </w:r>
      <w:r w:rsidRPr="0070292F">
        <w:rPr>
          <w:i/>
          <w:lang w:val="fr-FR"/>
        </w:rPr>
        <w:t>De Tommaso</w:t>
      </w:r>
      <w:bookmarkEnd w:id="120"/>
      <w:r w:rsidRPr="0070292F">
        <w:rPr>
          <w:lang w:val="fr-FR"/>
        </w:rPr>
        <w:t xml:space="preserve">, on constate </w:t>
      </w:r>
      <w:bookmarkStart w:id="121" w:name="lt_pId169"/>
      <w:r w:rsidRPr="0070292F">
        <w:rPr>
          <w:lang w:val="fr-FR"/>
        </w:rPr>
        <w:t>que ces deux personnes ont été soumises aux mêmes restrictions.</w:t>
      </w:r>
      <w:bookmarkEnd w:id="121"/>
      <w:r w:rsidRPr="0070292F">
        <w:rPr>
          <w:lang w:val="fr-FR"/>
        </w:rPr>
        <w:t xml:space="preserve"> </w:t>
      </w:r>
      <w:bookmarkStart w:id="122" w:name="lt_pId170"/>
      <w:r w:rsidRPr="0070292F">
        <w:rPr>
          <w:lang w:val="fr-FR"/>
        </w:rPr>
        <w:t>Même si, à la différence du requérant dans l</w:t>
      </w:r>
      <w:r w:rsidR="0070292F" w:rsidRPr="0070292F">
        <w:rPr>
          <w:lang w:val="fr-FR"/>
        </w:rPr>
        <w:t>’</w:t>
      </w:r>
      <w:r w:rsidRPr="0070292F">
        <w:rPr>
          <w:lang w:val="fr-FR"/>
        </w:rPr>
        <w:t xml:space="preserve">affaire </w:t>
      </w:r>
      <w:r w:rsidRPr="0070292F">
        <w:rPr>
          <w:i/>
          <w:lang w:val="fr-FR"/>
        </w:rPr>
        <w:t>Guzzardi</w:t>
      </w:r>
      <w:r w:rsidRPr="0070292F">
        <w:rPr>
          <w:lang w:val="fr-FR"/>
        </w:rPr>
        <w:t>, le requérant en l</w:t>
      </w:r>
      <w:r w:rsidR="0070292F" w:rsidRPr="0070292F">
        <w:rPr>
          <w:lang w:val="fr-FR"/>
        </w:rPr>
        <w:t>’</w:t>
      </w:r>
      <w:r w:rsidRPr="0070292F">
        <w:rPr>
          <w:lang w:val="fr-FR"/>
        </w:rPr>
        <w:t>espèce n</w:t>
      </w:r>
      <w:r w:rsidR="0070292F" w:rsidRPr="0070292F">
        <w:rPr>
          <w:lang w:val="fr-FR"/>
        </w:rPr>
        <w:t>’</w:t>
      </w:r>
      <w:r w:rsidRPr="0070292F">
        <w:rPr>
          <w:lang w:val="fr-FR"/>
        </w:rPr>
        <w:t>était pas contraint de vivre sur une île dans une zone – non clôturée – de 2,5 kilomètres carrés, le cumul et la combinaison des mesures imposées dans le cas d</w:t>
      </w:r>
      <w:r w:rsidR="0070292F" w:rsidRPr="0070292F">
        <w:rPr>
          <w:lang w:val="fr-FR"/>
        </w:rPr>
        <w:t>’</w:t>
      </w:r>
      <w:r w:rsidRPr="0070292F">
        <w:rPr>
          <w:lang w:val="fr-FR"/>
        </w:rPr>
        <w:t>espèce ont impliqué une privation de liberté – et pas seulement une restriction de celle-ci –, eu égard surtout à l</w:t>
      </w:r>
      <w:r w:rsidR="0070292F" w:rsidRPr="0070292F">
        <w:rPr>
          <w:lang w:val="fr-FR"/>
        </w:rPr>
        <w:t>’</w:t>
      </w:r>
      <w:r w:rsidRPr="0070292F">
        <w:rPr>
          <w:lang w:val="fr-FR"/>
        </w:rPr>
        <w:t>obligation de ne pas rentrer le soir après vingt-deux heures et de ne pas sortir le matin avant six heures.</w:t>
      </w:r>
      <w:bookmarkEnd w:id="122"/>
    </w:p>
    <w:p w:rsidR="0070292F" w:rsidRPr="0070292F" w:rsidRDefault="003D30C1" w:rsidP="0070292F">
      <w:pPr>
        <w:pStyle w:val="OpiPara"/>
        <w:rPr>
          <w:lang w:val="fr-FR"/>
        </w:rPr>
      </w:pPr>
      <w:bookmarkStart w:id="123" w:name="lt_pId171"/>
      <w:r w:rsidRPr="0070292F">
        <w:rPr>
          <w:lang w:val="fr-FR"/>
        </w:rPr>
        <w:t>En pratique, cette prescription est restée en vigueur pendant 221 jours, combinée avec les obligations suivantes :</w:t>
      </w:r>
      <w:bookmarkEnd w:id="123"/>
      <w:r w:rsidRPr="0070292F">
        <w:rPr>
          <w:lang w:val="fr-FR"/>
        </w:rPr>
        <w:t xml:space="preserve"> </w:t>
      </w:r>
      <w:bookmarkStart w:id="124" w:name="lt_pId172"/>
      <w:r w:rsidRPr="0070292F">
        <w:rPr>
          <w:lang w:val="fr-FR"/>
        </w:rPr>
        <w:t>habiter dans une ville particulière ;</w:t>
      </w:r>
      <w:bookmarkEnd w:id="124"/>
      <w:r w:rsidRPr="0070292F">
        <w:rPr>
          <w:lang w:val="fr-FR"/>
        </w:rPr>
        <w:t xml:space="preserve"> </w:t>
      </w:r>
      <w:bookmarkStart w:id="125" w:name="lt_pId173"/>
      <w:r w:rsidRPr="0070292F">
        <w:rPr>
          <w:lang w:val="fr-FR"/>
        </w:rPr>
        <w:t>se présenter une fois par semaine à l</w:t>
      </w:r>
      <w:r w:rsidR="0070292F" w:rsidRPr="0070292F">
        <w:rPr>
          <w:lang w:val="fr-FR"/>
        </w:rPr>
        <w:t>’</w:t>
      </w:r>
      <w:r w:rsidRPr="0070292F">
        <w:rPr>
          <w:lang w:val="fr-FR"/>
        </w:rPr>
        <w:t>autorité de police chargée de la surveillance ;</w:t>
      </w:r>
      <w:bookmarkEnd w:id="125"/>
      <w:r w:rsidRPr="0070292F">
        <w:rPr>
          <w:lang w:val="fr-FR"/>
        </w:rPr>
        <w:t xml:space="preserve"> </w:t>
      </w:r>
      <w:bookmarkStart w:id="126" w:name="lt_pId174"/>
      <w:r w:rsidRPr="0070292F">
        <w:rPr>
          <w:lang w:val="fr-FR"/>
        </w:rPr>
        <w:t>ne pas fréquenter des personnes ayant fait l</w:t>
      </w:r>
      <w:r w:rsidR="0070292F" w:rsidRPr="0070292F">
        <w:rPr>
          <w:lang w:val="fr-FR"/>
        </w:rPr>
        <w:t>’</w:t>
      </w:r>
      <w:r w:rsidRPr="0070292F">
        <w:rPr>
          <w:lang w:val="fr-FR"/>
        </w:rPr>
        <w:t>objet de condamnations et soumises à des mesures de prévention ou de sûreté ;</w:t>
      </w:r>
      <w:bookmarkEnd w:id="126"/>
      <w:r w:rsidRPr="0070292F">
        <w:rPr>
          <w:lang w:val="fr-FR"/>
        </w:rPr>
        <w:t xml:space="preserve"> </w:t>
      </w:r>
      <w:bookmarkStart w:id="127" w:name="lt_pId175"/>
      <w:r w:rsidRPr="0070292F">
        <w:rPr>
          <w:lang w:val="fr-FR"/>
        </w:rPr>
        <w:t>ne détenir ni porter aucune arme ;</w:t>
      </w:r>
      <w:bookmarkEnd w:id="127"/>
      <w:r w:rsidRPr="0070292F">
        <w:rPr>
          <w:lang w:val="fr-FR"/>
        </w:rPr>
        <w:t xml:space="preserve"> </w:t>
      </w:r>
      <w:bookmarkStart w:id="128" w:name="lt_pId176"/>
      <w:r w:rsidRPr="0070292F">
        <w:rPr>
          <w:lang w:val="fr-FR"/>
        </w:rPr>
        <w:t>ne pas fréquenter les cafés, cabarets, salles de jeux et lieux de prostitution (</w:t>
      </w:r>
      <w:r w:rsidRPr="0070292F">
        <w:rPr>
          <w:i/>
          <w:lang w:val="fr-FR"/>
        </w:rPr>
        <w:t>osterie, bettole, sale giochi et luoghi onde si esercita il meretricio</w:t>
      </w:r>
      <w:r w:rsidRPr="0070292F">
        <w:rPr>
          <w:lang w:val="fr-FR"/>
        </w:rPr>
        <w:t>) ;</w:t>
      </w:r>
      <w:bookmarkEnd w:id="128"/>
      <w:r w:rsidRPr="0070292F">
        <w:rPr>
          <w:lang w:val="fr-FR"/>
        </w:rPr>
        <w:t xml:space="preserve"> </w:t>
      </w:r>
      <w:bookmarkStart w:id="129" w:name="lt_pId177"/>
      <w:r w:rsidRPr="0070292F">
        <w:rPr>
          <w:lang w:val="fr-FR"/>
        </w:rPr>
        <w:t>ne pas participer à des réunions publiques, quelles qu</w:t>
      </w:r>
      <w:r w:rsidR="0070292F" w:rsidRPr="0070292F">
        <w:rPr>
          <w:lang w:val="fr-FR"/>
        </w:rPr>
        <w:t>’</w:t>
      </w:r>
      <w:r w:rsidRPr="0070292F">
        <w:rPr>
          <w:lang w:val="fr-FR"/>
        </w:rPr>
        <w:t>elles soient (</w:t>
      </w:r>
      <w:r w:rsidRPr="0070292F">
        <w:rPr>
          <w:i/>
          <w:lang w:val="fr-FR"/>
        </w:rPr>
        <w:t>di qualsiasi genere</w:t>
      </w:r>
      <w:r w:rsidRPr="0070292F">
        <w:rPr>
          <w:lang w:val="fr-FR"/>
        </w:rPr>
        <w:t>) ;</w:t>
      </w:r>
      <w:bookmarkEnd w:id="129"/>
      <w:r w:rsidRPr="0070292F">
        <w:rPr>
          <w:lang w:val="fr-FR"/>
        </w:rPr>
        <w:t xml:space="preserve"> </w:t>
      </w:r>
      <w:bookmarkStart w:id="130" w:name="lt_pId178"/>
      <w:r w:rsidRPr="0070292F">
        <w:rPr>
          <w:lang w:val="fr-FR"/>
        </w:rPr>
        <w:t>vivre honnêtement (</w:t>
      </w:r>
      <w:r w:rsidRPr="0070292F">
        <w:rPr>
          <w:i/>
          <w:lang w:val="fr-FR"/>
        </w:rPr>
        <w:t>vivere onestamente</w:t>
      </w:r>
      <w:r w:rsidRPr="0070292F">
        <w:rPr>
          <w:lang w:val="fr-FR"/>
        </w:rPr>
        <w:t>).</w:t>
      </w:r>
      <w:bookmarkEnd w:id="130"/>
      <w:r w:rsidRPr="0070292F">
        <w:rPr>
          <w:lang w:val="fr-FR"/>
        </w:rPr>
        <w:t xml:space="preserve"> </w:t>
      </w:r>
      <w:bookmarkStart w:id="131" w:name="lt_pId179"/>
      <w:r w:rsidRPr="0070292F">
        <w:rPr>
          <w:lang w:val="fr-FR"/>
        </w:rPr>
        <w:t>Enfin, le requérant a également fait l</w:t>
      </w:r>
      <w:r w:rsidR="0070292F" w:rsidRPr="0070292F">
        <w:rPr>
          <w:lang w:val="fr-FR"/>
        </w:rPr>
        <w:t>’</w:t>
      </w:r>
      <w:r w:rsidRPr="0070292F">
        <w:rPr>
          <w:lang w:val="fr-FR"/>
        </w:rPr>
        <w:t>objet d</w:t>
      </w:r>
      <w:r w:rsidR="0070292F" w:rsidRPr="0070292F">
        <w:rPr>
          <w:lang w:val="fr-FR"/>
        </w:rPr>
        <w:t>’</w:t>
      </w:r>
      <w:r w:rsidRPr="0070292F">
        <w:rPr>
          <w:lang w:val="fr-FR"/>
        </w:rPr>
        <w:t>une restriction relative aux communications téléphoniques.</w:t>
      </w:r>
      <w:bookmarkEnd w:id="131"/>
    </w:p>
    <w:p w:rsidR="003D30C1" w:rsidRPr="0070292F" w:rsidRDefault="003D30C1" w:rsidP="0070292F">
      <w:pPr>
        <w:pStyle w:val="OpiPara"/>
        <w:rPr>
          <w:lang w:val="fr-FR"/>
        </w:rPr>
      </w:pPr>
      <w:r w:rsidRPr="0070292F">
        <w:rPr>
          <w:lang w:val="fr-FR"/>
        </w:rPr>
        <w:t>17.  </w:t>
      </w:r>
      <w:bookmarkStart w:id="132" w:name="lt_pId181"/>
      <w:r w:rsidRPr="0070292F">
        <w:rPr>
          <w:lang w:val="fr-FR"/>
        </w:rPr>
        <w:t>Toutefois, à la différence du requérant dans l</w:t>
      </w:r>
      <w:r w:rsidR="0070292F" w:rsidRPr="0070292F">
        <w:rPr>
          <w:lang w:val="fr-FR"/>
        </w:rPr>
        <w:t>’</w:t>
      </w:r>
      <w:r w:rsidRPr="0070292F">
        <w:rPr>
          <w:lang w:val="fr-FR"/>
        </w:rPr>
        <w:t xml:space="preserve">affaire </w:t>
      </w:r>
      <w:r w:rsidRPr="0070292F">
        <w:rPr>
          <w:i/>
          <w:lang w:val="fr-FR"/>
        </w:rPr>
        <w:t>Guzzardi</w:t>
      </w:r>
      <w:r w:rsidRPr="0070292F">
        <w:rPr>
          <w:lang w:val="fr-FR"/>
        </w:rPr>
        <w:t>, qui devait signaler par avance aux autorités le numéro et le nom de son correspondant quand il souhaitait donner ou recevoir un appel téléphonique longue distance, le requérant en l</w:t>
      </w:r>
      <w:r w:rsidR="0070292F" w:rsidRPr="0070292F">
        <w:rPr>
          <w:lang w:val="fr-FR"/>
        </w:rPr>
        <w:t>’</w:t>
      </w:r>
      <w:r w:rsidRPr="0070292F">
        <w:rPr>
          <w:lang w:val="fr-FR"/>
        </w:rPr>
        <w:t>espèce ne pouvait pas utiliser les téléphones portables et appareils radioélectriques, mesure qui de toute évidence aggravait sa situation.</w:t>
      </w:r>
      <w:bookmarkEnd w:id="132"/>
    </w:p>
    <w:p w:rsidR="003D30C1" w:rsidRPr="0070292F" w:rsidRDefault="003D30C1" w:rsidP="0070292F">
      <w:pPr>
        <w:pStyle w:val="OpiPara"/>
        <w:rPr>
          <w:lang w:val="fr-FR"/>
        </w:rPr>
      </w:pPr>
      <w:r w:rsidRPr="0070292F">
        <w:rPr>
          <w:lang w:val="fr-FR"/>
        </w:rPr>
        <w:t xml:space="preserve">18.  Cela étant établi, </w:t>
      </w:r>
      <w:bookmarkStart w:id="133" w:name="lt_pId183"/>
      <w:r w:rsidRPr="0070292F">
        <w:rPr>
          <w:lang w:val="fr-FR"/>
        </w:rPr>
        <w:t>il faut souligner que l</w:t>
      </w:r>
      <w:r w:rsidR="0070292F" w:rsidRPr="0070292F">
        <w:rPr>
          <w:lang w:val="fr-FR"/>
        </w:rPr>
        <w:t>’</w:t>
      </w:r>
      <w:r w:rsidRPr="0070292F">
        <w:rPr>
          <w:lang w:val="fr-FR"/>
        </w:rPr>
        <w:t>on ne doit pas se baser exclusivement sur la superficie du lieu où le requérant est obligé de résider pour constater que l</w:t>
      </w:r>
      <w:r w:rsidR="0070292F" w:rsidRPr="0070292F">
        <w:rPr>
          <w:lang w:val="fr-FR"/>
        </w:rPr>
        <w:t>’</w:t>
      </w:r>
      <w:r w:rsidRPr="0070292F">
        <w:rPr>
          <w:lang w:val="fr-FR"/>
        </w:rPr>
        <w:t>article 5 est applicable.</w:t>
      </w:r>
      <w:bookmarkEnd w:id="133"/>
      <w:r w:rsidRPr="0070292F">
        <w:rPr>
          <w:lang w:val="fr-FR"/>
        </w:rPr>
        <w:t xml:space="preserve"> Pour ce qui est de la « situation concrète » du présent requérant</w:t>
      </w:r>
      <w:r w:rsidRPr="0070292F">
        <w:rPr>
          <w:vertAlign w:val="superscript"/>
          <w:lang w:val="fr-FR"/>
        </w:rPr>
        <w:footnoteReference w:id="41"/>
      </w:r>
      <w:r w:rsidRPr="0070292F">
        <w:rPr>
          <w:lang w:val="fr-FR"/>
        </w:rPr>
        <w:t>, j</w:t>
      </w:r>
      <w:r w:rsidR="0070292F" w:rsidRPr="0070292F">
        <w:rPr>
          <w:lang w:val="fr-FR"/>
        </w:rPr>
        <w:t>’</w:t>
      </w:r>
      <w:r w:rsidRPr="0070292F">
        <w:rPr>
          <w:lang w:val="fr-FR"/>
        </w:rPr>
        <w:t>observe que l</w:t>
      </w:r>
      <w:r w:rsidR="0070292F" w:rsidRPr="0070292F">
        <w:rPr>
          <w:lang w:val="fr-FR"/>
        </w:rPr>
        <w:t>’</w:t>
      </w:r>
      <w:r w:rsidRPr="0070292F">
        <w:rPr>
          <w:lang w:val="fr-FR"/>
        </w:rPr>
        <w:t>assignation à résidence a été imposée à celui-ci pendant 221 jours (du 4 juillet 2008 au 4 février 2009), soit 1 768 heures (221 jours x 8 heures). Dans ce contexte, il convient de rappeler l</w:t>
      </w:r>
      <w:r w:rsidR="0070292F" w:rsidRPr="0070292F">
        <w:rPr>
          <w:lang w:val="fr-FR"/>
        </w:rPr>
        <w:t>’</w:t>
      </w:r>
      <w:r w:rsidRPr="0070292F">
        <w:rPr>
          <w:lang w:val="fr-FR"/>
        </w:rPr>
        <w:t>existence d</w:t>
      </w:r>
      <w:r w:rsidR="0070292F" w:rsidRPr="0070292F">
        <w:rPr>
          <w:lang w:val="fr-FR"/>
        </w:rPr>
        <w:t>’</w:t>
      </w:r>
      <w:r w:rsidRPr="0070292F">
        <w:rPr>
          <w:lang w:val="fr-FR"/>
        </w:rPr>
        <w:t xml:space="preserve">une abondante jurisprudence de la Cour </w:t>
      </w:r>
      <w:r w:rsidRPr="0070292F">
        <w:rPr>
          <w:lang w:val="fr-FR"/>
        </w:rPr>
        <w:lastRenderedPageBreak/>
        <w:t>concernant des situations où la privation du droit à la liberté a duré bien moins longtemps qu</w:t>
      </w:r>
      <w:r w:rsidR="0070292F" w:rsidRPr="0070292F">
        <w:rPr>
          <w:lang w:val="fr-FR"/>
        </w:rPr>
        <w:t>’</w:t>
      </w:r>
      <w:r w:rsidRPr="0070292F">
        <w:rPr>
          <w:lang w:val="fr-FR"/>
        </w:rPr>
        <w:t>en l</w:t>
      </w:r>
      <w:r w:rsidR="0070292F" w:rsidRPr="0070292F">
        <w:rPr>
          <w:lang w:val="fr-FR"/>
        </w:rPr>
        <w:t>’</w:t>
      </w:r>
      <w:r w:rsidRPr="0070292F">
        <w:rPr>
          <w:lang w:val="fr-FR"/>
        </w:rPr>
        <w:t>espèce</w:t>
      </w:r>
      <w:r w:rsidRPr="0070292F">
        <w:rPr>
          <w:vertAlign w:val="superscript"/>
          <w:lang w:val="fr-FR"/>
        </w:rPr>
        <w:footnoteReference w:id="42"/>
      </w:r>
      <w:r w:rsidRPr="0070292F">
        <w:rPr>
          <w:lang w:val="fr-FR"/>
        </w:rPr>
        <w:t>.</w:t>
      </w:r>
    </w:p>
    <w:p w:rsidR="003D30C1" w:rsidRPr="0070292F" w:rsidRDefault="003D30C1" w:rsidP="0070292F">
      <w:pPr>
        <w:pStyle w:val="OpiPara"/>
        <w:rPr>
          <w:lang w:val="fr-FR"/>
        </w:rPr>
      </w:pPr>
      <w:r w:rsidRPr="0070292F">
        <w:rPr>
          <w:lang w:val="fr-FR"/>
        </w:rPr>
        <w:t>19.  </w:t>
      </w:r>
      <w:bookmarkStart w:id="134" w:name="lt_pId187"/>
      <w:r w:rsidRPr="0070292F">
        <w:rPr>
          <w:lang w:val="fr-FR"/>
        </w:rPr>
        <w:t>Par ailleurs, on peut utilement se référer à la jurisprudence de la Cour sur l</w:t>
      </w:r>
      <w:r w:rsidR="0070292F" w:rsidRPr="0070292F">
        <w:rPr>
          <w:lang w:val="fr-FR"/>
        </w:rPr>
        <w:t>’</w:t>
      </w:r>
      <w:r w:rsidRPr="0070292F">
        <w:rPr>
          <w:lang w:val="fr-FR"/>
        </w:rPr>
        <w:t xml:space="preserve">assignation à domicile. Selon la jurisprudence </w:t>
      </w:r>
      <w:bookmarkEnd w:id="134"/>
      <w:r w:rsidRPr="0070292F">
        <w:rPr>
          <w:i/>
          <w:lang w:val="fr-FR"/>
        </w:rPr>
        <w:t>Buzadji</w:t>
      </w:r>
      <w:r w:rsidRPr="0070292F">
        <w:rPr>
          <w:lang w:val="fr-FR"/>
        </w:rPr>
        <w:t>, l</w:t>
      </w:r>
      <w:r w:rsidR="0070292F" w:rsidRPr="0070292F">
        <w:rPr>
          <w:lang w:val="fr-FR"/>
        </w:rPr>
        <w:t>’</w:t>
      </w:r>
      <w:r w:rsidRPr="0070292F">
        <w:rPr>
          <w:lang w:val="fr-FR"/>
        </w:rPr>
        <w:t>assignation à domicile est une forme de privation de liberté au regard de l</w:t>
      </w:r>
      <w:r w:rsidR="0070292F" w:rsidRPr="0070292F">
        <w:rPr>
          <w:lang w:val="fr-FR"/>
        </w:rPr>
        <w:t>’</w:t>
      </w:r>
      <w:r w:rsidRPr="0070292F">
        <w:rPr>
          <w:lang w:val="fr-FR"/>
        </w:rPr>
        <w:t>article 5 de la Convention</w:t>
      </w:r>
      <w:r w:rsidRPr="0070292F">
        <w:rPr>
          <w:vertAlign w:val="superscript"/>
          <w:lang w:val="fr-FR"/>
        </w:rPr>
        <w:footnoteReference w:id="43"/>
      </w:r>
      <w:r w:rsidRPr="0070292F">
        <w:rPr>
          <w:lang w:val="fr-FR"/>
        </w:rPr>
        <w:t xml:space="preserve">. </w:t>
      </w:r>
      <w:bookmarkStart w:id="135" w:name="lt_pId189"/>
      <w:r w:rsidRPr="0070292F">
        <w:rPr>
          <w:lang w:val="fr-FR"/>
        </w:rPr>
        <w:t>L</w:t>
      </w:r>
      <w:r w:rsidR="0070292F" w:rsidRPr="0070292F">
        <w:rPr>
          <w:lang w:val="fr-FR"/>
        </w:rPr>
        <w:t>’</w:t>
      </w:r>
      <w:r w:rsidRPr="0070292F">
        <w:rPr>
          <w:lang w:val="fr-FR"/>
        </w:rPr>
        <w:t>assignation à domicile consiste en une interdiction faite au suspect de sortir de chez lui sans la permission des autorités compétentes. Selon l</w:t>
      </w:r>
      <w:r w:rsidR="0070292F" w:rsidRPr="0070292F">
        <w:rPr>
          <w:lang w:val="fr-FR"/>
        </w:rPr>
        <w:t>’</w:t>
      </w:r>
      <w:r w:rsidRPr="0070292F">
        <w:rPr>
          <w:lang w:val="fr-FR"/>
        </w:rPr>
        <w:t>article 284 du code de procédure pénale, en règle générale la personne concernée ne peut quitter son domicile tant qu</w:t>
      </w:r>
      <w:r w:rsidR="0070292F" w:rsidRPr="0070292F">
        <w:rPr>
          <w:lang w:val="fr-FR"/>
        </w:rPr>
        <w:t>’</w:t>
      </w:r>
      <w:r w:rsidRPr="0070292F">
        <w:rPr>
          <w:lang w:val="fr-FR"/>
        </w:rPr>
        <w:t>elle est l</w:t>
      </w:r>
      <w:r w:rsidR="0070292F" w:rsidRPr="0070292F">
        <w:rPr>
          <w:lang w:val="fr-FR"/>
        </w:rPr>
        <w:t>’</w:t>
      </w:r>
      <w:r w:rsidRPr="0070292F">
        <w:rPr>
          <w:lang w:val="fr-FR"/>
        </w:rPr>
        <w:t>objet d</w:t>
      </w:r>
      <w:r w:rsidR="0070292F" w:rsidRPr="0070292F">
        <w:rPr>
          <w:lang w:val="fr-FR"/>
        </w:rPr>
        <w:t>’</w:t>
      </w:r>
      <w:r w:rsidRPr="0070292F">
        <w:rPr>
          <w:lang w:val="fr-FR"/>
        </w:rPr>
        <w:t xml:space="preserve">un </w:t>
      </w:r>
      <w:r w:rsidRPr="0070292F">
        <w:rPr>
          <w:i/>
          <w:lang w:val="fr-FR"/>
        </w:rPr>
        <w:t>arresto domiciliario</w:t>
      </w:r>
      <w:r w:rsidRPr="0070292F">
        <w:rPr>
          <w:lang w:val="fr-FR"/>
        </w:rPr>
        <w:t>. Le tribunal peut toutefois l</w:t>
      </w:r>
      <w:r w:rsidR="0070292F" w:rsidRPr="0070292F">
        <w:rPr>
          <w:lang w:val="fr-FR"/>
        </w:rPr>
        <w:t>’</w:t>
      </w:r>
      <w:r w:rsidRPr="0070292F">
        <w:rPr>
          <w:lang w:val="fr-FR"/>
        </w:rPr>
        <w:t>autoriser à quitter son domicile pour aller travailler ou pour d</w:t>
      </w:r>
      <w:r w:rsidR="0070292F" w:rsidRPr="0070292F">
        <w:rPr>
          <w:lang w:val="fr-FR"/>
        </w:rPr>
        <w:t>’</w:t>
      </w:r>
      <w:r w:rsidRPr="0070292F">
        <w:rPr>
          <w:lang w:val="fr-FR"/>
        </w:rPr>
        <w:t>autres « occupations essentielles » (</w:t>
      </w:r>
      <w:r w:rsidRPr="0070292F">
        <w:rPr>
          <w:i/>
          <w:lang w:val="fr-FR"/>
        </w:rPr>
        <w:t>indispensabili esigenze di vita</w:t>
      </w:r>
      <w:r w:rsidRPr="0070292F">
        <w:rPr>
          <w:lang w:val="fr-FR"/>
        </w:rPr>
        <w:t>). La disposition en question ne précise pas combien d</w:t>
      </w:r>
      <w:r w:rsidR="0070292F" w:rsidRPr="0070292F">
        <w:rPr>
          <w:lang w:val="fr-FR"/>
        </w:rPr>
        <w:t>’</w:t>
      </w:r>
      <w:r w:rsidRPr="0070292F">
        <w:rPr>
          <w:lang w:val="fr-FR"/>
        </w:rPr>
        <w:t>heures l</w:t>
      </w:r>
      <w:r w:rsidR="0070292F" w:rsidRPr="0070292F">
        <w:rPr>
          <w:lang w:val="fr-FR"/>
        </w:rPr>
        <w:t>’</w:t>
      </w:r>
      <w:r w:rsidRPr="0070292F">
        <w:rPr>
          <w:lang w:val="fr-FR"/>
        </w:rPr>
        <w:t>intéressé peut passer hors de chez lui, laissant cette décision à l</w:t>
      </w:r>
      <w:r w:rsidR="0070292F" w:rsidRPr="0070292F">
        <w:rPr>
          <w:lang w:val="fr-FR"/>
        </w:rPr>
        <w:t>’</w:t>
      </w:r>
      <w:r w:rsidRPr="0070292F">
        <w:rPr>
          <w:lang w:val="fr-FR"/>
        </w:rPr>
        <w:t xml:space="preserve">appréciation du tribunal. La disposition relative à la </w:t>
      </w:r>
      <w:r w:rsidRPr="0070292F">
        <w:rPr>
          <w:i/>
          <w:lang w:val="fr-FR"/>
        </w:rPr>
        <w:t>detenzione domiciliare</w:t>
      </w:r>
      <w:r w:rsidRPr="0070292F">
        <w:rPr>
          <w:lang w:val="fr-FR"/>
        </w:rPr>
        <w:t xml:space="preserve"> (article 47 </w:t>
      </w:r>
      <w:r w:rsidRPr="0070292F">
        <w:rPr>
          <w:i/>
          <w:lang w:val="fr-FR"/>
        </w:rPr>
        <w:t>ter</w:t>
      </w:r>
      <w:r w:rsidRPr="0070292F">
        <w:rPr>
          <w:lang w:val="fr-FR"/>
        </w:rPr>
        <w:t xml:space="preserve"> 4) de la loi n</w:t>
      </w:r>
      <w:r w:rsidRPr="0070292F">
        <w:rPr>
          <w:vertAlign w:val="superscript"/>
          <w:lang w:val="fr-FR"/>
        </w:rPr>
        <w:t>o</w:t>
      </w:r>
      <w:r w:rsidRPr="0070292F">
        <w:rPr>
          <w:lang w:val="fr-FR"/>
        </w:rPr>
        <w:t xml:space="preserve"> 354/1975) renvoie audit article 284 pour le régime de la peine. Le non-respect de ces dispositions est réprimé par l</w:t>
      </w:r>
      <w:r w:rsidR="0070292F" w:rsidRPr="0070292F">
        <w:rPr>
          <w:lang w:val="fr-FR"/>
        </w:rPr>
        <w:t>’</w:t>
      </w:r>
      <w:r w:rsidRPr="0070292F">
        <w:rPr>
          <w:lang w:val="fr-FR"/>
        </w:rPr>
        <w:t>article 385 du code pénal, qui prévoit une peine d</w:t>
      </w:r>
      <w:r w:rsidR="0070292F" w:rsidRPr="0070292F">
        <w:rPr>
          <w:lang w:val="fr-FR"/>
        </w:rPr>
        <w:t>’</w:t>
      </w:r>
      <w:r w:rsidRPr="0070292F">
        <w:rPr>
          <w:lang w:val="fr-FR"/>
        </w:rPr>
        <w:t>emprisonnement pouvant aller jusqu</w:t>
      </w:r>
      <w:r w:rsidR="0070292F" w:rsidRPr="0070292F">
        <w:rPr>
          <w:lang w:val="fr-FR"/>
        </w:rPr>
        <w:t>’</w:t>
      </w:r>
      <w:r w:rsidRPr="0070292F">
        <w:rPr>
          <w:lang w:val="fr-FR"/>
        </w:rPr>
        <w:t>à un an et, en cas de recours à la violence, jusqu</w:t>
      </w:r>
      <w:r w:rsidR="0070292F" w:rsidRPr="0070292F">
        <w:rPr>
          <w:lang w:val="fr-FR"/>
        </w:rPr>
        <w:t>’</w:t>
      </w:r>
      <w:r w:rsidRPr="0070292F">
        <w:rPr>
          <w:lang w:val="fr-FR"/>
        </w:rPr>
        <w:t>à cinq ans.</w:t>
      </w:r>
    </w:p>
    <w:p w:rsidR="0070292F" w:rsidRPr="0070292F" w:rsidRDefault="003D30C1" w:rsidP="0070292F">
      <w:pPr>
        <w:pStyle w:val="OpiPara"/>
        <w:rPr>
          <w:lang w:val="fr-FR"/>
        </w:rPr>
      </w:pPr>
      <w:r w:rsidRPr="0070292F">
        <w:rPr>
          <w:lang w:val="fr-FR"/>
        </w:rPr>
        <w:t>En fait, la situation en l</w:t>
      </w:r>
      <w:r w:rsidR="0070292F" w:rsidRPr="0070292F">
        <w:rPr>
          <w:lang w:val="fr-FR"/>
        </w:rPr>
        <w:t>’</w:t>
      </w:r>
      <w:r w:rsidRPr="0070292F">
        <w:rPr>
          <w:lang w:val="fr-FR"/>
        </w:rPr>
        <w:t>espèce n</w:t>
      </w:r>
      <w:r w:rsidR="0070292F" w:rsidRPr="0070292F">
        <w:rPr>
          <w:lang w:val="fr-FR"/>
        </w:rPr>
        <w:t>’</w:t>
      </w:r>
      <w:r w:rsidRPr="0070292F">
        <w:rPr>
          <w:lang w:val="fr-FR"/>
        </w:rPr>
        <w:t>était pas différente. Le requérant n</w:t>
      </w:r>
      <w:r w:rsidR="0070292F" w:rsidRPr="0070292F">
        <w:rPr>
          <w:lang w:val="fr-FR"/>
        </w:rPr>
        <w:t>’</w:t>
      </w:r>
      <w:r w:rsidRPr="0070292F">
        <w:rPr>
          <w:lang w:val="fr-FR"/>
        </w:rPr>
        <w:t>était pas libre de quitter sa maison entre vingt-deux heures et six heures, à moins d</w:t>
      </w:r>
      <w:r w:rsidR="0070292F" w:rsidRPr="0070292F">
        <w:rPr>
          <w:lang w:val="fr-FR"/>
        </w:rPr>
        <w:t>’</w:t>
      </w:r>
      <w:r w:rsidRPr="0070292F">
        <w:rPr>
          <w:lang w:val="fr-FR"/>
        </w:rPr>
        <w:t>en avoir « averti en temps utile » (</w:t>
      </w:r>
      <w:r w:rsidRPr="0070292F">
        <w:rPr>
          <w:i/>
          <w:lang w:val="fr-FR"/>
        </w:rPr>
        <w:t>tempestiva notizia</w:t>
      </w:r>
      <w:r w:rsidRPr="0070292F">
        <w:rPr>
          <w:lang w:val="fr-FR"/>
        </w:rPr>
        <w:t>) les autorités de surveillance et uniquement en cas de « nécessité établie »</w:t>
      </w:r>
      <w:r w:rsidRPr="0070292F">
        <w:rPr>
          <w:b/>
          <w:lang w:val="fr-FR"/>
        </w:rPr>
        <w:t xml:space="preserve"> </w:t>
      </w:r>
      <w:r w:rsidRPr="0070292F">
        <w:rPr>
          <w:lang w:val="fr-FR"/>
        </w:rPr>
        <w:t>(</w:t>
      </w:r>
      <w:r w:rsidRPr="0070292F">
        <w:rPr>
          <w:i/>
          <w:lang w:val="fr-FR"/>
        </w:rPr>
        <w:t>comprovata necessità</w:t>
      </w:r>
      <w:r w:rsidRPr="0070292F">
        <w:rPr>
          <w:lang w:val="fr-FR"/>
        </w:rPr>
        <w:t>). Le non-respect de cette obligation légale était passible d</w:t>
      </w:r>
      <w:r w:rsidR="0070292F" w:rsidRPr="0070292F">
        <w:rPr>
          <w:lang w:val="fr-FR"/>
        </w:rPr>
        <w:t>’</w:t>
      </w:r>
      <w:r w:rsidRPr="0070292F">
        <w:rPr>
          <w:lang w:val="fr-FR"/>
        </w:rPr>
        <w:t>une peine d</w:t>
      </w:r>
      <w:r w:rsidR="0070292F" w:rsidRPr="0070292F">
        <w:rPr>
          <w:lang w:val="fr-FR"/>
        </w:rPr>
        <w:t>’</w:t>
      </w:r>
      <w:r w:rsidRPr="0070292F">
        <w:rPr>
          <w:lang w:val="fr-FR"/>
        </w:rPr>
        <w:t>emprisonnement pouvant aller jusqu</w:t>
      </w:r>
      <w:r w:rsidR="0070292F" w:rsidRPr="0070292F">
        <w:rPr>
          <w:lang w:val="fr-FR"/>
        </w:rPr>
        <w:t>’</w:t>
      </w:r>
      <w:r w:rsidRPr="0070292F">
        <w:rPr>
          <w:lang w:val="fr-FR"/>
        </w:rPr>
        <w:t>à cinq ans.</w:t>
      </w:r>
    </w:p>
    <w:bookmarkEnd w:id="135"/>
    <w:p w:rsidR="003D30C1" w:rsidRPr="0070292F" w:rsidRDefault="003D30C1" w:rsidP="0070292F">
      <w:pPr>
        <w:pStyle w:val="OpiPara"/>
        <w:rPr>
          <w:lang w:val="fr-FR"/>
        </w:rPr>
      </w:pPr>
      <w:r w:rsidRPr="0070292F">
        <w:rPr>
          <w:lang w:val="fr-FR"/>
        </w:rPr>
        <w:t>20.  </w:t>
      </w:r>
      <w:bookmarkStart w:id="136" w:name="lt_pId199"/>
      <w:r w:rsidRPr="0070292F">
        <w:rPr>
          <w:lang w:val="fr-FR"/>
        </w:rPr>
        <w:t>Il s</w:t>
      </w:r>
      <w:r w:rsidR="0070292F" w:rsidRPr="0070292F">
        <w:rPr>
          <w:lang w:val="fr-FR"/>
        </w:rPr>
        <w:t>’</w:t>
      </w:r>
      <w:r w:rsidRPr="0070292F">
        <w:rPr>
          <w:lang w:val="fr-FR"/>
        </w:rPr>
        <w:t>ensuit que l</w:t>
      </w:r>
      <w:r w:rsidR="0070292F" w:rsidRPr="0070292F">
        <w:rPr>
          <w:lang w:val="fr-FR"/>
        </w:rPr>
        <w:t>’</w:t>
      </w:r>
      <w:r w:rsidRPr="0070292F">
        <w:rPr>
          <w:lang w:val="fr-FR"/>
        </w:rPr>
        <w:t>article 5 est applicable à cette forme de privation de liberté, comme il l</w:t>
      </w:r>
      <w:r w:rsidR="0070292F" w:rsidRPr="0070292F">
        <w:rPr>
          <w:lang w:val="fr-FR"/>
        </w:rPr>
        <w:t>’</w:t>
      </w:r>
      <w:r w:rsidRPr="0070292F">
        <w:rPr>
          <w:lang w:val="fr-FR"/>
        </w:rPr>
        <w:t xml:space="preserve">était dans les affaires </w:t>
      </w:r>
      <w:r w:rsidRPr="0070292F">
        <w:rPr>
          <w:i/>
          <w:lang w:val="fr-FR"/>
        </w:rPr>
        <w:t>Guzzardi</w:t>
      </w:r>
      <w:r w:rsidRPr="0070292F">
        <w:rPr>
          <w:lang w:val="fr-FR"/>
        </w:rPr>
        <w:t xml:space="preserve"> et </w:t>
      </w:r>
      <w:r w:rsidRPr="0070292F">
        <w:rPr>
          <w:i/>
          <w:lang w:val="fr-FR"/>
        </w:rPr>
        <w:t>Ciulla</w:t>
      </w:r>
      <w:r w:rsidRPr="0070292F">
        <w:rPr>
          <w:lang w:val="fr-FR"/>
        </w:rPr>
        <w:t xml:space="preserve"> (toutes deux précitées). Il y aurait « fraude à l</w:t>
      </w:r>
      <w:r w:rsidR="0070292F" w:rsidRPr="0070292F">
        <w:rPr>
          <w:lang w:val="fr-FR"/>
        </w:rPr>
        <w:t>’</w:t>
      </w:r>
      <w:r w:rsidRPr="0070292F">
        <w:rPr>
          <w:lang w:val="fr-FR"/>
        </w:rPr>
        <w:t>étiquette » (</w:t>
      </w:r>
      <w:r w:rsidRPr="0070292F">
        <w:rPr>
          <w:i/>
          <w:lang w:val="fr-FR"/>
        </w:rPr>
        <w:t>frode delle etichette</w:t>
      </w:r>
      <w:r w:rsidRPr="0070292F">
        <w:rPr>
          <w:lang w:val="fr-FR"/>
        </w:rPr>
        <w:t>) si l</w:t>
      </w:r>
      <w:r w:rsidR="0070292F" w:rsidRPr="0070292F">
        <w:rPr>
          <w:lang w:val="fr-FR"/>
        </w:rPr>
        <w:t>’</w:t>
      </w:r>
      <w:r w:rsidRPr="0070292F">
        <w:rPr>
          <w:lang w:val="fr-FR"/>
        </w:rPr>
        <w:t>article 5 § 1 n</w:t>
      </w:r>
      <w:r w:rsidR="0070292F" w:rsidRPr="0070292F">
        <w:rPr>
          <w:lang w:val="fr-FR"/>
        </w:rPr>
        <w:t>’</w:t>
      </w:r>
      <w:r w:rsidRPr="0070292F">
        <w:rPr>
          <w:lang w:val="fr-FR"/>
        </w:rPr>
        <w:t>était pas jugé applicable aux mesures prévues par la loi de 1956, eu égard à leur caractère fort intrusif en matière de limitation de la liberté, en général et en l</w:t>
      </w:r>
      <w:r w:rsidR="0070292F" w:rsidRPr="0070292F">
        <w:rPr>
          <w:lang w:val="fr-FR"/>
        </w:rPr>
        <w:t>’</w:t>
      </w:r>
      <w:r w:rsidRPr="0070292F">
        <w:rPr>
          <w:lang w:val="fr-FR"/>
        </w:rPr>
        <w:t>espèce.</w:t>
      </w:r>
    </w:p>
    <w:p w:rsidR="003D30C1" w:rsidRPr="0070292F" w:rsidRDefault="003D30C1" w:rsidP="0070292F">
      <w:pPr>
        <w:pStyle w:val="OpiH1"/>
        <w:rPr>
          <w:lang w:val="fr-FR"/>
        </w:rPr>
      </w:pPr>
      <w:bookmarkStart w:id="137" w:name="_Toc472493591"/>
      <w:bookmarkStart w:id="138" w:name="_Toc475451885"/>
      <w:bookmarkEnd w:id="136"/>
      <w:r w:rsidRPr="0070292F">
        <w:rPr>
          <w:lang w:val="fr-FR"/>
        </w:rPr>
        <w:lastRenderedPageBreak/>
        <w:t>B.  Application de l</w:t>
      </w:r>
      <w:r w:rsidR="0070292F" w:rsidRPr="0070292F">
        <w:rPr>
          <w:lang w:val="fr-FR"/>
        </w:rPr>
        <w:t>’</w:t>
      </w:r>
      <w:r w:rsidRPr="0070292F">
        <w:rPr>
          <w:lang w:val="fr-FR"/>
        </w:rPr>
        <w:t>article 5 en l</w:t>
      </w:r>
      <w:r w:rsidR="0070292F" w:rsidRPr="0070292F">
        <w:rPr>
          <w:lang w:val="fr-FR"/>
        </w:rPr>
        <w:t>’</w:t>
      </w:r>
      <w:r w:rsidRPr="0070292F">
        <w:rPr>
          <w:lang w:val="fr-FR"/>
        </w:rPr>
        <w:t>espèce : absence de motif tiré de la Convention justifiant une privation de liberté (§§ 21-31)</w:t>
      </w:r>
      <w:bookmarkEnd w:id="137"/>
      <w:bookmarkEnd w:id="138"/>
    </w:p>
    <w:p w:rsidR="003D30C1" w:rsidRPr="0070292F" w:rsidRDefault="003D30C1" w:rsidP="0070292F">
      <w:pPr>
        <w:pStyle w:val="OpiPara"/>
        <w:rPr>
          <w:lang w:val="fr-FR"/>
        </w:rPr>
      </w:pPr>
      <w:r w:rsidRPr="0070292F">
        <w:rPr>
          <w:lang w:val="fr-FR"/>
        </w:rPr>
        <w:t>21.  Je souscris sans réserve à l</w:t>
      </w:r>
      <w:r w:rsidR="0070292F" w:rsidRPr="0070292F">
        <w:rPr>
          <w:lang w:val="fr-FR"/>
        </w:rPr>
        <w:t>’</w:t>
      </w:r>
      <w:r w:rsidRPr="0070292F">
        <w:rPr>
          <w:lang w:val="fr-FR"/>
        </w:rPr>
        <w:t>appréciation faite par la Grande Chambre de l</w:t>
      </w:r>
      <w:r w:rsidR="0070292F" w:rsidRPr="0070292F">
        <w:rPr>
          <w:lang w:val="fr-FR"/>
        </w:rPr>
        <w:t>’</w:t>
      </w:r>
      <w:r w:rsidRPr="0070292F">
        <w:rPr>
          <w:lang w:val="fr-FR"/>
        </w:rPr>
        <w:t>insuffisante qualité de la loi examinée, concernant à la fois la liste des personnes auxquelles les mesures peuvent être appliquées (article 1 de la loi de 1956) et les mesures elles-mêmes (articles 3 et 5 de la loi de 1956).</w:t>
      </w:r>
    </w:p>
    <w:p w:rsidR="003D30C1" w:rsidRPr="0070292F" w:rsidRDefault="003D30C1" w:rsidP="0070292F">
      <w:pPr>
        <w:pStyle w:val="OpiPara"/>
        <w:rPr>
          <w:lang w:val="fr-FR"/>
        </w:rPr>
      </w:pPr>
      <w:r w:rsidRPr="0070292F">
        <w:rPr>
          <w:lang w:val="fr-FR"/>
        </w:rPr>
        <w:t xml:space="preserve">22.  Les louables efforts de la Cour constitutionnelle italienne pour restreindre la portée des notions employées dans ces dispositions ne suffisent pas à les soustraire à la critique du défaut de prévisibilité. </w:t>
      </w:r>
      <w:bookmarkStart w:id="139" w:name="lt_pId208"/>
      <w:r w:rsidRPr="0070292F">
        <w:rPr>
          <w:lang w:val="fr-FR"/>
        </w:rPr>
        <w:t>Le citoyen ordinaire ne pouvait pas prévoir quel type concret de comportement risquait d</w:t>
      </w:r>
      <w:r w:rsidR="0070292F" w:rsidRPr="0070292F">
        <w:rPr>
          <w:lang w:val="fr-FR"/>
        </w:rPr>
        <w:t>’</w:t>
      </w:r>
      <w:r w:rsidRPr="0070292F">
        <w:rPr>
          <w:lang w:val="fr-FR"/>
        </w:rPr>
        <w:t>être englobé par la disposition pertinente de la loi de 1956 et quelle mesure spécifique serait appliquée à sa conduite, et ce pour la simple raison que la loi était libellée de façon trop générale et pâtissait de notions vagues et indéfinies, le tout combiné parfois à un ton moralisateur.</w:t>
      </w:r>
      <w:bookmarkEnd w:id="139"/>
      <w:r w:rsidRPr="0070292F">
        <w:rPr>
          <w:lang w:val="fr-FR"/>
        </w:rPr>
        <w:t xml:space="preserve"> </w:t>
      </w:r>
      <w:bookmarkStart w:id="140" w:name="lt_pId209"/>
      <w:r w:rsidRPr="0070292F">
        <w:rPr>
          <w:lang w:val="fr-FR"/>
        </w:rPr>
        <w:t>Comme la loi n</w:t>
      </w:r>
      <w:r w:rsidR="0070292F" w:rsidRPr="0070292F">
        <w:rPr>
          <w:lang w:val="fr-FR"/>
        </w:rPr>
        <w:t>’</w:t>
      </w:r>
      <w:r w:rsidRPr="0070292F">
        <w:rPr>
          <w:lang w:val="fr-FR"/>
        </w:rPr>
        <w:t>établissait pas de relation claire et prévisible entre tel type concret de comportement et telle ou telle mesure pénale, une trop grande latitude était laissée à la police et au parquet</w:t>
      </w:r>
      <w:bookmarkEnd w:id="140"/>
      <w:r w:rsidRPr="0070292F">
        <w:rPr>
          <w:vertAlign w:val="superscript"/>
          <w:lang w:val="fr-FR"/>
        </w:rPr>
        <w:footnoteReference w:id="44"/>
      </w:r>
      <w:r w:rsidRPr="0070292F">
        <w:rPr>
          <w:lang w:val="fr-FR"/>
        </w:rPr>
        <w:t>.</w:t>
      </w:r>
    </w:p>
    <w:p w:rsidR="003D30C1" w:rsidRPr="0070292F" w:rsidRDefault="003D30C1" w:rsidP="0070292F">
      <w:pPr>
        <w:pStyle w:val="OpiPara"/>
        <w:rPr>
          <w:lang w:val="fr-FR"/>
        </w:rPr>
      </w:pPr>
      <w:r w:rsidRPr="0070292F">
        <w:rPr>
          <w:lang w:val="fr-FR"/>
        </w:rPr>
        <w:t>23.  </w:t>
      </w:r>
      <w:bookmarkStart w:id="141" w:name="lt_pId211"/>
      <w:r w:rsidRPr="0070292F">
        <w:rPr>
          <w:lang w:val="fr-FR"/>
        </w:rPr>
        <w:t>Mais ce n</w:t>
      </w:r>
      <w:r w:rsidR="0070292F" w:rsidRPr="0070292F">
        <w:rPr>
          <w:lang w:val="fr-FR"/>
        </w:rPr>
        <w:t>’</w:t>
      </w:r>
      <w:r w:rsidRPr="0070292F">
        <w:rPr>
          <w:lang w:val="fr-FR"/>
        </w:rPr>
        <w:t xml:space="preserve">est pas tout. La </w:t>
      </w:r>
      <w:bookmarkStart w:id="142" w:name="lt_pId212"/>
      <w:bookmarkEnd w:id="141"/>
      <w:r w:rsidRPr="0070292F">
        <w:rPr>
          <w:lang w:val="fr-FR"/>
        </w:rPr>
        <w:t>Grande Chambre aurait dû aller plus loin dans son analyse.</w:t>
      </w:r>
      <w:bookmarkEnd w:id="142"/>
      <w:r w:rsidRPr="0070292F">
        <w:rPr>
          <w:lang w:val="fr-FR"/>
        </w:rPr>
        <w:t xml:space="preserve"> </w:t>
      </w:r>
      <w:bookmarkStart w:id="143" w:name="lt_pId213"/>
      <w:r w:rsidRPr="0070292F">
        <w:rPr>
          <w:lang w:val="fr-FR"/>
        </w:rPr>
        <w:t xml:space="preserve">En sus de la qualité déficiente de la loi, la privation du droit à la liberté </w:t>
      </w:r>
      <w:r w:rsidRPr="0070292F">
        <w:rPr>
          <w:i/>
          <w:lang w:val="fr-FR"/>
        </w:rPr>
        <w:t>ante o</w:t>
      </w:r>
      <w:r w:rsidRPr="0070292F">
        <w:rPr>
          <w:lang w:val="fr-FR"/>
        </w:rPr>
        <w:t xml:space="preserve"> </w:t>
      </w:r>
      <w:r w:rsidRPr="0070292F">
        <w:rPr>
          <w:i/>
          <w:lang w:val="fr-FR"/>
        </w:rPr>
        <w:t>praeter delictum</w:t>
      </w:r>
      <w:r w:rsidRPr="0070292F">
        <w:rPr>
          <w:lang w:val="fr-FR"/>
        </w:rPr>
        <w:t xml:space="preserve"> aux fins de la prévention des infractions pénales ne correspond à aucun des motifs qui se trouvent énumérés de manière exhaustive à l</w:t>
      </w:r>
      <w:r w:rsidR="0070292F" w:rsidRPr="0070292F">
        <w:rPr>
          <w:lang w:val="fr-FR"/>
        </w:rPr>
        <w:t>’</w:t>
      </w:r>
      <w:r w:rsidRPr="0070292F">
        <w:rPr>
          <w:lang w:val="fr-FR"/>
        </w:rPr>
        <w:t>article 5 § 1 de la Convention.</w:t>
      </w:r>
      <w:bookmarkEnd w:id="143"/>
    </w:p>
    <w:p w:rsidR="003D30C1" w:rsidRPr="0070292F" w:rsidRDefault="003D30C1" w:rsidP="0070292F">
      <w:pPr>
        <w:pStyle w:val="OpiPara"/>
        <w:rPr>
          <w:lang w:val="fr-FR"/>
        </w:rPr>
      </w:pPr>
      <w:r w:rsidRPr="0070292F">
        <w:rPr>
          <w:lang w:val="fr-FR"/>
        </w:rPr>
        <w:t>24.  </w:t>
      </w:r>
      <w:bookmarkStart w:id="144" w:name="lt_pId215"/>
      <w:r w:rsidRPr="0070292F">
        <w:rPr>
          <w:lang w:val="fr-FR"/>
        </w:rPr>
        <w:t>Je répète ce que l</w:t>
      </w:r>
      <w:r w:rsidR="0070292F" w:rsidRPr="0070292F">
        <w:rPr>
          <w:lang w:val="fr-FR"/>
        </w:rPr>
        <w:t>’</w:t>
      </w:r>
      <w:r w:rsidRPr="0070292F">
        <w:rPr>
          <w:lang w:val="fr-FR"/>
        </w:rPr>
        <w:t xml:space="preserve">arrêt </w:t>
      </w:r>
      <w:r w:rsidRPr="0070292F">
        <w:rPr>
          <w:i/>
          <w:lang w:val="fr-FR"/>
        </w:rPr>
        <w:t>Guzzardi</w:t>
      </w:r>
      <w:r w:rsidRPr="0070292F">
        <w:rPr>
          <w:lang w:val="fr-FR"/>
        </w:rPr>
        <w:t xml:space="preserve"> a déjà indiqué de manière fort convaincante :</w:t>
      </w:r>
      <w:bookmarkEnd w:id="144"/>
      <w:r w:rsidRPr="0070292F">
        <w:rPr>
          <w:lang w:val="fr-FR"/>
        </w:rPr>
        <w:t xml:space="preserve"> </w:t>
      </w:r>
      <w:bookmarkStart w:id="145" w:name="lt_pId216"/>
      <w:r w:rsidRPr="0070292F">
        <w:rPr>
          <w:lang w:val="fr-FR"/>
        </w:rPr>
        <w:t>l</w:t>
      </w:r>
      <w:r w:rsidR="0070292F" w:rsidRPr="0070292F">
        <w:rPr>
          <w:lang w:val="fr-FR"/>
        </w:rPr>
        <w:t>’</w:t>
      </w:r>
      <w:r w:rsidRPr="0070292F">
        <w:rPr>
          <w:lang w:val="fr-FR"/>
        </w:rPr>
        <w:t>assignation à résidence du requérant et l</w:t>
      </w:r>
      <w:r w:rsidR="0070292F" w:rsidRPr="0070292F">
        <w:rPr>
          <w:lang w:val="fr-FR"/>
        </w:rPr>
        <w:t>’</w:t>
      </w:r>
      <w:r w:rsidRPr="0070292F">
        <w:rPr>
          <w:lang w:val="fr-FR"/>
        </w:rPr>
        <w:t>obligation qui lui a été faite de rester chez lui huit heures par jour, aux fins de la prévention des infractions pénales, ne peuvent pas être considérées comme englobées dans les situations énumérées de façon exhaustive à l</w:t>
      </w:r>
      <w:r w:rsidR="0070292F" w:rsidRPr="0070292F">
        <w:rPr>
          <w:lang w:val="fr-FR"/>
        </w:rPr>
        <w:t>’</w:t>
      </w:r>
      <w:r w:rsidRPr="0070292F">
        <w:rPr>
          <w:lang w:val="fr-FR"/>
        </w:rPr>
        <w:t>article 5 § 1</w:t>
      </w:r>
      <w:bookmarkEnd w:id="145"/>
      <w:r w:rsidRPr="0070292F">
        <w:rPr>
          <w:vertAlign w:val="superscript"/>
          <w:lang w:val="fr-FR"/>
        </w:rPr>
        <w:footnoteReference w:id="45"/>
      </w:r>
      <w:r w:rsidRPr="0070292F">
        <w:rPr>
          <w:lang w:val="fr-FR"/>
        </w:rPr>
        <w:t>.</w:t>
      </w:r>
    </w:p>
    <w:p w:rsidR="003D30C1" w:rsidRPr="0070292F" w:rsidRDefault="003D30C1" w:rsidP="0070292F">
      <w:pPr>
        <w:pStyle w:val="OpiPara"/>
        <w:rPr>
          <w:lang w:val="fr-FR"/>
        </w:rPr>
      </w:pPr>
      <w:r w:rsidRPr="0070292F">
        <w:rPr>
          <w:lang w:val="fr-FR"/>
        </w:rPr>
        <w:t>25.  L</w:t>
      </w:r>
      <w:r w:rsidR="0070292F" w:rsidRPr="0070292F">
        <w:rPr>
          <w:lang w:val="fr-FR"/>
        </w:rPr>
        <w:t>’</w:t>
      </w:r>
      <w:r w:rsidRPr="0070292F">
        <w:rPr>
          <w:lang w:val="fr-FR"/>
        </w:rPr>
        <w:t>article 5 § 1 a) de la Convention ne s</w:t>
      </w:r>
      <w:r w:rsidR="0070292F" w:rsidRPr="0070292F">
        <w:rPr>
          <w:lang w:val="fr-FR"/>
        </w:rPr>
        <w:t>’</w:t>
      </w:r>
      <w:r w:rsidRPr="0070292F">
        <w:rPr>
          <w:lang w:val="fr-FR"/>
        </w:rPr>
        <w:t>applique pas</w:t>
      </w:r>
      <w:r w:rsidRPr="0070292F">
        <w:rPr>
          <w:vertAlign w:val="superscript"/>
          <w:lang w:val="fr-FR"/>
        </w:rPr>
        <w:footnoteReference w:id="46"/>
      </w:r>
      <w:r w:rsidRPr="0070292F">
        <w:rPr>
          <w:lang w:val="fr-FR"/>
        </w:rPr>
        <w:t>. L</w:t>
      </w:r>
      <w:r w:rsidR="0070292F" w:rsidRPr="0070292F">
        <w:rPr>
          <w:lang w:val="fr-FR"/>
        </w:rPr>
        <w:t>’</w:t>
      </w:r>
      <w:r w:rsidRPr="0070292F">
        <w:rPr>
          <w:lang w:val="fr-FR"/>
        </w:rPr>
        <w:t>assignation à résidence du requérant n</w:t>
      </w:r>
      <w:r w:rsidR="0070292F" w:rsidRPr="0070292F">
        <w:rPr>
          <w:lang w:val="fr-FR"/>
        </w:rPr>
        <w:t>’</w:t>
      </w:r>
      <w:r w:rsidRPr="0070292F">
        <w:rPr>
          <w:lang w:val="fr-FR"/>
        </w:rPr>
        <w:t>était pas une sanction pour une infraction donnée, mais une mesure de prévention adoptée en raison d</w:t>
      </w:r>
      <w:r w:rsidR="0070292F" w:rsidRPr="0070292F">
        <w:rPr>
          <w:lang w:val="fr-FR"/>
        </w:rPr>
        <w:t>’</w:t>
      </w:r>
      <w:r w:rsidRPr="0070292F">
        <w:rPr>
          <w:lang w:val="fr-FR"/>
        </w:rPr>
        <w:t xml:space="preserve">indices relatifs à une propension à la délinquance. </w:t>
      </w:r>
      <w:bookmarkStart w:id="146" w:name="lt_pId220"/>
      <w:r w:rsidRPr="0070292F">
        <w:rPr>
          <w:lang w:val="fr-FR"/>
        </w:rPr>
        <w:t>La nature de cette mesure n</w:t>
      </w:r>
      <w:r w:rsidR="0070292F" w:rsidRPr="0070292F">
        <w:rPr>
          <w:lang w:val="fr-FR"/>
        </w:rPr>
        <w:t>’</w:t>
      </w:r>
      <w:r w:rsidRPr="0070292F">
        <w:rPr>
          <w:lang w:val="fr-FR"/>
        </w:rPr>
        <w:t xml:space="preserve">était pas </w:t>
      </w:r>
      <w:r w:rsidRPr="0070292F">
        <w:rPr>
          <w:lang w:val="fr-FR"/>
        </w:rPr>
        <w:lastRenderedPageBreak/>
        <w:t>celle d</w:t>
      </w:r>
      <w:r w:rsidR="0070292F" w:rsidRPr="0070292F">
        <w:rPr>
          <w:lang w:val="fr-FR"/>
        </w:rPr>
        <w:t>’</w:t>
      </w:r>
      <w:r w:rsidRPr="0070292F">
        <w:rPr>
          <w:lang w:val="fr-FR"/>
        </w:rPr>
        <w:t>une détention qui se produit « à la suite et par suite » ou « en vertu » de la « condamnation</w:t>
      </w:r>
      <w:bookmarkEnd w:id="146"/>
      <w:r w:rsidRPr="0070292F">
        <w:rPr>
          <w:lang w:val="fr-FR"/>
        </w:rPr>
        <w:t> »</w:t>
      </w:r>
      <w:r w:rsidRPr="0070292F">
        <w:rPr>
          <w:vertAlign w:val="superscript"/>
          <w:lang w:val="fr-FR"/>
        </w:rPr>
        <w:footnoteReference w:id="47"/>
      </w:r>
      <w:r w:rsidRPr="0070292F">
        <w:rPr>
          <w:lang w:val="fr-FR"/>
        </w:rPr>
        <w:t>.</w:t>
      </w:r>
    </w:p>
    <w:p w:rsidR="003D30C1" w:rsidRPr="0070292F" w:rsidRDefault="003D30C1" w:rsidP="0070292F">
      <w:pPr>
        <w:pStyle w:val="OpiPara"/>
        <w:rPr>
          <w:lang w:val="fr-FR"/>
        </w:rPr>
      </w:pPr>
      <w:r w:rsidRPr="0070292F">
        <w:rPr>
          <w:lang w:val="fr-FR"/>
        </w:rPr>
        <w:t>26.  L</w:t>
      </w:r>
      <w:r w:rsidR="0070292F" w:rsidRPr="0070292F">
        <w:rPr>
          <w:lang w:val="fr-FR"/>
        </w:rPr>
        <w:t>’</w:t>
      </w:r>
      <w:r w:rsidRPr="0070292F">
        <w:rPr>
          <w:lang w:val="fr-FR"/>
        </w:rPr>
        <w:t>article 5 § 1 b) de la Convention ne s</w:t>
      </w:r>
      <w:r w:rsidR="0070292F" w:rsidRPr="0070292F">
        <w:rPr>
          <w:lang w:val="fr-FR"/>
        </w:rPr>
        <w:t>’</w:t>
      </w:r>
      <w:r w:rsidRPr="0070292F">
        <w:rPr>
          <w:lang w:val="fr-FR"/>
        </w:rPr>
        <w:t>applique pas</w:t>
      </w:r>
      <w:r w:rsidRPr="0070292F">
        <w:rPr>
          <w:vertAlign w:val="superscript"/>
          <w:lang w:val="fr-FR"/>
        </w:rPr>
        <w:footnoteReference w:id="48"/>
      </w:r>
      <w:r w:rsidRPr="0070292F">
        <w:rPr>
          <w:lang w:val="fr-FR"/>
        </w:rPr>
        <w:t>. La détention du requérant n</w:t>
      </w:r>
      <w:r w:rsidR="0070292F" w:rsidRPr="0070292F">
        <w:rPr>
          <w:lang w:val="fr-FR"/>
        </w:rPr>
        <w:t>’</w:t>
      </w:r>
      <w:r w:rsidRPr="0070292F">
        <w:rPr>
          <w:lang w:val="fr-FR"/>
        </w:rPr>
        <w:t>est pas résultée d</w:t>
      </w:r>
      <w:r w:rsidR="0070292F" w:rsidRPr="0070292F">
        <w:rPr>
          <w:lang w:val="fr-FR"/>
        </w:rPr>
        <w:t>’</w:t>
      </w:r>
      <w:r w:rsidRPr="0070292F">
        <w:rPr>
          <w:lang w:val="fr-FR"/>
        </w:rPr>
        <w:t>une insoumission à une ordonnance</w:t>
      </w:r>
      <w:r w:rsidRPr="0070292F">
        <w:rPr>
          <w:vertAlign w:val="superscript"/>
          <w:lang w:val="fr-FR"/>
        </w:rPr>
        <w:footnoteReference w:id="49"/>
      </w:r>
      <w:r w:rsidRPr="0070292F">
        <w:rPr>
          <w:lang w:val="fr-FR"/>
        </w:rPr>
        <w:t xml:space="preserve"> ou de la nécessité de garantir l</w:t>
      </w:r>
      <w:r w:rsidR="0070292F" w:rsidRPr="0070292F">
        <w:rPr>
          <w:lang w:val="fr-FR"/>
        </w:rPr>
        <w:t>’</w:t>
      </w:r>
      <w:r w:rsidRPr="0070292F">
        <w:rPr>
          <w:lang w:val="fr-FR"/>
        </w:rPr>
        <w:t>exécution d</w:t>
      </w:r>
      <w:r w:rsidR="0070292F" w:rsidRPr="0070292F">
        <w:rPr>
          <w:lang w:val="fr-FR"/>
        </w:rPr>
        <w:t>’</w:t>
      </w:r>
      <w:r w:rsidRPr="0070292F">
        <w:rPr>
          <w:lang w:val="fr-FR"/>
        </w:rPr>
        <w:t>une obligation spécifique prescrite par la loi</w:t>
      </w:r>
      <w:r w:rsidRPr="0070292F">
        <w:rPr>
          <w:vertAlign w:val="superscript"/>
          <w:lang w:val="fr-FR"/>
        </w:rPr>
        <w:footnoteReference w:id="50"/>
      </w:r>
      <w:r w:rsidRPr="0070292F">
        <w:rPr>
          <w:lang w:val="fr-FR"/>
        </w:rPr>
        <w:t>.</w:t>
      </w:r>
    </w:p>
    <w:p w:rsidR="003D30C1" w:rsidRPr="0070292F" w:rsidRDefault="003D30C1" w:rsidP="0070292F">
      <w:pPr>
        <w:pStyle w:val="OpiPara"/>
        <w:rPr>
          <w:lang w:val="fr-FR"/>
        </w:rPr>
      </w:pPr>
      <w:r w:rsidRPr="0070292F">
        <w:rPr>
          <w:lang w:val="fr-FR"/>
        </w:rPr>
        <w:t>27.  L</w:t>
      </w:r>
      <w:r w:rsidR="0070292F" w:rsidRPr="0070292F">
        <w:rPr>
          <w:lang w:val="fr-FR"/>
        </w:rPr>
        <w:t>’</w:t>
      </w:r>
      <w:r w:rsidRPr="0070292F">
        <w:rPr>
          <w:lang w:val="fr-FR"/>
        </w:rPr>
        <w:t>article 5 § 1 c) de la Convention ne s</w:t>
      </w:r>
      <w:r w:rsidR="0070292F" w:rsidRPr="0070292F">
        <w:rPr>
          <w:lang w:val="fr-FR"/>
        </w:rPr>
        <w:t>’</w:t>
      </w:r>
      <w:r w:rsidRPr="0070292F">
        <w:rPr>
          <w:lang w:val="fr-FR"/>
        </w:rPr>
        <w:t>applique pas</w:t>
      </w:r>
      <w:r w:rsidRPr="0070292F">
        <w:rPr>
          <w:vertAlign w:val="superscript"/>
          <w:lang w:val="fr-FR"/>
        </w:rPr>
        <w:footnoteReference w:id="51"/>
      </w:r>
      <w:r w:rsidRPr="0070292F">
        <w:rPr>
          <w:lang w:val="fr-FR"/>
        </w:rPr>
        <w:t>. Le requérant ne se trouvait dans aucune des situations visées à l</w:t>
      </w:r>
      <w:r w:rsidR="0070292F" w:rsidRPr="0070292F">
        <w:rPr>
          <w:lang w:val="fr-FR"/>
        </w:rPr>
        <w:t>’</w:t>
      </w:r>
      <w:r w:rsidRPr="0070292F">
        <w:rPr>
          <w:lang w:val="fr-FR"/>
        </w:rPr>
        <w:t>alinéa c). Il n</w:t>
      </w:r>
      <w:r w:rsidR="0070292F" w:rsidRPr="0070292F">
        <w:rPr>
          <w:lang w:val="fr-FR"/>
        </w:rPr>
        <w:t>’</w:t>
      </w:r>
      <w:r w:rsidRPr="0070292F">
        <w:rPr>
          <w:lang w:val="fr-FR"/>
        </w:rPr>
        <w:t>y avait pas de « raisons plausibles de [le] soupçonner [d</w:t>
      </w:r>
      <w:r w:rsidR="0070292F" w:rsidRPr="0070292F">
        <w:rPr>
          <w:lang w:val="fr-FR"/>
        </w:rPr>
        <w:t>’</w:t>
      </w:r>
      <w:r w:rsidRPr="0070292F">
        <w:rPr>
          <w:lang w:val="fr-FR"/>
        </w:rPr>
        <w:t>une] infraction », ni de « motifs raisonnables de croire à la nécessité de l</w:t>
      </w:r>
      <w:r w:rsidR="0070292F" w:rsidRPr="0070292F">
        <w:rPr>
          <w:lang w:val="fr-FR"/>
        </w:rPr>
        <w:t>’</w:t>
      </w:r>
      <w:r w:rsidRPr="0070292F">
        <w:rPr>
          <w:lang w:val="fr-FR"/>
        </w:rPr>
        <w:t>empêcher de commettre une infraction » ou de « s</w:t>
      </w:r>
      <w:r w:rsidR="0070292F" w:rsidRPr="0070292F">
        <w:rPr>
          <w:lang w:val="fr-FR"/>
        </w:rPr>
        <w:t>’</w:t>
      </w:r>
      <w:r w:rsidRPr="0070292F">
        <w:rPr>
          <w:lang w:val="fr-FR"/>
        </w:rPr>
        <w:t>enfuir après l</w:t>
      </w:r>
      <w:r w:rsidR="0070292F" w:rsidRPr="0070292F">
        <w:rPr>
          <w:lang w:val="fr-FR"/>
        </w:rPr>
        <w:t>’</w:t>
      </w:r>
      <w:r w:rsidRPr="0070292F">
        <w:rPr>
          <w:lang w:val="fr-FR"/>
        </w:rPr>
        <w:t>accomplissement de celle-ci ». La raison en est simple : selon la</w:t>
      </w:r>
      <w:r w:rsidRPr="0070292F">
        <w:rPr>
          <w:b/>
          <w:lang w:val="fr-FR"/>
        </w:rPr>
        <w:t xml:space="preserve"> </w:t>
      </w:r>
      <w:r w:rsidRPr="0070292F">
        <w:rPr>
          <w:lang w:val="fr-FR"/>
        </w:rPr>
        <w:t>jurisprudence fermement établie de la Cour, un soupçon</w:t>
      </w:r>
      <w:r w:rsidRPr="0070292F">
        <w:rPr>
          <w:b/>
          <w:lang w:val="fr-FR"/>
        </w:rPr>
        <w:t xml:space="preserve"> </w:t>
      </w:r>
      <w:r w:rsidRPr="0070292F">
        <w:rPr>
          <w:lang w:val="fr-FR"/>
        </w:rPr>
        <w:t>aux fins de l</w:t>
      </w:r>
      <w:r w:rsidR="0070292F" w:rsidRPr="0070292F">
        <w:rPr>
          <w:lang w:val="fr-FR"/>
        </w:rPr>
        <w:t>’</w:t>
      </w:r>
      <w:r w:rsidRPr="0070292F">
        <w:rPr>
          <w:lang w:val="fr-FR"/>
        </w:rPr>
        <w:t>article 5 § 1 c) doit porter sur une « infraction concrète et déterminée »</w:t>
      </w:r>
      <w:r w:rsidRPr="0070292F">
        <w:rPr>
          <w:vertAlign w:val="superscript"/>
          <w:lang w:val="fr-FR"/>
        </w:rPr>
        <w:footnoteReference w:id="52"/>
      </w:r>
      <w:r w:rsidRPr="0070292F">
        <w:rPr>
          <w:lang w:val="fr-FR"/>
        </w:rPr>
        <w:t>, ce qui n</w:t>
      </w:r>
      <w:r w:rsidR="0070292F" w:rsidRPr="0070292F">
        <w:rPr>
          <w:lang w:val="fr-FR"/>
        </w:rPr>
        <w:t>’</w:t>
      </w:r>
      <w:r w:rsidRPr="0070292F">
        <w:rPr>
          <w:lang w:val="fr-FR"/>
        </w:rPr>
        <w:t>était pas le cas dans la loi italienne de 1956.</w:t>
      </w:r>
    </w:p>
    <w:p w:rsidR="003D30C1" w:rsidRPr="0070292F" w:rsidRDefault="003D30C1" w:rsidP="0070292F">
      <w:pPr>
        <w:pStyle w:val="OpiPara"/>
        <w:rPr>
          <w:lang w:val="fr-FR"/>
        </w:rPr>
      </w:pPr>
      <w:r w:rsidRPr="0070292F">
        <w:rPr>
          <w:lang w:val="fr-FR"/>
        </w:rPr>
        <w:t>28.  L</w:t>
      </w:r>
      <w:r w:rsidR="0070292F" w:rsidRPr="0070292F">
        <w:rPr>
          <w:lang w:val="fr-FR"/>
        </w:rPr>
        <w:t>’</w:t>
      </w:r>
      <w:r w:rsidRPr="0070292F">
        <w:rPr>
          <w:lang w:val="fr-FR"/>
        </w:rPr>
        <w:t>article 5 § 1 d) ne s</w:t>
      </w:r>
      <w:r w:rsidR="0070292F" w:rsidRPr="0070292F">
        <w:rPr>
          <w:lang w:val="fr-FR"/>
        </w:rPr>
        <w:t>’</w:t>
      </w:r>
      <w:r w:rsidRPr="0070292F">
        <w:rPr>
          <w:lang w:val="fr-FR"/>
        </w:rPr>
        <w:t>applique pas</w:t>
      </w:r>
      <w:r w:rsidRPr="0070292F">
        <w:rPr>
          <w:vertAlign w:val="superscript"/>
          <w:lang w:val="fr-FR"/>
        </w:rPr>
        <w:footnoteReference w:id="53"/>
      </w:r>
      <w:r w:rsidRPr="0070292F">
        <w:rPr>
          <w:lang w:val="fr-FR"/>
        </w:rPr>
        <w:t>, car le requérant n</w:t>
      </w:r>
      <w:r w:rsidR="0070292F" w:rsidRPr="0070292F">
        <w:rPr>
          <w:lang w:val="fr-FR"/>
        </w:rPr>
        <w:t>’</w:t>
      </w:r>
      <w:r w:rsidRPr="0070292F">
        <w:rPr>
          <w:lang w:val="fr-FR"/>
        </w:rPr>
        <w:t>était pas mineur.</w:t>
      </w:r>
    </w:p>
    <w:p w:rsidR="003D30C1" w:rsidRPr="0070292F" w:rsidRDefault="003D30C1" w:rsidP="0070292F">
      <w:pPr>
        <w:pStyle w:val="OpiPara"/>
        <w:rPr>
          <w:lang w:val="fr-FR"/>
        </w:rPr>
      </w:pPr>
      <w:r w:rsidRPr="0070292F">
        <w:rPr>
          <w:lang w:val="fr-FR"/>
        </w:rPr>
        <w:t>29.  L</w:t>
      </w:r>
      <w:r w:rsidR="0070292F" w:rsidRPr="0070292F">
        <w:rPr>
          <w:lang w:val="fr-FR"/>
        </w:rPr>
        <w:t>’</w:t>
      </w:r>
      <w:r w:rsidRPr="0070292F">
        <w:rPr>
          <w:lang w:val="fr-FR"/>
        </w:rPr>
        <w:t>article 5 § 1 e) ne s</w:t>
      </w:r>
      <w:r w:rsidR="0070292F" w:rsidRPr="0070292F">
        <w:rPr>
          <w:lang w:val="fr-FR"/>
        </w:rPr>
        <w:t>’</w:t>
      </w:r>
      <w:r w:rsidRPr="0070292F">
        <w:rPr>
          <w:lang w:val="fr-FR"/>
        </w:rPr>
        <w:t>applique pas</w:t>
      </w:r>
      <w:r w:rsidRPr="0070292F">
        <w:rPr>
          <w:vertAlign w:val="superscript"/>
          <w:lang w:val="fr-FR"/>
        </w:rPr>
        <w:footnoteReference w:id="54"/>
      </w:r>
      <w:r w:rsidRPr="0070292F">
        <w:rPr>
          <w:lang w:val="fr-FR"/>
        </w:rPr>
        <w:t>, puisque le requérant ne relevait d</w:t>
      </w:r>
      <w:r w:rsidR="0070292F" w:rsidRPr="0070292F">
        <w:rPr>
          <w:lang w:val="fr-FR"/>
        </w:rPr>
        <w:t>’</w:t>
      </w:r>
      <w:r w:rsidRPr="0070292F">
        <w:rPr>
          <w:lang w:val="fr-FR"/>
        </w:rPr>
        <w:t>aucune des catégories de personnes visées par cette disposition.</w:t>
      </w:r>
    </w:p>
    <w:p w:rsidR="003D30C1" w:rsidRPr="0070292F" w:rsidRDefault="003D30C1" w:rsidP="0070292F">
      <w:pPr>
        <w:pStyle w:val="OpiPara"/>
        <w:rPr>
          <w:lang w:val="fr-FR"/>
        </w:rPr>
      </w:pPr>
      <w:r w:rsidRPr="0070292F">
        <w:rPr>
          <w:lang w:val="fr-FR"/>
        </w:rPr>
        <w:t>30.  Enfin, l</w:t>
      </w:r>
      <w:r w:rsidR="0070292F" w:rsidRPr="0070292F">
        <w:rPr>
          <w:lang w:val="fr-FR"/>
        </w:rPr>
        <w:t>’</w:t>
      </w:r>
      <w:r w:rsidRPr="0070292F">
        <w:rPr>
          <w:lang w:val="fr-FR"/>
        </w:rPr>
        <w:t>article 5 § 1 f) n</w:t>
      </w:r>
      <w:r w:rsidR="0070292F" w:rsidRPr="0070292F">
        <w:rPr>
          <w:lang w:val="fr-FR"/>
        </w:rPr>
        <w:t>’</w:t>
      </w:r>
      <w:r w:rsidRPr="0070292F">
        <w:rPr>
          <w:lang w:val="fr-FR"/>
        </w:rPr>
        <w:t>entre pas non plus en ligne de compte ici</w:t>
      </w:r>
      <w:r w:rsidRPr="0070292F">
        <w:rPr>
          <w:vertAlign w:val="superscript"/>
          <w:lang w:val="fr-FR"/>
        </w:rPr>
        <w:footnoteReference w:id="55"/>
      </w:r>
      <w:r w:rsidRPr="0070292F">
        <w:rPr>
          <w:lang w:val="fr-FR"/>
        </w:rPr>
        <w:t>.</w:t>
      </w:r>
    </w:p>
    <w:p w:rsidR="0070292F" w:rsidRPr="0070292F" w:rsidRDefault="003D30C1" w:rsidP="0070292F">
      <w:pPr>
        <w:pStyle w:val="OpiPara"/>
        <w:rPr>
          <w:lang w:val="fr-FR"/>
        </w:rPr>
      </w:pPr>
      <w:r w:rsidRPr="0070292F">
        <w:rPr>
          <w:lang w:val="fr-FR"/>
        </w:rPr>
        <w:t xml:space="preserve">31.  En résumé, </w:t>
      </w:r>
      <w:bookmarkStart w:id="147" w:name="lt_pId238"/>
      <w:r w:rsidRPr="0070292F">
        <w:rPr>
          <w:lang w:val="fr-FR"/>
        </w:rPr>
        <w:t>la privation de liberté du requérant est critiquable pour ces deux raisons principales : premièrement, elle n</w:t>
      </w:r>
      <w:r w:rsidR="0070292F" w:rsidRPr="0070292F">
        <w:rPr>
          <w:lang w:val="fr-FR"/>
        </w:rPr>
        <w:t>’</w:t>
      </w:r>
      <w:r w:rsidRPr="0070292F">
        <w:rPr>
          <w:lang w:val="fr-FR"/>
        </w:rPr>
        <w:t>était pas compatible avec le principe de légalité énoncé à l</w:t>
      </w:r>
      <w:r w:rsidR="0070292F" w:rsidRPr="0070292F">
        <w:rPr>
          <w:lang w:val="fr-FR"/>
        </w:rPr>
        <w:t>’</w:t>
      </w:r>
      <w:r w:rsidRPr="0070292F">
        <w:rPr>
          <w:lang w:val="fr-FR"/>
        </w:rPr>
        <w:t xml:space="preserve">article </w:t>
      </w:r>
      <w:bookmarkStart w:id="148" w:name="lt_pId239"/>
      <w:bookmarkEnd w:id="147"/>
      <w:r w:rsidRPr="0070292F">
        <w:rPr>
          <w:lang w:val="fr-FR"/>
        </w:rPr>
        <w:t>5 § 1 de la Convention ; deuxièmement, elle ne relevait d</w:t>
      </w:r>
      <w:r w:rsidR="0070292F" w:rsidRPr="0070292F">
        <w:rPr>
          <w:lang w:val="fr-FR"/>
        </w:rPr>
        <w:t>’</w:t>
      </w:r>
      <w:r w:rsidRPr="0070292F">
        <w:rPr>
          <w:lang w:val="fr-FR"/>
        </w:rPr>
        <w:t>aucune des exceptions prévues à l</w:t>
      </w:r>
      <w:r w:rsidR="0070292F" w:rsidRPr="0070292F">
        <w:rPr>
          <w:lang w:val="fr-FR"/>
        </w:rPr>
        <w:t>’</w:t>
      </w:r>
      <w:r w:rsidRPr="0070292F">
        <w:rPr>
          <w:lang w:val="fr-FR"/>
        </w:rPr>
        <w:t>article 5 § 1, alinéas a) à f).</w:t>
      </w:r>
      <w:bookmarkStart w:id="149" w:name="lt_pId240"/>
      <w:bookmarkEnd w:id="148"/>
      <w:r w:rsidRPr="0070292F">
        <w:rPr>
          <w:lang w:val="fr-FR"/>
        </w:rPr>
        <w:t xml:space="preserve"> Or l</w:t>
      </w:r>
      <w:r w:rsidR="0070292F" w:rsidRPr="0070292F">
        <w:rPr>
          <w:lang w:val="fr-FR"/>
        </w:rPr>
        <w:t>’</w:t>
      </w:r>
      <w:r w:rsidRPr="0070292F">
        <w:rPr>
          <w:lang w:val="fr-FR"/>
        </w:rPr>
        <w:t xml:space="preserve">arrêt de la Cour ne traite que le premier aspect. À mon avis, il était impératif que la Cour aille plus loin et se penche sur la question délicate de la compatibilité avec la Convention </w:t>
      </w:r>
      <w:bookmarkStart w:id="150" w:name="lt_pId241"/>
      <w:bookmarkEnd w:id="149"/>
      <w:r w:rsidRPr="0070292F">
        <w:rPr>
          <w:lang w:val="fr-FR"/>
        </w:rPr>
        <w:t xml:space="preserve">de la privation du droit à la liberté </w:t>
      </w:r>
      <w:r w:rsidRPr="0070292F">
        <w:rPr>
          <w:i/>
          <w:lang w:val="fr-FR"/>
        </w:rPr>
        <w:t>ante o</w:t>
      </w:r>
      <w:r w:rsidRPr="0070292F">
        <w:rPr>
          <w:lang w:val="fr-FR"/>
        </w:rPr>
        <w:t xml:space="preserve"> </w:t>
      </w:r>
      <w:r w:rsidRPr="0070292F">
        <w:rPr>
          <w:i/>
          <w:lang w:val="fr-FR"/>
        </w:rPr>
        <w:t>praeter delictum</w:t>
      </w:r>
      <w:r w:rsidRPr="0070292F">
        <w:rPr>
          <w:lang w:val="fr-FR"/>
        </w:rPr>
        <w:t xml:space="preserve"> aux fins de la prévention des infractions pénales.</w:t>
      </w:r>
      <w:bookmarkEnd w:id="150"/>
    </w:p>
    <w:p w:rsidR="003D30C1" w:rsidRPr="0070292F" w:rsidRDefault="003D30C1" w:rsidP="0070292F">
      <w:pPr>
        <w:pStyle w:val="OpiPara"/>
        <w:rPr>
          <w:lang w:val="fr-FR"/>
        </w:rPr>
      </w:pPr>
      <w:r w:rsidRPr="0070292F">
        <w:rPr>
          <w:lang w:val="fr-FR"/>
        </w:rPr>
        <w:t>Compte tenu de ce qui précède, la conclusion s</w:t>
      </w:r>
      <w:r w:rsidR="0070292F" w:rsidRPr="0070292F">
        <w:rPr>
          <w:lang w:val="fr-FR"/>
        </w:rPr>
        <w:t>’</w:t>
      </w:r>
      <w:r w:rsidRPr="0070292F">
        <w:rPr>
          <w:lang w:val="fr-FR"/>
        </w:rPr>
        <w:t xml:space="preserve">impose : la Convention ne fournit pas de motif justifiant la privation du droit à la liberté </w:t>
      </w:r>
      <w:r w:rsidRPr="0070292F">
        <w:rPr>
          <w:i/>
          <w:lang w:val="fr-FR"/>
        </w:rPr>
        <w:t>ante o</w:t>
      </w:r>
      <w:r w:rsidRPr="0070292F">
        <w:rPr>
          <w:lang w:val="fr-FR"/>
        </w:rPr>
        <w:t xml:space="preserve"> </w:t>
      </w:r>
      <w:r w:rsidRPr="0070292F">
        <w:rPr>
          <w:i/>
          <w:lang w:val="fr-FR"/>
        </w:rPr>
        <w:t>praeter delictum</w:t>
      </w:r>
      <w:r w:rsidRPr="0070292F">
        <w:rPr>
          <w:lang w:val="fr-FR"/>
        </w:rPr>
        <w:t xml:space="preserve"> aux fins de la prévention des infractions pénales.</w:t>
      </w:r>
    </w:p>
    <w:p w:rsidR="003D30C1" w:rsidRPr="0070292F" w:rsidRDefault="003D30C1" w:rsidP="0070292F">
      <w:pPr>
        <w:pStyle w:val="OpiHA"/>
        <w:rPr>
          <w:lang w:val="fr-FR"/>
        </w:rPr>
      </w:pPr>
      <w:bookmarkStart w:id="151" w:name="_Toc472493592"/>
      <w:bookmarkStart w:id="152" w:name="_Toc475451886"/>
      <w:r w:rsidRPr="0070292F">
        <w:rPr>
          <w:lang w:val="fr-FR"/>
        </w:rPr>
        <w:lastRenderedPageBreak/>
        <w:t>Deuxième partie (§§ 32-58)</w:t>
      </w:r>
      <w:bookmarkEnd w:id="151"/>
      <w:bookmarkEnd w:id="152"/>
    </w:p>
    <w:p w:rsidR="003D30C1" w:rsidRPr="0070292F" w:rsidRDefault="003D30C1" w:rsidP="0070292F">
      <w:pPr>
        <w:pStyle w:val="OpiHA"/>
        <w:rPr>
          <w:lang w:val="fr-FR"/>
        </w:rPr>
      </w:pPr>
      <w:bookmarkStart w:id="153" w:name="_Toc472493593"/>
      <w:bookmarkStart w:id="154" w:name="_Toc475451887"/>
      <w:r w:rsidRPr="0070292F">
        <w:rPr>
          <w:lang w:val="fr-FR"/>
        </w:rPr>
        <w:t>IV.  Garanties procédurales relatives aux mesures de prévention (§§ 32</w:t>
      </w:r>
      <w:r w:rsidRPr="0070292F">
        <w:rPr>
          <w:lang w:val="fr-FR"/>
        </w:rPr>
        <w:noBreakHyphen/>
        <w:t>48)</w:t>
      </w:r>
      <w:bookmarkEnd w:id="153"/>
      <w:bookmarkEnd w:id="154"/>
    </w:p>
    <w:p w:rsidR="003D30C1" w:rsidRPr="0070292F" w:rsidRDefault="003D30C1" w:rsidP="0070292F">
      <w:pPr>
        <w:pStyle w:val="OpiH1"/>
        <w:rPr>
          <w:lang w:val="fr-FR"/>
        </w:rPr>
      </w:pPr>
      <w:bookmarkStart w:id="155" w:name="_Toc472493594"/>
      <w:bookmarkStart w:id="156" w:name="_Toc475451888"/>
      <w:r w:rsidRPr="0070292F">
        <w:rPr>
          <w:lang w:val="fr-FR"/>
        </w:rPr>
        <w:t>A.  Applicabilité de l</w:t>
      </w:r>
      <w:r w:rsidR="0070292F" w:rsidRPr="0070292F">
        <w:rPr>
          <w:lang w:val="fr-FR"/>
        </w:rPr>
        <w:t>’</w:t>
      </w:r>
      <w:r w:rsidRPr="0070292F">
        <w:rPr>
          <w:lang w:val="fr-FR"/>
        </w:rPr>
        <w:t>article 6 § 1 (volet pénal) de la Convention (§§ 32-43)</w:t>
      </w:r>
      <w:bookmarkEnd w:id="155"/>
      <w:bookmarkEnd w:id="156"/>
    </w:p>
    <w:p w:rsidR="003D30C1" w:rsidRPr="0070292F" w:rsidRDefault="003D30C1" w:rsidP="0070292F">
      <w:pPr>
        <w:pStyle w:val="OpiPara"/>
        <w:rPr>
          <w:lang w:val="fr-FR"/>
        </w:rPr>
      </w:pPr>
      <w:r w:rsidRPr="0070292F">
        <w:rPr>
          <w:lang w:val="fr-FR"/>
        </w:rPr>
        <w:t xml:space="preserve">32.  Selon la jurisprudence </w:t>
      </w:r>
      <w:r w:rsidRPr="0070292F">
        <w:rPr>
          <w:i/>
          <w:lang w:val="fr-FR"/>
        </w:rPr>
        <w:t>Engel et autres</w:t>
      </w:r>
      <w:r w:rsidRPr="0070292F">
        <w:rPr>
          <w:vertAlign w:val="superscript"/>
          <w:lang w:val="fr-FR"/>
        </w:rPr>
        <w:footnoteReference w:id="56"/>
      </w:r>
      <w:r w:rsidRPr="0070292F">
        <w:rPr>
          <w:lang w:val="fr-FR"/>
        </w:rPr>
        <w:t>, les critères pertinents dans la détermination de l</w:t>
      </w:r>
      <w:r w:rsidR="0070292F" w:rsidRPr="0070292F">
        <w:rPr>
          <w:lang w:val="fr-FR"/>
        </w:rPr>
        <w:t>’</w:t>
      </w:r>
      <w:r w:rsidRPr="0070292F">
        <w:rPr>
          <w:lang w:val="fr-FR"/>
        </w:rPr>
        <w:t>applicabilité du volet pénal de l</w:t>
      </w:r>
      <w:r w:rsidR="0070292F" w:rsidRPr="0070292F">
        <w:rPr>
          <w:lang w:val="fr-FR"/>
        </w:rPr>
        <w:t>’</w:t>
      </w:r>
      <w:r w:rsidRPr="0070292F">
        <w:rPr>
          <w:lang w:val="fr-FR"/>
        </w:rPr>
        <w:t>article 6 sont la qualification juridique de l</w:t>
      </w:r>
      <w:r w:rsidR="0070292F" w:rsidRPr="0070292F">
        <w:rPr>
          <w:lang w:val="fr-FR"/>
        </w:rPr>
        <w:t>’</w:t>
      </w:r>
      <w:r w:rsidRPr="0070292F">
        <w:rPr>
          <w:lang w:val="fr-FR"/>
        </w:rPr>
        <w:t>infraction en question en droit interne, la nature même de l</w:t>
      </w:r>
      <w:r w:rsidR="0070292F" w:rsidRPr="0070292F">
        <w:rPr>
          <w:lang w:val="fr-FR"/>
        </w:rPr>
        <w:t>’</w:t>
      </w:r>
      <w:r w:rsidRPr="0070292F">
        <w:rPr>
          <w:lang w:val="fr-FR"/>
        </w:rPr>
        <w:t>infraction et la nature et le degré de sévérité de la sanction dont l</w:t>
      </w:r>
      <w:r w:rsidR="0070292F" w:rsidRPr="0070292F">
        <w:rPr>
          <w:lang w:val="fr-FR"/>
        </w:rPr>
        <w:t>’</w:t>
      </w:r>
      <w:r w:rsidRPr="0070292F">
        <w:rPr>
          <w:lang w:val="fr-FR"/>
        </w:rPr>
        <w:t xml:space="preserve">intéressé est passible. </w:t>
      </w:r>
      <w:bookmarkStart w:id="157" w:name="lt_pId251"/>
      <w:r w:rsidRPr="0070292F">
        <w:rPr>
          <w:lang w:val="fr-FR"/>
        </w:rPr>
        <w:t>Ces critères sont par ailleurs alternatifs et non cumulatifs :</w:t>
      </w:r>
      <w:bookmarkEnd w:id="157"/>
      <w:r w:rsidRPr="0070292F">
        <w:rPr>
          <w:lang w:val="fr-FR"/>
        </w:rPr>
        <w:t xml:space="preserve"> </w:t>
      </w:r>
      <w:bookmarkStart w:id="158" w:name="lt_pId252"/>
      <w:r w:rsidRPr="0070292F">
        <w:rPr>
          <w:lang w:val="fr-FR"/>
        </w:rPr>
        <w:t>pour que l</w:t>
      </w:r>
      <w:r w:rsidR="0070292F" w:rsidRPr="0070292F">
        <w:rPr>
          <w:lang w:val="fr-FR"/>
        </w:rPr>
        <w:t>’</w:t>
      </w:r>
      <w:r w:rsidRPr="0070292F">
        <w:rPr>
          <w:lang w:val="fr-FR"/>
        </w:rPr>
        <w:t>article 6 s</w:t>
      </w:r>
      <w:r w:rsidR="0070292F" w:rsidRPr="0070292F">
        <w:rPr>
          <w:lang w:val="fr-FR"/>
        </w:rPr>
        <w:t>’</w:t>
      </w:r>
      <w:r w:rsidRPr="0070292F">
        <w:rPr>
          <w:lang w:val="fr-FR"/>
        </w:rPr>
        <w:t>applique au titre des mots « accusation en matière pénale », il suffit que l</w:t>
      </w:r>
      <w:r w:rsidR="0070292F" w:rsidRPr="0070292F">
        <w:rPr>
          <w:lang w:val="fr-FR"/>
        </w:rPr>
        <w:t>’</w:t>
      </w:r>
      <w:r w:rsidRPr="0070292F">
        <w:rPr>
          <w:lang w:val="fr-FR"/>
        </w:rPr>
        <w:t>infraction en cause soit, par nature, « pénale » au regard de la Convention, ou ait exposé l</w:t>
      </w:r>
      <w:r w:rsidR="0070292F" w:rsidRPr="0070292F">
        <w:rPr>
          <w:lang w:val="fr-FR"/>
        </w:rPr>
        <w:t>’</w:t>
      </w:r>
      <w:r w:rsidRPr="0070292F">
        <w:rPr>
          <w:lang w:val="fr-FR"/>
        </w:rPr>
        <w:t>intéressé à une sanction qui, par sa nature et son degré de gravité, ressortit en général à la « matière pénale ».</w:t>
      </w:r>
      <w:bookmarkEnd w:id="158"/>
      <w:r w:rsidRPr="0070292F">
        <w:rPr>
          <w:lang w:val="fr-FR"/>
        </w:rPr>
        <w:t xml:space="preserve"> </w:t>
      </w:r>
      <w:bookmarkStart w:id="159" w:name="lt_pId253"/>
      <w:r w:rsidRPr="0070292F">
        <w:rPr>
          <w:lang w:val="fr-FR"/>
        </w:rPr>
        <w:t>Cela n</w:t>
      </w:r>
      <w:r w:rsidR="0070292F" w:rsidRPr="0070292F">
        <w:rPr>
          <w:lang w:val="fr-FR"/>
        </w:rPr>
        <w:t>’</w:t>
      </w:r>
      <w:r w:rsidRPr="0070292F">
        <w:rPr>
          <w:lang w:val="fr-FR"/>
        </w:rPr>
        <w:t>empêche pas l</w:t>
      </w:r>
      <w:r w:rsidR="0070292F" w:rsidRPr="0070292F">
        <w:rPr>
          <w:lang w:val="fr-FR"/>
        </w:rPr>
        <w:t>’</w:t>
      </w:r>
      <w:r w:rsidRPr="0070292F">
        <w:rPr>
          <w:lang w:val="fr-FR"/>
        </w:rPr>
        <w:t>adoption d</w:t>
      </w:r>
      <w:r w:rsidR="0070292F" w:rsidRPr="0070292F">
        <w:rPr>
          <w:lang w:val="fr-FR"/>
        </w:rPr>
        <w:t>’</w:t>
      </w:r>
      <w:r w:rsidRPr="0070292F">
        <w:rPr>
          <w:lang w:val="fr-FR"/>
        </w:rPr>
        <w:t>une approche cumulative si l</w:t>
      </w:r>
      <w:r w:rsidR="0070292F" w:rsidRPr="0070292F">
        <w:rPr>
          <w:lang w:val="fr-FR"/>
        </w:rPr>
        <w:t>’</w:t>
      </w:r>
      <w:r w:rsidRPr="0070292F">
        <w:rPr>
          <w:lang w:val="fr-FR"/>
        </w:rPr>
        <w:t>analyse séparée de chaque critère ne permet pas d</w:t>
      </w:r>
      <w:r w:rsidR="0070292F" w:rsidRPr="0070292F">
        <w:rPr>
          <w:lang w:val="fr-FR"/>
        </w:rPr>
        <w:t>’</w:t>
      </w:r>
      <w:r w:rsidRPr="0070292F">
        <w:rPr>
          <w:lang w:val="fr-FR"/>
        </w:rPr>
        <w:t>aboutir à une conclusion claire quant à l</w:t>
      </w:r>
      <w:r w:rsidR="0070292F" w:rsidRPr="0070292F">
        <w:rPr>
          <w:lang w:val="fr-FR"/>
        </w:rPr>
        <w:t>’</w:t>
      </w:r>
      <w:r w:rsidRPr="0070292F">
        <w:rPr>
          <w:lang w:val="fr-FR"/>
        </w:rPr>
        <w:t>existence d</w:t>
      </w:r>
      <w:r w:rsidR="0070292F" w:rsidRPr="0070292F">
        <w:rPr>
          <w:lang w:val="fr-FR"/>
        </w:rPr>
        <w:t>’</w:t>
      </w:r>
      <w:r w:rsidRPr="0070292F">
        <w:rPr>
          <w:lang w:val="fr-FR"/>
        </w:rPr>
        <w:t>une « accusation en matière pénale »</w:t>
      </w:r>
      <w:bookmarkEnd w:id="159"/>
      <w:r w:rsidRPr="0070292F">
        <w:rPr>
          <w:vertAlign w:val="superscript"/>
          <w:lang w:val="fr-FR"/>
        </w:rPr>
        <w:footnoteReference w:id="57"/>
      </w:r>
      <w:r w:rsidRPr="0070292F">
        <w:rPr>
          <w:lang w:val="fr-FR"/>
        </w:rPr>
        <w:t>.</w:t>
      </w:r>
    </w:p>
    <w:p w:rsidR="003D30C1" w:rsidRPr="0070292F" w:rsidRDefault="003D30C1" w:rsidP="0070292F">
      <w:pPr>
        <w:pStyle w:val="OpiPara"/>
        <w:rPr>
          <w:lang w:val="fr-FR"/>
        </w:rPr>
      </w:pPr>
      <w:r w:rsidRPr="0070292F">
        <w:rPr>
          <w:lang w:val="fr-FR"/>
        </w:rPr>
        <w:t>33.  </w:t>
      </w:r>
      <w:bookmarkStart w:id="160" w:name="lt_pId255"/>
      <w:r w:rsidRPr="0070292F">
        <w:rPr>
          <w:lang w:val="fr-FR"/>
        </w:rPr>
        <w:t>Un certain nombre d</w:t>
      </w:r>
      <w:r w:rsidR="0070292F" w:rsidRPr="0070292F">
        <w:rPr>
          <w:lang w:val="fr-FR"/>
        </w:rPr>
        <w:t>’</w:t>
      </w:r>
      <w:r w:rsidRPr="0070292F">
        <w:rPr>
          <w:lang w:val="fr-FR"/>
        </w:rPr>
        <w:t>arguments étayent le constat selon lequel les différentes mesures de prévention fondées sur la loi de 1956 sont des mesures pénales au regard des critères susmentionnés.</w:t>
      </w:r>
      <w:bookmarkEnd w:id="160"/>
    </w:p>
    <w:p w:rsidR="003D30C1" w:rsidRPr="0070292F" w:rsidRDefault="003D30C1" w:rsidP="0070292F">
      <w:pPr>
        <w:pStyle w:val="OpiPara"/>
        <w:rPr>
          <w:lang w:val="fr-FR"/>
        </w:rPr>
      </w:pPr>
      <w:bookmarkStart w:id="161" w:name="lt_pId256"/>
      <w:r w:rsidRPr="0070292F">
        <w:rPr>
          <w:lang w:val="fr-FR"/>
        </w:rPr>
        <w:t>Premièrement, les mesures de prévention personnelles prévues par la loi de 1956 reposaient sur une « accusation en matière pénale » au sens de la Convention.</w:t>
      </w:r>
      <w:bookmarkEnd w:id="161"/>
      <w:r w:rsidRPr="0070292F">
        <w:rPr>
          <w:lang w:val="fr-FR"/>
        </w:rPr>
        <w:t xml:space="preserve"> </w:t>
      </w:r>
      <w:bookmarkStart w:id="162" w:name="lt_pId257"/>
      <w:r w:rsidRPr="0070292F">
        <w:rPr>
          <w:lang w:val="fr-FR"/>
        </w:rPr>
        <w:t>L</w:t>
      </w:r>
      <w:r w:rsidR="0070292F" w:rsidRPr="0070292F">
        <w:rPr>
          <w:lang w:val="fr-FR"/>
        </w:rPr>
        <w:t>’</w:t>
      </w:r>
      <w:r w:rsidRPr="0070292F">
        <w:rPr>
          <w:lang w:val="fr-FR"/>
        </w:rPr>
        <w:t>accusation consistait à imputer à l</w:t>
      </w:r>
      <w:r w:rsidR="0070292F" w:rsidRPr="0070292F">
        <w:rPr>
          <w:lang w:val="fr-FR"/>
        </w:rPr>
        <w:t>’</w:t>
      </w:r>
      <w:r w:rsidRPr="0070292F">
        <w:rPr>
          <w:lang w:val="fr-FR"/>
        </w:rPr>
        <w:t>intéressé une conduite dangereuse ou une personnalité dangereuse faisant soupçonner un avenir criminel.</w:t>
      </w:r>
      <w:bookmarkEnd w:id="162"/>
      <w:r w:rsidRPr="0070292F">
        <w:rPr>
          <w:lang w:val="fr-FR"/>
        </w:rPr>
        <w:t xml:space="preserve"> Comme la Cour l</w:t>
      </w:r>
      <w:r w:rsidR="0070292F" w:rsidRPr="0070292F">
        <w:rPr>
          <w:lang w:val="fr-FR"/>
        </w:rPr>
        <w:t>’</w:t>
      </w:r>
      <w:r w:rsidRPr="0070292F">
        <w:rPr>
          <w:lang w:val="fr-FR"/>
        </w:rPr>
        <w:t xml:space="preserve">a souligné dans </w:t>
      </w:r>
      <w:r w:rsidRPr="0070292F">
        <w:rPr>
          <w:i/>
          <w:lang w:val="fr-FR"/>
        </w:rPr>
        <w:t>Deweer</w:t>
      </w:r>
      <w:r w:rsidRPr="0070292F">
        <w:rPr>
          <w:vertAlign w:val="superscript"/>
          <w:lang w:val="fr-FR"/>
        </w:rPr>
        <w:footnoteReference w:id="58"/>
      </w:r>
      <w:r w:rsidRPr="0070292F">
        <w:rPr>
          <w:lang w:val="fr-FR"/>
        </w:rPr>
        <w:t>, elle doit vérifier s</w:t>
      </w:r>
      <w:r w:rsidR="0070292F" w:rsidRPr="0070292F">
        <w:rPr>
          <w:lang w:val="fr-FR"/>
        </w:rPr>
        <w:t>’</w:t>
      </w:r>
      <w:r w:rsidRPr="0070292F">
        <w:rPr>
          <w:lang w:val="fr-FR"/>
        </w:rPr>
        <w:t>il y a eu des « répercussions importantes sur la situation [du suspect] ». Cela correspond parfaitement à la situation visée par la loi de 1956, car la personne concernée par une telle procédure devenait un « suspect » (voir les termes correspondants, à l</w:t>
      </w:r>
      <w:r w:rsidR="0070292F" w:rsidRPr="0070292F">
        <w:rPr>
          <w:lang w:val="fr-FR"/>
        </w:rPr>
        <w:t>’</w:t>
      </w:r>
      <w:r w:rsidRPr="0070292F">
        <w:rPr>
          <w:lang w:val="fr-FR"/>
        </w:rPr>
        <w:t xml:space="preserve">article 4 de la loi : </w:t>
      </w:r>
      <w:bookmarkStart w:id="163" w:name="lt_pId260"/>
      <w:r w:rsidRPr="0070292F">
        <w:rPr>
          <w:i/>
          <w:lang w:val="fr-FR"/>
        </w:rPr>
        <w:t>sospetti </w:t>
      </w:r>
      <w:r w:rsidRPr="0070292F">
        <w:rPr>
          <w:lang w:val="fr-FR"/>
        </w:rPr>
        <w:t>;</w:t>
      </w:r>
      <w:bookmarkEnd w:id="163"/>
      <w:r w:rsidRPr="0070292F">
        <w:rPr>
          <w:lang w:val="fr-FR"/>
        </w:rPr>
        <w:t xml:space="preserve"> </w:t>
      </w:r>
      <w:bookmarkStart w:id="164" w:name="lt_pId261"/>
      <w:r w:rsidRPr="0070292F">
        <w:rPr>
          <w:lang w:val="fr-FR"/>
        </w:rPr>
        <w:t>à l</w:t>
      </w:r>
      <w:r w:rsidR="0070292F" w:rsidRPr="0070292F">
        <w:rPr>
          <w:lang w:val="fr-FR"/>
        </w:rPr>
        <w:t>’</w:t>
      </w:r>
      <w:r w:rsidRPr="0070292F">
        <w:rPr>
          <w:lang w:val="fr-FR"/>
        </w:rPr>
        <w:t>article 5</w:t>
      </w:r>
      <w:bookmarkEnd w:id="164"/>
      <w:r w:rsidRPr="0070292F">
        <w:rPr>
          <w:lang w:val="fr-FR"/>
        </w:rPr>
        <w:t xml:space="preserve"> : </w:t>
      </w:r>
      <w:bookmarkStart w:id="165" w:name="lt_pId262"/>
      <w:r w:rsidRPr="0070292F">
        <w:rPr>
          <w:i/>
          <w:lang w:val="fr-FR"/>
        </w:rPr>
        <w:t>persona sospetta di vivere, di non dare ragione di sospetti</w:t>
      </w:r>
      <w:r w:rsidRPr="0070292F">
        <w:rPr>
          <w:lang w:val="fr-FR"/>
        </w:rPr>
        <w:t>).</w:t>
      </w:r>
      <w:bookmarkEnd w:id="165"/>
    </w:p>
    <w:p w:rsidR="003D30C1" w:rsidRPr="0070292F" w:rsidRDefault="003D30C1" w:rsidP="0070292F">
      <w:pPr>
        <w:pStyle w:val="OpiPara"/>
        <w:rPr>
          <w:lang w:val="fr-FR"/>
        </w:rPr>
      </w:pPr>
      <w:r w:rsidRPr="0070292F">
        <w:rPr>
          <w:lang w:val="fr-FR"/>
        </w:rPr>
        <w:t xml:space="preserve">34.  Deuxièmement, </w:t>
      </w:r>
      <w:bookmarkStart w:id="166" w:name="lt_pId264"/>
      <w:r w:rsidRPr="0070292F">
        <w:rPr>
          <w:lang w:val="fr-FR"/>
        </w:rPr>
        <w:t>dès l</w:t>
      </w:r>
      <w:r w:rsidR="0070292F" w:rsidRPr="0070292F">
        <w:rPr>
          <w:lang w:val="fr-FR"/>
        </w:rPr>
        <w:t>’</w:t>
      </w:r>
      <w:r w:rsidRPr="0070292F">
        <w:rPr>
          <w:lang w:val="fr-FR"/>
        </w:rPr>
        <w:t>ouverture d</w:t>
      </w:r>
      <w:r w:rsidR="0070292F" w:rsidRPr="0070292F">
        <w:rPr>
          <w:lang w:val="fr-FR"/>
        </w:rPr>
        <w:t>’</w:t>
      </w:r>
      <w:r w:rsidRPr="0070292F">
        <w:rPr>
          <w:lang w:val="fr-FR"/>
        </w:rPr>
        <w:t>une procédure fondée sur la loi de 1956, le suspect pouvait être soumis à des restrictions provisoires de ses droits en vertu de l</w:t>
      </w:r>
      <w:r w:rsidR="0070292F" w:rsidRPr="0070292F">
        <w:rPr>
          <w:lang w:val="fr-FR"/>
        </w:rPr>
        <w:t>’</w:t>
      </w:r>
      <w:r w:rsidRPr="0070292F">
        <w:rPr>
          <w:lang w:val="fr-FR"/>
        </w:rPr>
        <w:t>article 6 de ladite loi</w:t>
      </w:r>
      <w:bookmarkEnd w:id="166"/>
      <w:r w:rsidRPr="0070292F">
        <w:rPr>
          <w:lang w:val="fr-FR"/>
        </w:rPr>
        <w:t>.</w:t>
      </w:r>
    </w:p>
    <w:p w:rsidR="003D30C1" w:rsidRPr="0070292F" w:rsidRDefault="003D30C1" w:rsidP="0070292F">
      <w:pPr>
        <w:pStyle w:val="OpiPara"/>
        <w:rPr>
          <w:lang w:val="fr-FR"/>
        </w:rPr>
      </w:pPr>
      <w:r w:rsidRPr="0070292F">
        <w:rPr>
          <w:lang w:val="fr-FR"/>
        </w:rPr>
        <w:t xml:space="preserve">35.  Troisièmement, </w:t>
      </w:r>
      <w:bookmarkStart w:id="167" w:name="lt_pId266"/>
      <w:r w:rsidRPr="0070292F">
        <w:rPr>
          <w:lang w:val="fr-FR"/>
        </w:rPr>
        <w:t xml:space="preserve">si le soupçon était confirmé par un jugement, le suspect était soumis à des mesures particulièrement restrictives touchant un </w:t>
      </w:r>
      <w:r w:rsidRPr="0070292F">
        <w:rPr>
          <w:lang w:val="fr-FR"/>
        </w:rPr>
        <w:lastRenderedPageBreak/>
        <w:t>large éventail de libertés fondamentales, pour une période qui pouvait aller jusqu</w:t>
      </w:r>
      <w:r w:rsidR="0070292F" w:rsidRPr="0070292F">
        <w:rPr>
          <w:lang w:val="fr-FR"/>
        </w:rPr>
        <w:t>’</w:t>
      </w:r>
      <w:r w:rsidRPr="0070292F">
        <w:rPr>
          <w:lang w:val="fr-FR"/>
        </w:rPr>
        <w:t>à cinq ans.</w:t>
      </w:r>
      <w:bookmarkEnd w:id="167"/>
      <w:r w:rsidRPr="0070292F">
        <w:rPr>
          <w:lang w:val="fr-FR"/>
        </w:rPr>
        <w:t xml:space="preserve"> </w:t>
      </w:r>
      <w:bookmarkStart w:id="168" w:name="lt_pId267"/>
      <w:r w:rsidRPr="0070292F">
        <w:rPr>
          <w:lang w:val="fr-FR"/>
        </w:rPr>
        <w:t>En vertu de l</w:t>
      </w:r>
      <w:r w:rsidR="0070292F" w:rsidRPr="0070292F">
        <w:rPr>
          <w:lang w:val="fr-FR"/>
        </w:rPr>
        <w:t>’</w:t>
      </w:r>
      <w:r w:rsidRPr="0070292F">
        <w:rPr>
          <w:lang w:val="fr-FR"/>
        </w:rPr>
        <w:t>article 11 de la loi de 1956, cette limite pouvait être étendue si le suspect commettait un délit pendant la période de surveillance spéciale.</w:t>
      </w:r>
      <w:bookmarkEnd w:id="168"/>
      <w:r w:rsidRPr="0070292F">
        <w:rPr>
          <w:lang w:val="fr-FR"/>
        </w:rPr>
        <w:t xml:space="preserve"> </w:t>
      </w:r>
      <w:bookmarkStart w:id="169" w:name="lt_pId268"/>
      <w:r w:rsidRPr="0070292F">
        <w:rPr>
          <w:lang w:val="fr-FR"/>
        </w:rPr>
        <w:t>La sévérité de ces mesures est indiscutable.</w:t>
      </w:r>
      <w:bookmarkEnd w:id="169"/>
    </w:p>
    <w:p w:rsidR="003D30C1" w:rsidRPr="0070292F" w:rsidRDefault="003D30C1" w:rsidP="0070292F">
      <w:pPr>
        <w:pStyle w:val="OpiPara"/>
        <w:rPr>
          <w:lang w:val="fr-FR"/>
        </w:rPr>
      </w:pPr>
      <w:r w:rsidRPr="0070292F">
        <w:rPr>
          <w:lang w:val="fr-FR"/>
        </w:rPr>
        <w:t>36.  Quatrièmement, en principe la Cour constitutionnelle elle-même considère les mesures de prévention prévues par la loi de 1956 comme étant de nature pénale, au même titre que les mesures de sûreté. Il y a longtemps, dans son arrêt n</w:t>
      </w:r>
      <w:r w:rsidRPr="0070292F">
        <w:rPr>
          <w:vertAlign w:val="superscript"/>
          <w:lang w:val="fr-FR"/>
        </w:rPr>
        <w:t>o</w:t>
      </w:r>
      <w:r w:rsidRPr="0070292F">
        <w:rPr>
          <w:lang w:val="fr-FR"/>
        </w:rPr>
        <w:t xml:space="preserve"> 68 de 1964, la haute juridiction a relevé « </w:t>
      </w:r>
      <w:r w:rsidRPr="0070292F">
        <w:rPr>
          <w:i/>
          <w:lang w:val="fr-FR"/>
        </w:rPr>
        <w:t>il fondamento commune e la commune finalità </w:t>
      </w:r>
      <w:r w:rsidRPr="0070292F">
        <w:rPr>
          <w:lang w:val="fr-FR"/>
        </w:rPr>
        <w:t>» des mesures de sûreté (</w:t>
      </w:r>
      <w:r w:rsidRPr="0070292F">
        <w:rPr>
          <w:i/>
          <w:lang w:val="fr-FR"/>
        </w:rPr>
        <w:t>misure di sicurezza</w:t>
      </w:r>
      <w:r w:rsidRPr="0070292F">
        <w:rPr>
          <w:lang w:val="fr-FR"/>
        </w:rPr>
        <w:t>) et des mesures de prévention (</w:t>
      </w:r>
      <w:r w:rsidRPr="0070292F">
        <w:rPr>
          <w:i/>
          <w:lang w:val="fr-FR"/>
        </w:rPr>
        <w:t>misure di prevenzione</w:t>
      </w:r>
      <w:r w:rsidRPr="0070292F">
        <w:rPr>
          <w:lang w:val="fr-FR"/>
        </w:rPr>
        <w:t>)</w:t>
      </w:r>
      <w:r w:rsidRPr="0070292F">
        <w:rPr>
          <w:vertAlign w:val="superscript"/>
          <w:lang w:val="fr-FR"/>
        </w:rPr>
        <w:footnoteReference w:id="59"/>
      </w:r>
      <w:r w:rsidRPr="0070292F">
        <w:rPr>
          <w:lang w:val="fr-FR"/>
        </w:rPr>
        <w:t>. Dans son arrêt n</w:t>
      </w:r>
      <w:r w:rsidRPr="0070292F">
        <w:rPr>
          <w:vertAlign w:val="superscript"/>
          <w:lang w:val="fr-FR"/>
        </w:rPr>
        <w:t>o</w:t>
      </w:r>
      <w:r w:rsidRPr="0070292F">
        <w:rPr>
          <w:lang w:val="fr-FR"/>
        </w:rPr>
        <w:t xml:space="preserve"> 177 de 1980, la Cour constitutionnelle a assimilé les mesures de prévention personnelles fondées sur la loi de 1956 aux mesures de sûreté prévues par le code pénal, comme s</w:t>
      </w:r>
      <w:r w:rsidR="0070292F" w:rsidRPr="0070292F">
        <w:rPr>
          <w:lang w:val="fr-FR"/>
        </w:rPr>
        <w:t>’</w:t>
      </w:r>
      <w:r w:rsidRPr="0070292F">
        <w:rPr>
          <w:lang w:val="fr-FR"/>
        </w:rPr>
        <w:t>il s</w:t>
      </w:r>
      <w:r w:rsidR="0070292F" w:rsidRPr="0070292F">
        <w:rPr>
          <w:lang w:val="fr-FR"/>
        </w:rPr>
        <w:t>’</w:t>
      </w:r>
      <w:r w:rsidRPr="0070292F">
        <w:rPr>
          <w:lang w:val="fr-FR"/>
        </w:rPr>
        <w:t>agissait de « deux espèces d</w:t>
      </w:r>
      <w:r w:rsidR="0070292F" w:rsidRPr="0070292F">
        <w:rPr>
          <w:lang w:val="fr-FR"/>
        </w:rPr>
        <w:t>’</w:t>
      </w:r>
      <w:r w:rsidRPr="0070292F">
        <w:rPr>
          <w:lang w:val="fr-FR"/>
        </w:rPr>
        <w:t>un même genre »</w:t>
      </w:r>
      <w:r w:rsidRPr="0070292F">
        <w:rPr>
          <w:vertAlign w:val="superscript"/>
          <w:lang w:val="fr-FR"/>
        </w:rPr>
        <w:footnoteReference w:id="60"/>
      </w:r>
      <w:r w:rsidRPr="0070292F">
        <w:rPr>
          <w:lang w:val="fr-FR"/>
        </w:rPr>
        <w:t>. En conséquence, elle leur applique les garanties des principes de légalité et de présomption d</w:t>
      </w:r>
      <w:r w:rsidR="0070292F" w:rsidRPr="0070292F">
        <w:rPr>
          <w:lang w:val="fr-FR"/>
        </w:rPr>
        <w:t>’</w:t>
      </w:r>
      <w:r w:rsidRPr="0070292F">
        <w:rPr>
          <w:lang w:val="fr-FR"/>
        </w:rPr>
        <w:t>innocence</w:t>
      </w:r>
      <w:r w:rsidRPr="0070292F">
        <w:rPr>
          <w:vertAlign w:val="superscript"/>
          <w:lang w:val="fr-FR"/>
        </w:rPr>
        <w:footnoteReference w:id="61"/>
      </w:r>
      <w:r w:rsidRPr="0070292F">
        <w:rPr>
          <w:lang w:val="fr-FR"/>
        </w:rPr>
        <w:t>. Cependant, à l</w:t>
      </w:r>
      <w:r w:rsidR="0070292F" w:rsidRPr="0070292F">
        <w:rPr>
          <w:lang w:val="fr-FR"/>
        </w:rPr>
        <w:t>’</w:t>
      </w:r>
      <w:r w:rsidRPr="0070292F">
        <w:rPr>
          <w:lang w:val="fr-FR"/>
        </w:rPr>
        <w:t>instar des mesures de sûreté, les mesures de prévention ne sont pas limitées par le principe d</w:t>
      </w:r>
      <w:r w:rsidR="0070292F" w:rsidRPr="0070292F">
        <w:rPr>
          <w:lang w:val="fr-FR"/>
        </w:rPr>
        <w:t>’</w:t>
      </w:r>
      <w:r w:rsidRPr="0070292F">
        <w:rPr>
          <w:lang w:val="fr-FR"/>
        </w:rPr>
        <w:t>interdiction des lois rétroactives</w:t>
      </w:r>
      <w:r w:rsidRPr="0070292F">
        <w:rPr>
          <w:vertAlign w:val="superscript"/>
          <w:lang w:val="fr-FR"/>
        </w:rPr>
        <w:footnoteReference w:id="62"/>
      </w:r>
      <w:r w:rsidRPr="0070292F">
        <w:rPr>
          <w:lang w:val="fr-FR"/>
        </w:rPr>
        <w:t>.</w:t>
      </w:r>
    </w:p>
    <w:p w:rsidR="003D30C1" w:rsidRPr="0070292F" w:rsidRDefault="003D30C1" w:rsidP="0070292F">
      <w:pPr>
        <w:pStyle w:val="OpiPara"/>
        <w:rPr>
          <w:lang w:val="fr-FR"/>
        </w:rPr>
      </w:pPr>
      <w:r w:rsidRPr="0070292F">
        <w:rPr>
          <w:lang w:val="fr-FR"/>
        </w:rPr>
        <w:t xml:space="preserve">37.  Cinquièmement, ces mesures avaient </w:t>
      </w:r>
      <w:bookmarkStart w:id="170" w:name="lt_pId276"/>
      <w:r w:rsidRPr="0070292F">
        <w:rPr>
          <w:lang w:val="fr-FR"/>
        </w:rPr>
        <w:t>un but préventif général et spécial, comme toute sanction pénale classique.</w:t>
      </w:r>
      <w:bookmarkEnd w:id="170"/>
      <w:r w:rsidRPr="0070292F">
        <w:rPr>
          <w:lang w:val="fr-FR"/>
        </w:rPr>
        <w:t xml:space="preserve"> </w:t>
      </w:r>
      <w:bookmarkStart w:id="171" w:name="lt_pId277"/>
      <w:r w:rsidRPr="0070292F">
        <w:rPr>
          <w:lang w:val="fr-FR"/>
        </w:rPr>
        <w:t>En réalité, elles reposaient également sur le caractère socialement répréhensible de la conduite du suspect, facteur qui se trouve aussi à la base de l</w:t>
      </w:r>
      <w:r w:rsidR="0070292F" w:rsidRPr="0070292F">
        <w:rPr>
          <w:lang w:val="fr-FR"/>
        </w:rPr>
        <w:t>’</w:t>
      </w:r>
      <w:r w:rsidRPr="0070292F">
        <w:rPr>
          <w:lang w:val="fr-FR"/>
        </w:rPr>
        <w:t>application de toute sanction pénale.</w:t>
      </w:r>
      <w:bookmarkEnd w:id="171"/>
      <w:r w:rsidRPr="0070292F">
        <w:rPr>
          <w:lang w:val="fr-FR"/>
        </w:rPr>
        <w:t xml:space="preserve"> </w:t>
      </w:r>
      <w:bookmarkStart w:id="172" w:name="lt_pId278"/>
      <w:r w:rsidRPr="0070292F">
        <w:rPr>
          <w:lang w:val="fr-FR"/>
        </w:rPr>
        <w:t>La doctrine italienne a toujours souligné l</w:t>
      </w:r>
      <w:r w:rsidR="0070292F" w:rsidRPr="0070292F">
        <w:rPr>
          <w:lang w:val="fr-FR"/>
        </w:rPr>
        <w:t>’</w:t>
      </w:r>
      <w:r w:rsidRPr="0070292F">
        <w:rPr>
          <w:lang w:val="fr-FR"/>
        </w:rPr>
        <w:t>existence d</w:t>
      </w:r>
      <w:r w:rsidR="0070292F" w:rsidRPr="0070292F">
        <w:rPr>
          <w:lang w:val="fr-FR"/>
        </w:rPr>
        <w:t>’</w:t>
      </w:r>
      <w:r w:rsidRPr="0070292F">
        <w:rPr>
          <w:lang w:val="fr-FR"/>
        </w:rPr>
        <w:t>un lien étroit entre les mesures de prévention personnelles et le droit pénal et ses objectifs</w:t>
      </w:r>
      <w:bookmarkEnd w:id="172"/>
      <w:r w:rsidRPr="0070292F">
        <w:rPr>
          <w:vertAlign w:val="superscript"/>
          <w:lang w:val="fr-FR"/>
        </w:rPr>
        <w:footnoteReference w:id="63"/>
      </w:r>
      <w:r w:rsidRPr="0070292F">
        <w:rPr>
          <w:lang w:val="fr-FR"/>
        </w:rPr>
        <w:t>.</w:t>
      </w:r>
    </w:p>
    <w:p w:rsidR="003D30C1" w:rsidRPr="0070292F" w:rsidRDefault="003D30C1" w:rsidP="0070292F">
      <w:pPr>
        <w:pStyle w:val="OpiPara"/>
        <w:rPr>
          <w:lang w:val="fr-FR"/>
        </w:rPr>
      </w:pPr>
      <w:r w:rsidRPr="0070292F">
        <w:rPr>
          <w:lang w:val="fr-FR"/>
        </w:rPr>
        <w:t xml:space="preserve">38.  Sixièmement, </w:t>
      </w:r>
      <w:bookmarkStart w:id="173" w:name="lt_pId280"/>
      <w:r w:rsidRPr="0070292F">
        <w:rPr>
          <w:lang w:val="fr-FR"/>
        </w:rPr>
        <w:t>le non-respect des mesures pénales prévues par la loi de 1956 était passible d</w:t>
      </w:r>
      <w:r w:rsidR="0070292F" w:rsidRPr="0070292F">
        <w:rPr>
          <w:lang w:val="fr-FR"/>
        </w:rPr>
        <w:t>’</w:t>
      </w:r>
      <w:r w:rsidRPr="0070292F">
        <w:rPr>
          <w:lang w:val="fr-FR"/>
        </w:rPr>
        <w:t>une peine qui pouvait aller jusqu</w:t>
      </w:r>
      <w:r w:rsidR="0070292F" w:rsidRPr="0070292F">
        <w:rPr>
          <w:lang w:val="fr-FR"/>
        </w:rPr>
        <w:t>’</w:t>
      </w:r>
      <w:r w:rsidRPr="0070292F">
        <w:rPr>
          <w:lang w:val="fr-FR"/>
        </w:rPr>
        <w:t>à cinq ans</w:t>
      </w:r>
      <w:bookmarkEnd w:id="173"/>
      <w:r w:rsidRPr="0070292F">
        <w:rPr>
          <w:lang w:val="fr-FR"/>
        </w:rPr>
        <w:t xml:space="preserve"> d</w:t>
      </w:r>
      <w:r w:rsidR="0070292F" w:rsidRPr="0070292F">
        <w:rPr>
          <w:lang w:val="fr-FR"/>
        </w:rPr>
        <w:t>’</w:t>
      </w:r>
      <w:r w:rsidRPr="0070292F">
        <w:rPr>
          <w:lang w:val="fr-FR"/>
        </w:rPr>
        <w:t>emprisonnement</w:t>
      </w:r>
      <w:r w:rsidRPr="0070292F">
        <w:rPr>
          <w:vertAlign w:val="superscript"/>
          <w:lang w:val="fr-FR"/>
        </w:rPr>
        <w:footnoteReference w:id="64"/>
      </w:r>
      <w:r w:rsidRPr="0070292F">
        <w:rPr>
          <w:lang w:val="fr-FR"/>
        </w:rPr>
        <w:t xml:space="preserve">. Au caractère fortement répressif des mesures de </w:t>
      </w:r>
      <w:r w:rsidRPr="0070292F">
        <w:rPr>
          <w:lang w:val="fr-FR"/>
        </w:rPr>
        <w:lastRenderedPageBreak/>
        <w:t>prévention s</w:t>
      </w:r>
      <w:r w:rsidR="0070292F" w:rsidRPr="0070292F">
        <w:rPr>
          <w:lang w:val="fr-FR"/>
        </w:rPr>
        <w:t>’</w:t>
      </w:r>
      <w:r w:rsidRPr="0070292F">
        <w:rPr>
          <w:lang w:val="fr-FR"/>
        </w:rPr>
        <w:t>ajoutait le fait que l</w:t>
      </w:r>
      <w:r w:rsidR="0070292F" w:rsidRPr="0070292F">
        <w:rPr>
          <w:lang w:val="fr-FR"/>
        </w:rPr>
        <w:t>’</w:t>
      </w:r>
      <w:r w:rsidRPr="0070292F">
        <w:rPr>
          <w:lang w:val="fr-FR"/>
        </w:rPr>
        <w:t>application de telles mesures était considérée comme un facteur aggravant dans le cadre de la fixation des peines pour diverses infractions pénales relevant du code pénal.</w:t>
      </w:r>
    </w:p>
    <w:p w:rsidR="003D30C1" w:rsidRPr="0070292F" w:rsidRDefault="003D30C1" w:rsidP="0070292F">
      <w:pPr>
        <w:pStyle w:val="OpiPara"/>
        <w:rPr>
          <w:lang w:val="fr-FR"/>
        </w:rPr>
      </w:pPr>
      <w:r w:rsidRPr="0070292F">
        <w:rPr>
          <w:lang w:val="fr-FR"/>
        </w:rPr>
        <w:t xml:space="preserve">39.  Septièmement, </w:t>
      </w:r>
      <w:bookmarkStart w:id="174" w:name="lt_pId283"/>
      <w:r w:rsidRPr="0070292F">
        <w:rPr>
          <w:lang w:val="fr-FR"/>
        </w:rPr>
        <w:t>l</w:t>
      </w:r>
      <w:r w:rsidR="0070292F" w:rsidRPr="0070292F">
        <w:rPr>
          <w:lang w:val="fr-FR"/>
        </w:rPr>
        <w:t>’</w:t>
      </w:r>
      <w:r w:rsidRPr="0070292F">
        <w:rPr>
          <w:lang w:val="fr-FR"/>
        </w:rPr>
        <w:t>article 4 de la loi de 1956 prévoyait que les articles généraux 636 et 637 du code de procédure pénale, qui régissent la procédure pénale, étaient également applicables aux mesures de prévention personnelles.</w:t>
      </w:r>
      <w:bookmarkEnd w:id="174"/>
      <w:r w:rsidRPr="0070292F">
        <w:rPr>
          <w:lang w:val="fr-FR"/>
        </w:rPr>
        <w:t xml:space="preserve"> La Cour constitutionnelle a elle-même reconnu, dans son arrêt n</w:t>
      </w:r>
      <w:r w:rsidRPr="0070292F">
        <w:rPr>
          <w:vertAlign w:val="superscript"/>
          <w:lang w:val="fr-FR"/>
        </w:rPr>
        <w:t>o</w:t>
      </w:r>
      <w:r w:rsidRPr="0070292F">
        <w:rPr>
          <w:lang w:val="fr-FR"/>
        </w:rPr>
        <w:t xml:space="preserve"> 306 de 1997, qu</w:t>
      </w:r>
      <w:r w:rsidR="0070292F" w:rsidRPr="0070292F">
        <w:rPr>
          <w:lang w:val="fr-FR"/>
        </w:rPr>
        <w:t>’</w:t>
      </w:r>
      <w:r w:rsidRPr="0070292F">
        <w:rPr>
          <w:lang w:val="fr-FR"/>
        </w:rPr>
        <w:t>en dépit des différences entre la procédure pénale ordinaire et la procédure relative aux mesures de prévention, « la seconde est modelée selon les formes de la première » (</w:t>
      </w:r>
      <w:r w:rsidRPr="0070292F">
        <w:rPr>
          <w:i/>
          <w:lang w:val="fr-FR"/>
        </w:rPr>
        <w:t>quest</w:t>
      </w:r>
      <w:r w:rsidR="0070292F" w:rsidRPr="0070292F">
        <w:rPr>
          <w:i/>
          <w:lang w:val="fr-FR"/>
        </w:rPr>
        <w:t>’</w:t>
      </w:r>
      <w:r w:rsidRPr="0070292F">
        <w:rPr>
          <w:i/>
          <w:lang w:val="fr-FR"/>
        </w:rPr>
        <w:t>ultimo si trova ad essere modellato sulle forme del primo</w:t>
      </w:r>
      <w:r w:rsidRPr="0070292F">
        <w:rPr>
          <w:lang w:val="fr-FR"/>
        </w:rPr>
        <w:t>). La notification relative à la tenue de l</w:t>
      </w:r>
      <w:r w:rsidR="0070292F" w:rsidRPr="0070292F">
        <w:rPr>
          <w:lang w:val="fr-FR"/>
        </w:rPr>
        <w:t>’</w:t>
      </w:r>
      <w:r w:rsidRPr="0070292F">
        <w:rPr>
          <w:lang w:val="fr-FR"/>
        </w:rPr>
        <w:t>audience dans la procédure relative aux mesures de prévention s</w:t>
      </w:r>
      <w:r w:rsidR="0070292F" w:rsidRPr="0070292F">
        <w:rPr>
          <w:lang w:val="fr-FR"/>
        </w:rPr>
        <w:t>’</w:t>
      </w:r>
      <w:r w:rsidRPr="0070292F">
        <w:rPr>
          <w:lang w:val="fr-FR"/>
        </w:rPr>
        <w:t xml:space="preserve">apparentait à une véritable </w:t>
      </w:r>
      <w:r w:rsidRPr="0070292F">
        <w:rPr>
          <w:i/>
          <w:lang w:val="fr-FR"/>
        </w:rPr>
        <w:t>vocatio in iudicium</w:t>
      </w:r>
      <w:r w:rsidRPr="0070292F">
        <w:rPr>
          <w:lang w:val="fr-FR"/>
        </w:rPr>
        <w:t xml:space="preserve"> semblable au </w:t>
      </w:r>
      <w:r w:rsidRPr="0070292F">
        <w:rPr>
          <w:i/>
          <w:lang w:val="fr-FR"/>
        </w:rPr>
        <w:t>decreto di citazione</w:t>
      </w:r>
      <w:r w:rsidRPr="0070292F">
        <w:rPr>
          <w:lang w:val="fr-FR"/>
        </w:rPr>
        <w:t xml:space="preserve"> dans la procédure pénale ordinaire, et la décision judiciaire imposant une mesure de prévention ressemblait à une véritable </w:t>
      </w:r>
      <w:r w:rsidRPr="0070292F">
        <w:rPr>
          <w:i/>
          <w:lang w:val="fr-FR"/>
        </w:rPr>
        <w:t>sentenza</w:t>
      </w:r>
      <w:r w:rsidRPr="0070292F">
        <w:rPr>
          <w:lang w:val="fr-FR"/>
        </w:rPr>
        <w:t>, qui devait être motivée</w:t>
      </w:r>
      <w:r w:rsidRPr="0070292F">
        <w:rPr>
          <w:vertAlign w:val="superscript"/>
          <w:lang w:val="fr-FR"/>
        </w:rPr>
        <w:footnoteReference w:id="65"/>
      </w:r>
      <w:r w:rsidRPr="0070292F">
        <w:rPr>
          <w:lang w:val="fr-FR"/>
        </w:rPr>
        <w:t>.</w:t>
      </w:r>
    </w:p>
    <w:p w:rsidR="003D30C1" w:rsidRPr="0070292F" w:rsidRDefault="003D30C1" w:rsidP="0070292F">
      <w:pPr>
        <w:pStyle w:val="OpiPara"/>
        <w:rPr>
          <w:lang w:val="fr-FR"/>
        </w:rPr>
      </w:pPr>
      <w:r w:rsidRPr="0070292F">
        <w:rPr>
          <w:lang w:val="fr-FR"/>
        </w:rPr>
        <w:t xml:space="preserve">40.  Huitièmement, </w:t>
      </w:r>
      <w:bookmarkStart w:id="175" w:name="lt_pId287"/>
      <w:r w:rsidRPr="0070292F">
        <w:rPr>
          <w:lang w:val="fr-FR"/>
        </w:rPr>
        <w:t>si les garanties d</w:t>
      </w:r>
      <w:r w:rsidR="0070292F" w:rsidRPr="0070292F">
        <w:rPr>
          <w:lang w:val="fr-FR"/>
        </w:rPr>
        <w:t>’</w:t>
      </w:r>
      <w:r w:rsidRPr="0070292F">
        <w:rPr>
          <w:lang w:val="fr-FR"/>
        </w:rPr>
        <w:t>un procès public et équitable s</w:t>
      </w:r>
      <w:r w:rsidR="0070292F" w:rsidRPr="0070292F">
        <w:rPr>
          <w:lang w:val="fr-FR"/>
        </w:rPr>
        <w:t>’</w:t>
      </w:r>
      <w:r w:rsidRPr="0070292F">
        <w:rPr>
          <w:lang w:val="fr-FR"/>
        </w:rPr>
        <w:t>appliquent aux mesures de prévention patrimoniales, comme la Cour l</w:t>
      </w:r>
      <w:r w:rsidR="0070292F" w:rsidRPr="0070292F">
        <w:rPr>
          <w:lang w:val="fr-FR"/>
        </w:rPr>
        <w:t>’</w:t>
      </w:r>
      <w:r w:rsidRPr="0070292F">
        <w:rPr>
          <w:lang w:val="fr-FR"/>
        </w:rPr>
        <w:t xml:space="preserve">a déjà souligné dans les affaires </w:t>
      </w:r>
      <w:r w:rsidRPr="0070292F">
        <w:rPr>
          <w:i/>
          <w:lang w:val="fr-FR"/>
        </w:rPr>
        <w:t>Bocellari et Rizza</w:t>
      </w:r>
      <w:r w:rsidRPr="0070292F">
        <w:rPr>
          <w:lang w:val="fr-FR"/>
        </w:rPr>
        <w:t xml:space="preserve"> et </w:t>
      </w:r>
      <w:r w:rsidRPr="0070292F">
        <w:rPr>
          <w:i/>
          <w:lang w:val="fr-FR"/>
        </w:rPr>
        <w:t>Capitani et Campanella</w:t>
      </w:r>
      <w:r w:rsidRPr="0070292F">
        <w:rPr>
          <w:lang w:val="fr-FR"/>
        </w:rPr>
        <w:t xml:space="preserve"> (toutes deux précitées), elles doivent </w:t>
      </w:r>
      <w:r w:rsidRPr="0070292F">
        <w:rPr>
          <w:i/>
          <w:lang w:val="fr-FR"/>
        </w:rPr>
        <w:t>a fortiori</w:t>
      </w:r>
      <w:r w:rsidRPr="0070292F">
        <w:rPr>
          <w:lang w:val="fr-FR"/>
        </w:rPr>
        <w:t xml:space="preserve"> s</w:t>
      </w:r>
      <w:r w:rsidR="0070292F" w:rsidRPr="0070292F">
        <w:rPr>
          <w:lang w:val="fr-FR"/>
        </w:rPr>
        <w:t>’</w:t>
      </w:r>
      <w:r w:rsidRPr="0070292F">
        <w:rPr>
          <w:lang w:val="fr-FR"/>
        </w:rPr>
        <w:t>appliquer aux mesures de prévention personnelles</w:t>
      </w:r>
      <w:bookmarkEnd w:id="175"/>
      <w:r w:rsidRPr="0070292F">
        <w:rPr>
          <w:lang w:val="fr-FR"/>
        </w:rPr>
        <w:t xml:space="preserve"> (</w:t>
      </w:r>
      <w:r w:rsidRPr="0070292F">
        <w:rPr>
          <w:i/>
          <w:lang w:val="fr-FR"/>
        </w:rPr>
        <w:t>misure di prevenzione personali</w:t>
      </w:r>
      <w:r w:rsidRPr="0070292F">
        <w:rPr>
          <w:lang w:val="fr-FR"/>
        </w:rPr>
        <w:t>).</w:t>
      </w:r>
    </w:p>
    <w:p w:rsidR="003D30C1" w:rsidRPr="0070292F" w:rsidRDefault="003D30C1" w:rsidP="0070292F">
      <w:pPr>
        <w:pStyle w:val="OpiPara"/>
        <w:rPr>
          <w:lang w:val="fr-FR"/>
        </w:rPr>
      </w:pPr>
      <w:r w:rsidRPr="0070292F">
        <w:rPr>
          <w:lang w:val="fr-FR"/>
        </w:rPr>
        <w:t xml:space="preserve">41.  Neuvièmement, </w:t>
      </w:r>
      <w:bookmarkStart w:id="176" w:name="lt_pId289"/>
      <w:r w:rsidRPr="0070292F">
        <w:rPr>
          <w:lang w:val="fr-FR"/>
        </w:rPr>
        <w:t>compte tenu de la gravité des mesures applicables, il serait inconcevable que le suspect, dans une procédure visée par la loi de 1956, n</w:t>
      </w:r>
      <w:r w:rsidR="0070292F" w:rsidRPr="0070292F">
        <w:rPr>
          <w:lang w:val="fr-FR"/>
        </w:rPr>
        <w:t>’</w:t>
      </w:r>
      <w:r w:rsidRPr="0070292F">
        <w:rPr>
          <w:lang w:val="fr-FR"/>
        </w:rPr>
        <w:t>ait pas le droit d</w:t>
      </w:r>
      <w:r w:rsidR="0070292F" w:rsidRPr="0070292F">
        <w:rPr>
          <w:lang w:val="fr-FR"/>
        </w:rPr>
        <w:t>’</w:t>
      </w:r>
      <w:r w:rsidRPr="0070292F">
        <w:rPr>
          <w:lang w:val="fr-FR"/>
        </w:rPr>
        <w:t>être informé de l</w:t>
      </w:r>
      <w:r w:rsidR="0070292F" w:rsidRPr="0070292F">
        <w:rPr>
          <w:lang w:val="fr-FR"/>
        </w:rPr>
        <w:t>’</w:t>
      </w:r>
      <w:r w:rsidRPr="0070292F">
        <w:rPr>
          <w:lang w:val="fr-FR"/>
        </w:rPr>
        <w:t>accusation portée contre lui (article 6 § 3 a)), le droit de disposer du temps et des facilités nécessaires à la préparation de sa défense, le droit de se défendre lui-même et de présenter les preuves à décharge (article 6 § 3 b) et c), et le droit à l</w:t>
      </w:r>
      <w:r w:rsidR="0070292F" w:rsidRPr="0070292F">
        <w:rPr>
          <w:lang w:val="fr-FR"/>
        </w:rPr>
        <w:t>’</w:t>
      </w:r>
      <w:r w:rsidRPr="0070292F">
        <w:rPr>
          <w:lang w:val="fr-FR"/>
        </w:rPr>
        <w:t>assistance d</w:t>
      </w:r>
      <w:r w:rsidR="0070292F" w:rsidRPr="0070292F">
        <w:rPr>
          <w:lang w:val="fr-FR"/>
        </w:rPr>
        <w:t>’</w:t>
      </w:r>
      <w:r w:rsidRPr="0070292F">
        <w:rPr>
          <w:lang w:val="fr-FR"/>
        </w:rPr>
        <w:t>un défenseur de son choix (6 § 3 c)).</w:t>
      </w:r>
      <w:bookmarkEnd w:id="176"/>
      <w:r w:rsidRPr="0070292F">
        <w:rPr>
          <w:lang w:val="fr-FR"/>
        </w:rPr>
        <w:t xml:space="preserve"> </w:t>
      </w:r>
      <w:bookmarkStart w:id="177" w:name="lt_pId290"/>
      <w:r w:rsidRPr="0070292F">
        <w:rPr>
          <w:lang w:val="fr-FR"/>
        </w:rPr>
        <w:t>Ces exigences fondamentales associées à la procédure pénale s</w:t>
      </w:r>
      <w:r w:rsidR="0070292F" w:rsidRPr="0070292F">
        <w:rPr>
          <w:lang w:val="fr-FR"/>
        </w:rPr>
        <w:t>’</w:t>
      </w:r>
      <w:r w:rsidRPr="0070292F">
        <w:rPr>
          <w:lang w:val="fr-FR"/>
        </w:rPr>
        <w:t>appliquent de même dans le cadre de la loi de 1956 :</w:t>
      </w:r>
      <w:bookmarkEnd w:id="177"/>
      <w:r w:rsidRPr="0070292F">
        <w:rPr>
          <w:lang w:val="fr-FR"/>
        </w:rPr>
        <w:t xml:space="preserve"> </w:t>
      </w:r>
      <w:bookmarkStart w:id="178" w:name="lt_pId291"/>
      <w:r w:rsidRPr="0070292F">
        <w:rPr>
          <w:lang w:val="fr-FR"/>
        </w:rPr>
        <w:t>ainsi, « l</w:t>
      </w:r>
      <w:r w:rsidR="0070292F" w:rsidRPr="0070292F">
        <w:rPr>
          <w:lang w:val="fr-FR"/>
        </w:rPr>
        <w:t>’</w:t>
      </w:r>
      <w:r w:rsidRPr="0070292F">
        <w:rPr>
          <w:lang w:val="fr-FR"/>
        </w:rPr>
        <w:t>intéressé peut présenter des observations et se faire représenter par un avocat » (arrêt de la Cour constitutionnelle n</w:t>
      </w:r>
      <w:r w:rsidRPr="0070292F">
        <w:rPr>
          <w:vertAlign w:val="superscript"/>
          <w:lang w:val="fr-FR"/>
        </w:rPr>
        <w:t>o</w:t>
      </w:r>
      <w:r w:rsidRPr="0070292F">
        <w:rPr>
          <w:lang w:val="fr-FR"/>
        </w:rPr>
        <w:t xml:space="preserve"> 76/1970).</w:t>
      </w:r>
      <w:bookmarkEnd w:id="178"/>
    </w:p>
    <w:p w:rsidR="003D30C1" w:rsidRPr="0070292F" w:rsidRDefault="003D30C1" w:rsidP="0070292F">
      <w:pPr>
        <w:pStyle w:val="OpiPara"/>
        <w:rPr>
          <w:lang w:val="fr-FR"/>
        </w:rPr>
      </w:pPr>
      <w:r w:rsidRPr="0070292F">
        <w:rPr>
          <w:lang w:val="fr-FR"/>
        </w:rPr>
        <w:t>42.  Dixièmement, la Cour a estimé que les infractions disciplinaires relevaient du volet pénal de l</w:t>
      </w:r>
      <w:r w:rsidR="0070292F" w:rsidRPr="0070292F">
        <w:rPr>
          <w:lang w:val="fr-FR"/>
        </w:rPr>
        <w:t>’</w:t>
      </w:r>
      <w:r w:rsidRPr="0070292F">
        <w:rPr>
          <w:lang w:val="fr-FR"/>
        </w:rPr>
        <w:t>article 6 de la Convention, en raison surtout de la gravité de la peine</w:t>
      </w:r>
      <w:r w:rsidRPr="0070292F">
        <w:rPr>
          <w:vertAlign w:val="superscript"/>
          <w:lang w:val="fr-FR"/>
        </w:rPr>
        <w:footnoteReference w:id="66"/>
      </w:r>
      <w:r w:rsidRPr="0070292F">
        <w:rPr>
          <w:lang w:val="fr-FR"/>
        </w:rPr>
        <w:t xml:space="preserve">. </w:t>
      </w:r>
      <w:bookmarkStart w:id="179" w:name="lt_pId294"/>
      <w:r w:rsidRPr="0070292F">
        <w:rPr>
          <w:lang w:val="fr-FR"/>
        </w:rPr>
        <w:t>Dans l</w:t>
      </w:r>
      <w:r w:rsidR="0070292F" w:rsidRPr="0070292F">
        <w:rPr>
          <w:lang w:val="fr-FR"/>
        </w:rPr>
        <w:t>’</w:t>
      </w:r>
      <w:r w:rsidRPr="0070292F">
        <w:rPr>
          <w:lang w:val="fr-FR"/>
        </w:rPr>
        <w:t>abstrait, les mesures applicables lors d</w:t>
      </w:r>
      <w:r w:rsidR="0070292F" w:rsidRPr="0070292F">
        <w:rPr>
          <w:lang w:val="fr-FR"/>
        </w:rPr>
        <w:t>’</w:t>
      </w:r>
      <w:r w:rsidRPr="0070292F">
        <w:rPr>
          <w:lang w:val="fr-FR"/>
        </w:rPr>
        <w:t>une procédure fondée sur la loi de 1956 étaient plus sévères que les sanctions disciplinaires habituelles.</w:t>
      </w:r>
      <w:bookmarkStart w:id="180" w:name="lt_pId295"/>
      <w:bookmarkEnd w:id="179"/>
      <w:r w:rsidRPr="0070292F">
        <w:rPr>
          <w:lang w:val="fr-FR"/>
        </w:rPr>
        <w:t xml:space="preserve"> Les mesures de prévention imposées au requérant </w:t>
      </w:r>
      <w:r w:rsidRPr="0070292F">
        <w:rPr>
          <w:lang w:val="fr-FR"/>
        </w:rPr>
        <w:lastRenderedPageBreak/>
        <w:t xml:space="preserve">confirment cette appréciation générale. </w:t>
      </w:r>
      <w:bookmarkStart w:id="181" w:name="lt_pId296"/>
      <w:bookmarkEnd w:id="180"/>
      <w:r w:rsidRPr="0070292F">
        <w:rPr>
          <w:lang w:val="fr-FR"/>
        </w:rPr>
        <w:t>Dès lors, le volet pénal de l</w:t>
      </w:r>
      <w:r w:rsidR="0070292F" w:rsidRPr="0070292F">
        <w:rPr>
          <w:lang w:val="fr-FR"/>
        </w:rPr>
        <w:t>’</w:t>
      </w:r>
      <w:r w:rsidRPr="0070292F">
        <w:rPr>
          <w:lang w:val="fr-FR"/>
        </w:rPr>
        <w:t xml:space="preserve">article 6 devrait </w:t>
      </w:r>
      <w:r w:rsidRPr="0070292F">
        <w:rPr>
          <w:i/>
          <w:lang w:val="fr-FR"/>
        </w:rPr>
        <w:t>a fortiori</w:t>
      </w:r>
      <w:r w:rsidRPr="0070292F">
        <w:rPr>
          <w:lang w:val="fr-FR"/>
        </w:rPr>
        <w:t xml:space="preserve"> être applicable</w:t>
      </w:r>
      <w:bookmarkEnd w:id="181"/>
      <w:r w:rsidRPr="0070292F">
        <w:rPr>
          <w:lang w:val="fr-FR"/>
        </w:rPr>
        <w:t xml:space="preserve"> en l</w:t>
      </w:r>
      <w:r w:rsidR="0070292F" w:rsidRPr="0070292F">
        <w:rPr>
          <w:lang w:val="fr-FR"/>
        </w:rPr>
        <w:t>’</w:t>
      </w:r>
      <w:r w:rsidRPr="0070292F">
        <w:rPr>
          <w:lang w:val="fr-FR"/>
        </w:rPr>
        <w:t>espèce</w:t>
      </w:r>
      <w:r w:rsidRPr="0070292F">
        <w:rPr>
          <w:vertAlign w:val="superscript"/>
          <w:lang w:val="fr-FR"/>
        </w:rPr>
        <w:footnoteReference w:id="67"/>
      </w:r>
      <w:r w:rsidRPr="0070292F">
        <w:rPr>
          <w:lang w:val="fr-FR"/>
        </w:rPr>
        <w:t>.</w:t>
      </w:r>
    </w:p>
    <w:p w:rsidR="003D30C1" w:rsidRPr="0070292F" w:rsidRDefault="003D30C1" w:rsidP="0070292F">
      <w:pPr>
        <w:pStyle w:val="OpiPara"/>
        <w:rPr>
          <w:lang w:val="fr-FR"/>
        </w:rPr>
      </w:pPr>
      <w:r w:rsidRPr="0070292F">
        <w:rPr>
          <w:lang w:val="fr-FR"/>
        </w:rPr>
        <w:t>43.  </w:t>
      </w:r>
      <w:r w:rsidRPr="0070292F">
        <w:rPr>
          <w:rFonts w:cstheme="minorHAnsi"/>
          <w:lang w:val="fr-FR"/>
        </w:rPr>
        <w:t>À</w:t>
      </w:r>
      <w:r w:rsidRPr="0070292F">
        <w:rPr>
          <w:lang w:val="fr-FR"/>
        </w:rPr>
        <w:t xml:space="preserve"> la lumière de ce qui précède, les mesures de prévention personnelles prévues par la loi de 1956 sont de nature pénale. </w:t>
      </w:r>
      <w:bookmarkStart w:id="182" w:name="lt_pId299"/>
      <w:r w:rsidRPr="0070292F">
        <w:rPr>
          <w:lang w:val="fr-FR"/>
        </w:rPr>
        <w:t xml:space="preserve">Tous les critères classiques issus de la jurisprudence </w:t>
      </w:r>
      <w:r w:rsidRPr="0070292F">
        <w:rPr>
          <w:i/>
          <w:lang w:val="fr-FR"/>
        </w:rPr>
        <w:t>Engel et autres</w:t>
      </w:r>
      <w:r w:rsidRPr="0070292F">
        <w:rPr>
          <w:lang w:val="fr-FR"/>
        </w:rPr>
        <w:t xml:space="preserve"> sont remplis</w:t>
      </w:r>
      <w:r w:rsidRPr="0070292F">
        <w:rPr>
          <w:vertAlign w:val="superscript"/>
          <w:lang w:val="fr-FR"/>
        </w:rPr>
        <w:footnoteReference w:id="68"/>
      </w:r>
      <w:r w:rsidRPr="0070292F">
        <w:rPr>
          <w:lang w:val="fr-FR"/>
        </w:rPr>
        <w:t>.</w:t>
      </w:r>
      <w:bookmarkEnd w:id="182"/>
      <w:r w:rsidRPr="0070292F">
        <w:rPr>
          <w:lang w:val="fr-FR"/>
        </w:rPr>
        <w:t xml:space="preserve"> </w:t>
      </w:r>
      <w:bookmarkStart w:id="183" w:name="lt_pId301"/>
      <w:r w:rsidRPr="0070292F">
        <w:rPr>
          <w:lang w:val="fr-FR"/>
        </w:rPr>
        <w:t>La présente espèce reflète manifestement le caractère excessivement punitif des mesures de prévention fondées sur la loi de 1956, dès lors que la liste des mesures applicables est non exhaustive et excessivement étendue</w:t>
      </w:r>
      <w:r w:rsidRPr="0070292F">
        <w:rPr>
          <w:b/>
          <w:lang w:val="fr-FR"/>
        </w:rPr>
        <w:t xml:space="preserve"> </w:t>
      </w:r>
      <w:r w:rsidRPr="0070292F">
        <w:rPr>
          <w:lang w:val="fr-FR"/>
        </w:rPr>
        <w:t>et que la durée d</w:t>
      </w:r>
      <w:r w:rsidR="0070292F" w:rsidRPr="0070292F">
        <w:rPr>
          <w:lang w:val="fr-FR"/>
        </w:rPr>
        <w:t>’</w:t>
      </w:r>
      <w:r w:rsidRPr="0070292F">
        <w:rPr>
          <w:lang w:val="fr-FR"/>
        </w:rPr>
        <w:t>application possible est trop longue (cinq ans, avec possibilité de prolongation). En outre, l</w:t>
      </w:r>
      <w:r w:rsidR="0070292F" w:rsidRPr="0070292F">
        <w:rPr>
          <w:lang w:val="fr-FR"/>
        </w:rPr>
        <w:t>’</w:t>
      </w:r>
      <w:r w:rsidRPr="0070292F">
        <w:rPr>
          <w:lang w:val="fr-FR"/>
        </w:rPr>
        <w:t>atteinte aux libertés fondamentales du suspect est si grave qu</w:t>
      </w:r>
      <w:r w:rsidR="0070292F" w:rsidRPr="0070292F">
        <w:rPr>
          <w:lang w:val="fr-FR"/>
        </w:rPr>
        <w:t>’</w:t>
      </w:r>
      <w:r w:rsidRPr="0070292F">
        <w:rPr>
          <w:lang w:val="fr-FR"/>
        </w:rPr>
        <w:t>elle rend nécessaires les garanties du volet pénal de l</w:t>
      </w:r>
      <w:r w:rsidR="0070292F" w:rsidRPr="0070292F">
        <w:rPr>
          <w:lang w:val="fr-FR"/>
        </w:rPr>
        <w:t>’</w:t>
      </w:r>
      <w:r w:rsidRPr="0070292F">
        <w:rPr>
          <w:lang w:val="fr-FR"/>
        </w:rPr>
        <w:t>article 6.</w:t>
      </w:r>
      <w:bookmarkEnd w:id="183"/>
      <w:r w:rsidRPr="0070292F">
        <w:rPr>
          <w:lang w:val="fr-FR"/>
        </w:rPr>
        <w:t xml:space="preserve"> </w:t>
      </w:r>
      <w:bookmarkStart w:id="184" w:name="lt_pId302"/>
      <w:r w:rsidRPr="0070292F">
        <w:rPr>
          <w:lang w:val="fr-FR"/>
        </w:rPr>
        <w:t>La situation est particulièrement critique en Italie, où ces mesures peuvent être appliquées même après un acquittement au pénal.</w:t>
      </w:r>
      <w:bookmarkEnd w:id="184"/>
    </w:p>
    <w:p w:rsidR="003D30C1" w:rsidRPr="0070292F" w:rsidRDefault="003D30C1" w:rsidP="0070292F">
      <w:pPr>
        <w:pStyle w:val="OpiH1"/>
        <w:rPr>
          <w:lang w:val="fr-FR"/>
        </w:rPr>
      </w:pPr>
      <w:bookmarkStart w:id="185" w:name="_Toc472493595"/>
      <w:bookmarkStart w:id="186" w:name="_Toc475451889"/>
      <w:r w:rsidRPr="0070292F">
        <w:rPr>
          <w:lang w:val="fr-FR"/>
        </w:rPr>
        <w:t>B.  Application de l</w:t>
      </w:r>
      <w:r w:rsidR="0070292F" w:rsidRPr="0070292F">
        <w:rPr>
          <w:lang w:val="fr-FR"/>
        </w:rPr>
        <w:t>’</w:t>
      </w:r>
      <w:r w:rsidRPr="0070292F">
        <w:rPr>
          <w:lang w:val="fr-FR"/>
        </w:rPr>
        <w:t>article 6 en l</w:t>
      </w:r>
      <w:r w:rsidR="0070292F" w:rsidRPr="0070292F">
        <w:rPr>
          <w:lang w:val="fr-FR"/>
        </w:rPr>
        <w:t>’</w:t>
      </w:r>
      <w:r w:rsidRPr="0070292F">
        <w:rPr>
          <w:lang w:val="fr-FR"/>
        </w:rPr>
        <w:t>espèce : absence de procès public et équitable (§§ 44-48)</w:t>
      </w:r>
      <w:bookmarkEnd w:id="185"/>
      <w:bookmarkEnd w:id="186"/>
    </w:p>
    <w:p w:rsidR="003D30C1" w:rsidRPr="0070292F" w:rsidRDefault="003D30C1" w:rsidP="0070292F">
      <w:pPr>
        <w:pStyle w:val="OpiPara"/>
        <w:rPr>
          <w:lang w:val="fr-FR"/>
        </w:rPr>
      </w:pPr>
      <w:r w:rsidRPr="0070292F">
        <w:rPr>
          <w:lang w:val="fr-FR"/>
        </w:rPr>
        <w:t>44.  </w:t>
      </w:r>
      <w:bookmarkStart w:id="187" w:name="lt_pId307"/>
      <w:r w:rsidRPr="0070292F">
        <w:rPr>
          <w:lang w:val="fr-FR"/>
        </w:rPr>
        <w:t>Les griefs formulés sous l</w:t>
      </w:r>
      <w:r w:rsidR="0070292F" w:rsidRPr="0070292F">
        <w:rPr>
          <w:lang w:val="fr-FR"/>
        </w:rPr>
        <w:t>’</w:t>
      </w:r>
      <w:r w:rsidRPr="0070292F">
        <w:rPr>
          <w:lang w:val="fr-FR"/>
        </w:rPr>
        <w:t>angle de l</w:t>
      </w:r>
      <w:r w:rsidR="0070292F" w:rsidRPr="0070292F">
        <w:rPr>
          <w:lang w:val="fr-FR"/>
        </w:rPr>
        <w:t>’</w:t>
      </w:r>
      <w:r w:rsidRPr="0070292F">
        <w:rPr>
          <w:lang w:val="fr-FR"/>
        </w:rPr>
        <w:t>article 6 (volet pénal) peuvent se résumer comme suit :</w:t>
      </w:r>
      <w:bookmarkEnd w:id="187"/>
      <w:r w:rsidRPr="0070292F">
        <w:rPr>
          <w:lang w:val="fr-FR"/>
        </w:rPr>
        <w:t xml:space="preserve"> </w:t>
      </w:r>
      <w:bookmarkStart w:id="188" w:name="lt_pId308"/>
      <w:r w:rsidRPr="0070292F">
        <w:rPr>
          <w:lang w:val="fr-FR"/>
        </w:rPr>
        <w:t>défaut de publicité des audiences</w:t>
      </w:r>
      <w:bookmarkEnd w:id="188"/>
      <w:r w:rsidRPr="0070292F">
        <w:rPr>
          <w:lang w:val="fr-FR"/>
        </w:rPr>
        <w:t>, a</w:t>
      </w:r>
      <w:bookmarkStart w:id="189" w:name="lt_pId309"/>
      <w:r w:rsidRPr="0070292F">
        <w:rPr>
          <w:lang w:val="fr-FR"/>
        </w:rPr>
        <w:t>bsence d</w:t>
      </w:r>
      <w:r w:rsidR="0070292F" w:rsidRPr="0070292F">
        <w:rPr>
          <w:lang w:val="fr-FR"/>
        </w:rPr>
        <w:t>’</w:t>
      </w:r>
      <w:r w:rsidRPr="0070292F">
        <w:rPr>
          <w:lang w:val="fr-FR"/>
        </w:rPr>
        <w:t>appréciation adéquate des éléments de preuve</w:t>
      </w:r>
      <w:bookmarkEnd w:id="189"/>
      <w:r w:rsidRPr="0070292F">
        <w:rPr>
          <w:lang w:val="fr-FR"/>
        </w:rPr>
        <w:t xml:space="preserve"> et a</w:t>
      </w:r>
      <w:bookmarkStart w:id="190" w:name="lt_pId310"/>
      <w:r w:rsidRPr="0070292F">
        <w:rPr>
          <w:lang w:val="fr-FR"/>
        </w:rPr>
        <w:t>bsence de recours</w:t>
      </w:r>
      <w:bookmarkStart w:id="191" w:name="lt_pId311"/>
      <w:bookmarkEnd w:id="190"/>
      <w:r w:rsidRPr="0070292F">
        <w:rPr>
          <w:lang w:val="fr-FR"/>
        </w:rPr>
        <w:t>. L</w:t>
      </w:r>
      <w:r w:rsidR="0070292F" w:rsidRPr="0070292F">
        <w:rPr>
          <w:lang w:val="fr-FR"/>
        </w:rPr>
        <w:t>’</w:t>
      </w:r>
      <w:r w:rsidRPr="0070292F">
        <w:rPr>
          <w:lang w:val="fr-FR"/>
        </w:rPr>
        <w:t>article 6 (volet pénal) étant applicable, il reste à déterminer s</w:t>
      </w:r>
      <w:r w:rsidR="0070292F" w:rsidRPr="0070292F">
        <w:rPr>
          <w:lang w:val="fr-FR"/>
        </w:rPr>
        <w:t>’</w:t>
      </w:r>
      <w:r w:rsidRPr="0070292F">
        <w:rPr>
          <w:lang w:val="fr-FR"/>
        </w:rPr>
        <w:t>il a été violé.</w:t>
      </w:r>
      <w:bookmarkEnd w:id="191"/>
      <w:r w:rsidRPr="0070292F">
        <w:rPr>
          <w:lang w:val="fr-FR"/>
        </w:rPr>
        <w:t xml:space="preserve"> À mon avis, il y a eu violation de cet article, et ce pour trois raisons.</w:t>
      </w:r>
    </w:p>
    <w:p w:rsidR="003D30C1" w:rsidRPr="0070292F" w:rsidRDefault="003D30C1" w:rsidP="0070292F">
      <w:pPr>
        <w:pStyle w:val="OpiPara"/>
        <w:rPr>
          <w:lang w:val="fr-FR"/>
        </w:rPr>
      </w:pPr>
      <w:r w:rsidRPr="0070292F">
        <w:rPr>
          <w:lang w:val="fr-FR"/>
        </w:rPr>
        <w:t>45.  </w:t>
      </w:r>
      <w:bookmarkStart w:id="192" w:name="lt_pId314"/>
      <w:r w:rsidRPr="0070292F">
        <w:rPr>
          <w:lang w:val="fr-FR"/>
        </w:rPr>
        <w:t>Comme la Cour constitutionnelle l</w:t>
      </w:r>
      <w:r w:rsidR="0070292F" w:rsidRPr="0070292F">
        <w:rPr>
          <w:lang w:val="fr-FR"/>
        </w:rPr>
        <w:t>’</w:t>
      </w:r>
      <w:r w:rsidRPr="0070292F">
        <w:rPr>
          <w:lang w:val="fr-FR"/>
        </w:rPr>
        <w:t>a reconnu dans son arrêt n</w:t>
      </w:r>
      <w:r w:rsidRPr="0070292F">
        <w:rPr>
          <w:vertAlign w:val="superscript"/>
          <w:lang w:val="fr-FR"/>
        </w:rPr>
        <w:t>o</w:t>
      </w:r>
      <w:r w:rsidRPr="0070292F">
        <w:rPr>
          <w:lang w:val="fr-FR"/>
        </w:rPr>
        <w:t> 93/2010, la tenue d</w:t>
      </w:r>
      <w:r w:rsidR="0070292F" w:rsidRPr="0070292F">
        <w:rPr>
          <w:lang w:val="fr-FR"/>
        </w:rPr>
        <w:t>’</w:t>
      </w:r>
      <w:r w:rsidRPr="0070292F">
        <w:rPr>
          <w:lang w:val="fr-FR"/>
        </w:rPr>
        <w:t>une audience publique est une exigence fondamentale pour ce type de procédure.</w:t>
      </w:r>
      <w:bookmarkEnd w:id="192"/>
      <w:r w:rsidRPr="0070292F">
        <w:rPr>
          <w:lang w:val="fr-FR"/>
        </w:rPr>
        <w:t xml:space="preserve"> </w:t>
      </w:r>
      <w:bookmarkStart w:id="193" w:name="lt_pId315"/>
      <w:r w:rsidRPr="0070292F">
        <w:rPr>
          <w:lang w:val="fr-FR"/>
        </w:rPr>
        <w:t>Le Gouvernement a admis que le requérant avait subi une violation de l</w:t>
      </w:r>
      <w:r w:rsidR="0070292F" w:rsidRPr="0070292F">
        <w:rPr>
          <w:lang w:val="fr-FR"/>
        </w:rPr>
        <w:t>’</w:t>
      </w:r>
      <w:r w:rsidRPr="0070292F">
        <w:rPr>
          <w:lang w:val="fr-FR"/>
        </w:rPr>
        <w:t>article 6 § 1 en raison du défaut de publicité de la procédure devant les juridictions internes.</w:t>
      </w:r>
      <w:bookmarkEnd w:id="193"/>
    </w:p>
    <w:p w:rsidR="003D30C1" w:rsidRPr="0070292F" w:rsidRDefault="003D30C1" w:rsidP="0070292F">
      <w:pPr>
        <w:pStyle w:val="OpiPara"/>
        <w:rPr>
          <w:lang w:val="fr-FR"/>
        </w:rPr>
      </w:pPr>
      <w:r w:rsidRPr="0070292F">
        <w:rPr>
          <w:lang w:val="fr-FR"/>
        </w:rPr>
        <w:t>46.  </w:t>
      </w:r>
      <w:bookmarkStart w:id="194" w:name="lt_pId317"/>
      <w:r w:rsidRPr="0070292F">
        <w:rPr>
          <w:lang w:val="fr-FR"/>
        </w:rPr>
        <w:t>Deux graves erreurs ont été commises dans l</w:t>
      </w:r>
      <w:r w:rsidR="0070292F" w:rsidRPr="0070292F">
        <w:rPr>
          <w:lang w:val="fr-FR"/>
        </w:rPr>
        <w:t>’</w:t>
      </w:r>
      <w:r w:rsidRPr="0070292F">
        <w:rPr>
          <w:lang w:val="fr-FR"/>
        </w:rPr>
        <w:t>évaluation des preuves</w:t>
      </w:r>
      <w:bookmarkEnd w:id="194"/>
      <w:r w:rsidRPr="0070292F">
        <w:rPr>
          <w:lang w:val="fr-FR"/>
        </w:rPr>
        <w:t> : d</w:t>
      </w:r>
      <w:r w:rsidR="0070292F" w:rsidRPr="0070292F">
        <w:rPr>
          <w:lang w:val="fr-FR"/>
        </w:rPr>
        <w:t>’</w:t>
      </w:r>
      <w:r w:rsidRPr="0070292F">
        <w:rPr>
          <w:lang w:val="fr-FR"/>
        </w:rPr>
        <w:t xml:space="preserve">abord au sujet de </w:t>
      </w:r>
      <w:bookmarkStart w:id="195" w:name="lt_pId318"/>
      <w:r w:rsidRPr="0070292F">
        <w:rPr>
          <w:lang w:val="fr-FR"/>
        </w:rPr>
        <w:t>l</w:t>
      </w:r>
      <w:r w:rsidR="0070292F" w:rsidRPr="0070292F">
        <w:rPr>
          <w:lang w:val="fr-FR"/>
        </w:rPr>
        <w:t>’</w:t>
      </w:r>
      <w:r w:rsidRPr="0070292F">
        <w:rPr>
          <w:lang w:val="fr-FR"/>
        </w:rPr>
        <w:t>emploi agricole du requérant depuis 2005, comme l</w:t>
      </w:r>
      <w:r w:rsidR="0070292F" w:rsidRPr="0070292F">
        <w:rPr>
          <w:lang w:val="fr-FR"/>
        </w:rPr>
        <w:t>’</w:t>
      </w:r>
      <w:r w:rsidRPr="0070292F">
        <w:rPr>
          <w:lang w:val="fr-FR"/>
        </w:rPr>
        <w:t>a reconnu la cour d</w:t>
      </w:r>
      <w:r w:rsidR="0070292F" w:rsidRPr="0070292F">
        <w:rPr>
          <w:lang w:val="fr-FR"/>
        </w:rPr>
        <w:t>’</w:t>
      </w:r>
      <w:r w:rsidRPr="0070292F">
        <w:rPr>
          <w:lang w:val="fr-FR"/>
        </w:rPr>
        <w:t>appel (après sa sortie de prison en 2005, le requérant avait toujours eu une activité professionnelle licite lui assurant une source de revenus digne) (« </w:t>
      </w:r>
      <w:r w:rsidRPr="0070292F">
        <w:rPr>
          <w:i/>
          <w:lang w:val="fr-FR"/>
        </w:rPr>
        <w:t>dopo la sua scarcerazione del 2005 si è costantemente dediato sino ad oggi ad attività lavorativa lecita che gli assicura una fonte dignitosa di sostentamento </w:t>
      </w:r>
      <w:r w:rsidRPr="0070292F">
        <w:rPr>
          <w:lang w:val="fr-FR"/>
        </w:rPr>
        <w:t>»), contredisant l</w:t>
      </w:r>
      <w:r w:rsidR="0070292F" w:rsidRPr="0070292F">
        <w:rPr>
          <w:lang w:val="fr-FR"/>
        </w:rPr>
        <w:t>’</w:t>
      </w:r>
      <w:r w:rsidRPr="0070292F">
        <w:rPr>
          <w:lang w:val="fr-FR"/>
        </w:rPr>
        <w:t>appréciation du tribunal de première instance ; ensuite, concernant</w:t>
      </w:r>
      <w:bookmarkStart w:id="196" w:name="lt_pId319"/>
      <w:bookmarkEnd w:id="195"/>
      <w:r w:rsidRPr="0070292F">
        <w:rPr>
          <w:lang w:val="fr-FR"/>
        </w:rPr>
        <w:t xml:space="preserve"> les infractions alléguées aux obligations associées à la mesure de surveillance spéciale (« </w:t>
      </w:r>
      <w:r w:rsidRPr="0070292F">
        <w:rPr>
          <w:i/>
          <w:lang w:val="fr-FR"/>
        </w:rPr>
        <w:t>violazioni agli obblighi di sorveglianza</w:t>
      </w:r>
      <w:r w:rsidRPr="0070292F">
        <w:rPr>
          <w:lang w:val="fr-FR"/>
        </w:rPr>
        <w:t> »).</w:t>
      </w:r>
      <w:bookmarkEnd w:id="196"/>
      <w:r w:rsidRPr="0070292F">
        <w:rPr>
          <w:lang w:val="fr-FR"/>
        </w:rPr>
        <w:t> </w:t>
      </w:r>
      <w:bookmarkStart w:id="197" w:name="lt_pId320"/>
      <w:r w:rsidRPr="0070292F">
        <w:rPr>
          <w:lang w:val="fr-FR"/>
        </w:rPr>
        <w:t>Une grave erreur sur la personne a été reconnue par la cour d</w:t>
      </w:r>
      <w:r w:rsidR="0070292F" w:rsidRPr="0070292F">
        <w:rPr>
          <w:lang w:val="fr-FR"/>
        </w:rPr>
        <w:t>’</w:t>
      </w:r>
      <w:r w:rsidRPr="0070292F">
        <w:rPr>
          <w:lang w:val="fr-FR"/>
        </w:rPr>
        <w:t>appel, qui a explicitement déclaré que les infractions aux obligations découlant de l</w:t>
      </w:r>
      <w:r w:rsidR="0070292F" w:rsidRPr="0070292F">
        <w:rPr>
          <w:lang w:val="fr-FR"/>
        </w:rPr>
        <w:t>’</w:t>
      </w:r>
      <w:r w:rsidRPr="0070292F">
        <w:rPr>
          <w:lang w:val="fr-FR"/>
        </w:rPr>
        <w:t>application de la mesure de surveillance spéciale concernaient une autre personne.</w:t>
      </w:r>
      <w:bookmarkEnd w:id="197"/>
    </w:p>
    <w:p w:rsidR="0070292F" w:rsidRPr="0070292F" w:rsidRDefault="003D30C1" w:rsidP="0070292F">
      <w:pPr>
        <w:pStyle w:val="OpiPara"/>
        <w:rPr>
          <w:lang w:val="fr-FR"/>
        </w:rPr>
      </w:pPr>
      <w:r w:rsidRPr="0070292F">
        <w:rPr>
          <w:lang w:val="fr-FR"/>
        </w:rPr>
        <w:lastRenderedPageBreak/>
        <w:t>47.  Bien que d</w:t>
      </w:r>
      <w:r w:rsidR="0070292F" w:rsidRPr="0070292F">
        <w:rPr>
          <w:lang w:val="fr-FR"/>
        </w:rPr>
        <w:t>’</w:t>
      </w:r>
      <w:r w:rsidRPr="0070292F">
        <w:rPr>
          <w:lang w:val="fr-FR"/>
        </w:rPr>
        <w:t>ordinaire la Cour ne s</w:t>
      </w:r>
      <w:r w:rsidR="0070292F" w:rsidRPr="0070292F">
        <w:rPr>
          <w:lang w:val="fr-FR"/>
        </w:rPr>
        <w:t>’</w:t>
      </w:r>
      <w:r w:rsidRPr="0070292F">
        <w:rPr>
          <w:lang w:val="fr-FR"/>
        </w:rPr>
        <w:t>occupe pas des erreurs commises dans l</w:t>
      </w:r>
      <w:r w:rsidR="0070292F" w:rsidRPr="0070292F">
        <w:rPr>
          <w:lang w:val="fr-FR"/>
        </w:rPr>
        <w:t>’</w:t>
      </w:r>
      <w:r w:rsidRPr="0070292F">
        <w:rPr>
          <w:lang w:val="fr-FR"/>
        </w:rPr>
        <w:t>appréciation des preuves, elle le fait lorsque ces erreurs sont criantes et flagrantes, comme en l</w:t>
      </w:r>
      <w:r w:rsidR="0070292F" w:rsidRPr="0070292F">
        <w:rPr>
          <w:lang w:val="fr-FR"/>
        </w:rPr>
        <w:t>’</w:t>
      </w:r>
      <w:r w:rsidRPr="0070292F">
        <w:rPr>
          <w:lang w:val="fr-FR"/>
        </w:rPr>
        <w:t>espèce. En effet, ces erreurs étaient d</w:t>
      </w:r>
      <w:r w:rsidR="0070292F" w:rsidRPr="0070292F">
        <w:rPr>
          <w:lang w:val="fr-FR"/>
        </w:rPr>
        <w:t>’</w:t>
      </w:r>
      <w:r w:rsidRPr="0070292F">
        <w:rPr>
          <w:lang w:val="fr-FR"/>
        </w:rPr>
        <w:t>une ampleur telle qu</w:t>
      </w:r>
      <w:r w:rsidR="0070292F" w:rsidRPr="0070292F">
        <w:rPr>
          <w:lang w:val="fr-FR"/>
        </w:rPr>
        <w:t>’</w:t>
      </w:r>
      <w:r w:rsidRPr="0070292F">
        <w:rPr>
          <w:lang w:val="fr-FR"/>
        </w:rPr>
        <w:t>elles ont porté atteinte à l</w:t>
      </w:r>
      <w:r w:rsidR="0070292F" w:rsidRPr="0070292F">
        <w:rPr>
          <w:lang w:val="fr-FR"/>
        </w:rPr>
        <w:t>’</w:t>
      </w:r>
      <w:r w:rsidRPr="0070292F">
        <w:rPr>
          <w:lang w:val="fr-FR"/>
        </w:rPr>
        <w:t>équité élémentaire de la procédure. J</w:t>
      </w:r>
      <w:r w:rsidR="0070292F" w:rsidRPr="0070292F">
        <w:rPr>
          <w:lang w:val="fr-FR"/>
        </w:rPr>
        <w:t>’</w:t>
      </w:r>
      <w:r w:rsidRPr="0070292F">
        <w:rPr>
          <w:lang w:val="fr-FR"/>
        </w:rPr>
        <w:t>observe en outre que le tribunal de première instance n</w:t>
      </w:r>
      <w:r w:rsidR="0070292F" w:rsidRPr="0070292F">
        <w:rPr>
          <w:lang w:val="fr-FR"/>
        </w:rPr>
        <w:t>’</w:t>
      </w:r>
      <w:r w:rsidRPr="0070292F">
        <w:rPr>
          <w:lang w:val="fr-FR"/>
        </w:rPr>
        <w:t>a consacré que deux brefs paragraphes à la justification de la mesure en cause.</w:t>
      </w:r>
    </w:p>
    <w:p w:rsidR="003D30C1" w:rsidRPr="0070292F" w:rsidRDefault="003D30C1" w:rsidP="0070292F">
      <w:pPr>
        <w:pStyle w:val="OpiPara"/>
        <w:rPr>
          <w:lang w:val="fr-FR"/>
        </w:rPr>
      </w:pPr>
      <w:r w:rsidRPr="0070292F">
        <w:rPr>
          <w:lang w:val="fr-FR"/>
        </w:rPr>
        <w:t>48.  En résumé, l</w:t>
      </w:r>
      <w:r w:rsidR="0070292F" w:rsidRPr="0070292F">
        <w:rPr>
          <w:lang w:val="fr-FR"/>
        </w:rPr>
        <w:t>’</w:t>
      </w:r>
      <w:r w:rsidRPr="0070292F">
        <w:rPr>
          <w:lang w:val="fr-FR"/>
        </w:rPr>
        <w:t>article 6 (volet pénal) est applicable et il y a eu violation de cette disposition.</w:t>
      </w:r>
    </w:p>
    <w:p w:rsidR="003D30C1" w:rsidRPr="0070292F" w:rsidRDefault="003D30C1" w:rsidP="0070292F">
      <w:pPr>
        <w:pStyle w:val="OpiHA"/>
        <w:rPr>
          <w:lang w:val="fr-FR"/>
        </w:rPr>
      </w:pPr>
      <w:bookmarkStart w:id="198" w:name="_Toc472493596"/>
      <w:bookmarkStart w:id="199" w:name="_Toc475451890"/>
      <w:r w:rsidRPr="0070292F">
        <w:rPr>
          <w:lang w:val="fr-FR"/>
        </w:rPr>
        <w:t>V.  Recours internes dans le cas d</w:t>
      </w:r>
      <w:r w:rsidR="0070292F" w:rsidRPr="0070292F">
        <w:rPr>
          <w:lang w:val="fr-FR"/>
        </w:rPr>
        <w:t>’</w:t>
      </w:r>
      <w:r w:rsidRPr="0070292F">
        <w:rPr>
          <w:lang w:val="fr-FR"/>
        </w:rPr>
        <w:t>espèce (§§ 49-58)</w:t>
      </w:r>
      <w:bookmarkEnd w:id="198"/>
      <w:bookmarkEnd w:id="199"/>
    </w:p>
    <w:p w:rsidR="003D30C1" w:rsidRPr="0070292F" w:rsidRDefault="003D30C1" w:rsidP="0070292F">
      <w:pPr>
        <w:pStyle w:val="OpiH1"/>
        <w:rPr>
          <w:lang w:val="fr-FR"/>
        </w:rPr>
      </w:pPr>
      <w:bookmarkStart w:id="200" w:name="_Toc472493597"/>
      <w:bookmarkStart w:id="201" w:name="_Toc475451891"/>
      <w:r w:rsidRPr="0070292F">
        <w:rPr>
          <w:lang w:val="fr-FR"/>
        </w:rPr>
        <w:t>A.  Absence de contrôle juridictionnel à bref délai (§§ 49-53)</w:t>
      </w:r>
      <w:bookmarkEnd w:id="200"/>
      <w:bookmarkEnd w:id="201"/>
    </w:p>
    <w:p w:rsidR="003D30C1" w:rsidRPr="0070292F" w:rsidRDefault="003D30C1" w:rsidP="0070292F">
      <w:pPr>
        <w:pStyle w:val="OpiPara"/>
        <w:rPr>
          <w:lang w:val="fr-FR"/>
        </w:rPr>
      </w:pPr>
      <w:r w:rsidRPr="0070292F">
        <w:rPr>
          <w:lang w:val="fr-FR"/>
        </w:rPr>
        <w:t>49.  </w:t>
      </w:r>
      <w:bookmarkStart w:id="202" w:name="lt_pId332"/>
      <w:r w:rsidRPr="0070292F">
        <w:rPr>
          <w:lang w:val="fr-FR"/>
        </w:rPr>
        <w:t>Ayant voté contre l</w:t>
      </w:r>
      <w:r w:rsidR="00E05B2B" w:rsidRPr="0070292F">
        <w:rPr>
          <w:lang w:val="fr-FR"/>
        </w:rPr>
        <w:t>a décision d</w:t>
      </w:r>
      <w:r w:rsidR="0070292F" w:rsidRPr="0070292F">
        <w:rPr>
          <w:lang w:val="fr-FR"/>
        </w:rPr>
        <w:t>’</w:t>
      </w:r>
      <w:r w:rsidRPr="0070292F">
        <w:rPr>
          <w:lang w:val="fr-FR"/>
        </w:rPr>
        <w:t>irrecevabilité du grief tiré de l</w:t>
      </w:r>
      <w:r w:rsidR="0070292F" w:rsidRPr="0070292F">
        <w:rPr>
          <w:lang w:val="fr-FR"/>
        </w:rPr>
        <w:t>’</w:t>
      </w:r>
      <w:r w:rsidRPr="0070292F">
        <w:rPr>
          <w:lang w:val="fr-FR"/>
        </w:rPr>
        <w:t>article</w:t>
      </w:r>
      <w:r w:rsidR="00195188" w:rsidRPr="0070292F">
        <w:rPr>
          <w:lang w:val="fr-FR"/>
        </w:rPr>
        <w:t> </w:t>
      </w:r>
      <w:r w:rsidRPr="0070292F">
        <w:rPr>
          <w:lang w:val="fr-FR"/>
        </w:rPr>
        <w:t xml:space="preserve"> 5, j</w:t>
      </w:r>
      <w:r w:rsidR="0070292F" w:rsidRPr="0070292F">
        <w:rPr>
          <w:lang w:val="fr-FR"/>
        </w:rPr>
        <w:t>’</w:t>
      </w:r>
      <w:r w:rsidRPr="0070292F">
        <w:rPr>
          <w:lang w:val="fr-FR"/>
        </w:rPr>
        <w:t>ai voté sur le fond en faveur d</w:t>
      </w:r>
      <w:r w:rsidR="0070292F" w:rsidRPr="0070292F">
        <w:rPr>
          <w:lang w:val="fr-FR"/>
        </w:rPr>
        <w:t>’</w:t>
      </w:r>
      <w:r w:rsidRPr="0070292F">
        <w:rPr>
          <w:lang w:val="fr-FR"/>
        </w:rPr>
        <w:t>un constat de violation de l</w:t>
      </w:r>
      <w:r w:rsidR="0070292F" w:rsidRPr="0070292F">
        <w:rPr>
          <w:lang w:val="fr-FR"/>
        </w:rPr>
        <w:t>’</w:t>
      </w:r>
      <w:r w:rsidRPr="0070292F">
        <w:rPr>
          <w:lang w:val="fr-FR"/>
        </w:rPr>
        <w:t xml:space="preserve">article </w:t>
      </w:r>
      <w:bookmarkEnd w:id="202"/>
      <w:r w:rsidRPr="0070292F">
        <w:rPr>
          <w:lang w:val="fr-FR"/>
        </w:rPr>
        <w:t>13, et ce pour les raisons exposées ci-après.</w:t>
      </w:r>
    </w:p>
    <w:p w:rsidR="003D30C1" w:rsidRPr="0070292F" w:rsidRDefault="003D30C1" w:rsidP="0070292F">
      <w:pPr>
        <w:pStyle w:val="OpiPara"/>
        <w:rPr>
          <w:lang w:val="fr-FR"/>
        </w:rPr>
      </w:pPr>
      <w:bookmarkStart w:id="203" w:name="lt_pId333"/>
      <w:r w:rsidRPr="0070292F">
        <w:rPr>
          <w:lang w:val="fr-FR"/>
        </w:rPr>
        <w:t>Le requérant a été soumis à un nombre excessif de mesures pénales vastes et diverses, pendant un trop long laps de temps, et de façon disproportionnée aux soupçons vagues et infondés qui pesaient sur lui.</w:t>
      </w:r>
      <w:bookmarkEnd w:id="203"/>
      <w:r w:rsidRPr="0070292F">
        <w:rPr>
          <w:lang w:val="fr-FR"/>
        </w:rPr>
        <w:t xml:space="preserve"> </w:t>
      </w:r>
      <w:bookmarkStart w:id="204" w:name="lt_pId334"/>
      <w:r w:rsidRPr="0070292F">
        <w:rPr>
          <w:lang w:val="fr-FR"/>
        </w:rPr>
        <w:t>Il faut souligner que les mesures en question ont été appliquées au requérant pendant 221 jours, malgré le délai légal de trente jours dont disposait la cour d</w:t>
      </w:r>
      <w:r w:rsidR="0070292F" w:rsidRPr="0070292F">
        <w:rPr>
          <w:lang w:val="fr-FR"/>
        </w:rPr>
        <w:t>’</w:t>
      </w:r>
      <w:r w:rsidRPr="0070292F">
        <w:rPr>
          <w:lang w:val="fr-FR"/>
        </w:rPr>
        <w:t>appel pour statuer.</w:t>
      </w:r>
      <w:bookmarkEnd w:id="204"/>
      <w:r w:rsidRPr="0070292F">
        <w:rPr>
          <w:lang w:val="fr-FR"/>
        </w:rPr>
        <w:t xml:space="preserve"> </w:t>
      </w:r>
      <w:bookmarkStart w:id="205" w:name="lt_pId335"/>
      <w:r w:rsidRPr="0070292F">
        <w:rPr>
          <w:lang w:val="fr-FR"/>
        </w:rPr>
        <w:t>Ce délai, prévu par le droit interne lui-même, n</w:t>
      </w:r>
      <w:r w:rsidR="0070292F" w:rsidRPr="0070292F">
        <w:rPr>
          <w:lang w:val="fr-FR"/>
        </w:rPr>
        <w:t>’</w:t>
      </w:r>
      <w:r w:rsidRPr="0070292F">
        <w:rPr>
          <w:lang w:val="fr-FR"/>
        </w:rPr>
        <w:t>a pas été respecté.</w:t>
      </w:r>
      <w:bookmarkEnd w:id="205"/>
    </w:p>
    <w:p w:rsidR="0070292F" w:rsidRPr="0070292F" w:rsidRDefault="003D30C1" w:rsidP="0070292F">
      <w:pPr>
        <w:pStyle w:val="OpiPara"/>
        <w:rPr>
          <w:lang w:val="fr-FR"/>
        </w:rPr>
      </w:pPr>
      <w:r w:rsidRPr="0070292F">
        <w:rPr>
          <w:lang w:val="fr-FR"/>
        </w:rPr>
        <w:t>50.  En l</w:t>
      </w:r>
      <w:r w:rsidR="0070292F" w:rsidRPr="0070292F">
        <w:rPr>
          <w:lang w:val="fr-FR"/>
        </w:rPr>
        <w:t>’</w:t>
      </w:r>
      <w:r w:rsidRPr="0070292F">
        <w:rPr>
          <w:lang w:val="fr-FR"/>
        </w:rPr>
        <w:t xml:space="preserve">espèce, les mesures ont été annulées </w:t>
      </w:r>
      <w:r w:rsidRPr="0070292F">
        <w:rPr>
          <w:i/>
          <w:lang w:val="fr-FR"/>
        </w:rPr>
        <w:t>ex tunc</w:t>
      </w:r>
      <w:r w:rsidRPr="0070292F">
        <w:rPr>
          <w:lang w:val="fr-FR"/>
        </w:rPr>
        <w:t>, ce qui a remis en cause leur base légale</w:t>
      </w:r>
      <w:r w:rsidRPr="0070292F">
        <w:rPr>
          <w:vertAlign w:val="superscript"/>
          <w:lang w:val="fr-FR"/>
        </w:rPr>
        <w:footnoteReference w:id="69"/>
      </w:r>
      <w:r w:rsidRPr="0070292F">
        <w:rPr>
          <w:lang w:val="fr-FR"/>
        </w:rPr>
        <w:t>. Le requérant a dû supporter une charge excessive puisque l</w:t>
      </w:r>
      <w:r w:rsidR="0070292F" w:rsidRPr="0070292F">
        <w:rPr>
          <w:lang w:val="fr-FR"/>
        </w:rPr>
        <w:t>’</w:t>
      </w:r>
      <w:r w:rsidRPr="0070292F">
        <w:rPr>
          <w:lang w:val="fr-FR"/>
        </w:rPr>
        <w:t>adoption d</w:t>
      </w:r>
      <w:r w:rsidR="0070292F" w:rsidRPr="0070292F">
        <w:rPr>
          <w:lang w:val="fr-FR"/>
        </w:rPr>
        <w:t>’</w:t>
      </w:r>
      <w:r w:rsidRPr="0070292F">
        <w:rPr>
          <w:lang w:val="fr-FR"/>
        </w:rPr>
        <w:t>une décision sur la légalité des mesures en question a pris sept mois alors que la loi prévoit un délai de trente jours, et le juste équilibre a donc été rompu.</w:t>
      </w:r>
    </w:p>
    <w:p w:rsidR="0070292F" w:rsidRPr="0070292F" w:rsidRDefault="003D30C1" w:rsidP="0070292F">
      <w:pPr>
        <w:pStyle w:val="OpiPara"/>
        <w:rPr>
          <w:lang w:val="fr-FR"/>
        </w:rPr>
      </w:pPr>
      <w:r w:rsidRPr="0070292F">
        <w:rPr>
          <w:lang w:val="fr-FR"/>
        </w:rPr>
        <w:t>51.  Cela étant établi, il m</w:t>
      </w:r>
      <w:r w:rsidR="0070292F" w:rsidRPr="0070292F">
        <w:rPr>
          <w:lang w:val="fr-FR"/>
        </w:rPr>
        <w:t>’</w:t>
      </w:r>
      <w:r w:rsidRPr="0070292F">
        <w:rPr>
          <w:lang w:val="fr-FR"/>
        </w:rPr>
        <w:t>apparaît clairement qu</w:t>
      </w:r>
      <w:r w:rsidR="0070292F" w:rsidRPr="0070292F">
        <w:rPr>
          <w:lang w:val="fr-FR"/>
        </w:rPr>
        <w:t>’</w:t>
      </w:r>
      <w:r w:rsidRPr="0070292F">
        <w:rPr>
          <w:lang w:val="fr-FR"/>
        </w:rPr>
        <w:t>il n</w:t>
      </w:r>
      <w:r w:rsidR="0070292F" w:rsidRPr="0070292F">
        <w:rPr>
          <w:lang w:val="fr-FR"/>
        </w:rPr>
        <w:t>’</w:t>
      </w:r>
      <w:r w:rsidRPr="0070292F">
        <w:rPr>
          <w:lang w:val="fr-FR"/>
        </w:rPr>
        <w:t xml:space="preserve">y a pas eu de recours approprié, comme il résulte de la </w:t>
      </w:r>
      <w:r w:rsidRPr="0070292F">
        <w:rPr>
          <w:i/>
          <w:lang w:val="fr-FR"/>
        </w:rPr>
        <w:t>ratio</w:t>
      </w:r>
      <w:r w:rsidRPr="0070292F">
        <w:rPr>
          <w:lang w:val="fr-FR"/>
        </w:rPr>
        <w:t xml:space="preserve"> de l</w:t>
      </w:r>
      <w:r w:rsidR="0070292F" w:rsidRPr="0070292F">
        <w:rPr>
          <w:lang w:val="fr-FR"/>
        </w:rPr>
        <w:t>’</w:t>
      </w:r>
      <w:r w:rsidRPr="0070292F">
        <w:rPr>
          <w:lang w:val="fr-FR"/>
        </w:rPr>
        <w:t>arrêt n</w:t>
      </w:r>
      <w:r w:rsidRPr="0070292F">
        <w:rPr>
          <w:vertAlign w:val="superscript"/>
          <w:lang w:val="fr-FR"/>
        </w:rPr>
        <w:t>o</w:t>
      </w:r>
      <w:r w:rsidRPr="0070292F">
        <w:rPr>
          <w:lang w:val="fr-FR"/>
        </w:rPr>
        <w:t xml:space="preserve"> 93/2010 de la Cour constitutionnelle sur l</w:t>
      </w:r>
      <w:r w:rsidR="0070292F" w:rsidRPr="0070292F">
        <w:rPr>
          <w:lang w:val="fr-FR"/>
        </w:rPr>
        <w:t>’</w:t>
      </w:r>
      <w:r w:rsidRPr="0070292F">
        <w:rPr>
          <w:lang w:val="fr-FR"/>
        </w:rPr>
        <w:t>absence d</w:t>
      </w:r>
      <w:r w:rsidR="0070292F" w:rsidRPr="0070292F">
        <w:rPr>
          <w:lang w:val="fr-FR"/>
        </w:rPr>
        <w:t>’</w:t>
      </w:r>
      <w:r w:rsidRPr="0070292F">
        <w:rPr>
          <w:lang w:val="fr-FR"/>
        </w:rPr>
        <w:t>audience publique devant la cour d</w:t>
      </w:r>
      <w:r w:rsidR="0070292F" w:rsidRPr="0070292F">
        <w:rPr>
          <w:lang w:val="fr-FR"/>
        </w:rPr>
        <w:t>’</w:t>
      </w:r>
      <w:r w:rsidRPr="0070292F">
        <w:rPr>
          <w:lang w:val="fr-FR"/>
        </w:rPr>
        <w:t>appel et la réponse excessivement tardive de la juridiction de deuxième instance.</w:t>
      </w:r>
    </w:p>
    <w:p w:rsidR="003D30C1" w:rsidRPr="0070292F" w:rsidRDefault="003D30C1" w:rsidP="0070292F">
      <w:pPr>
        <w:pStyle w:val="OpiPara"/>
        <w:rPr>
          <w:lang w:val="fr-FR"/>
        </w:rPr>
      </w:pPr>
      <w:r w:rsidRPr="0070292F">
        <w:rPr>
          <w:lang w:val="fr-FR"/>
        </w:rPr>
        <w:t xml:space="preserve">52.  Par ailleurs, </w:t>
      </w:r>
      <w:bookmarkStart w:id="206" w:name="lt_pId342"/>
      <w:r w:rsidRPr="0070292F">
        <w:rPr>
          <w:lang w:val="fr-FR"/>
        </w:rPr>
        <w:t>en garantissant aux détenus un recours pour contester la régularité de leur privation de liberté, l</w:t>
      </w:r>
      <w:r w:rsidR="0070292F" w:rsidRPr="0070292F">
        <w:rPr>
          <w:lang w:val="fr-FR"/>
        </w:rPr>
        <w:t>’</w:t>
      </w:r>
      <w:r w:rsidRPr="0070292F">
        <w:rPr>
          <w:lang w:val="fr-FR"/>
        </w:rPr>
        <w:t>article 5 § 4 consacre aussi le droit pour eux, à la suite de l</w:t>
      </w:r>
      <w:r w:rsidR="0070292F" w:rsidRPr="0070292F">
        <w:rPr>
          <w:lang w:val="fr-FR"/>
        </w:rPr>
        <w:t>’</w:t>
      </w:r>
      <w:r w:rsidRPr="0070292F">
        <w:rPr>
          <w:lang w:val="fr-FR"/>
        </w:rPr>
        <w:t>institution d</w:t>
      </w:r>
      <w:r w:rsidR="0070292F" w:rsidRPr="0070292F">
        <w:rPr>
          <w:lang w:val="fr-FR"/>
        </w:rPr>
        <w:t>’</w:t>
      </w:r>
      <w:r w:rsidRPr="0070292F">
        <w:rPr>
          <w:lang w:val="fr-FR"/>
        </w:rPr>
        <w:t>une telle procédure, d</w:t>
      </w:r>
      <w:r w:rsidR="0070292F" w:rsidRPr="0070292F">
        <w:rPr>
          <w:lang w:val="fr-FR"/>
        </w:rPr>
        <w:t>’</w:t>
      </w:r>
      <w:r w:rsidRPr="0070292F">
        <w:rPr>
          <w:lang w:val="fr-FR"/>
        </w:rPr>
        <w:t>obtenir à bref délai une décision judiciaire concernant la régularité de leur détention et mettant fin à celle-ci si elle se révèle illégale.</w:t>
      </w:r>
      <w:bookmarkEnd w:id="206"/>
      <w:r w:rsidRPr="0070292F">
        <w:rPr>
          <w:lang w:val="fr-FR"/>
        </w:rPr>
        <w:t xml:space="preserve"> </w:t>
      </w:r>
      <w:bookmarkStart w:id="207" w:name="lt_pId343"/>
      <w:r w:rsidRPr="0070292F">
        <w:rPr>
          <w:lang w:val="fr-FR"/>
        </w:rPr>
        <w:t xml:space="preserve">En outre, la question de savoir si le droit des personnes détenues à une décision rapide a bien été respecté </w:t>
      </w:r>
      <w:r w:rsidRPr="0070292F">
        <w:rPr>
          <w:lang w:val="fr-FR"/>
        </w:rPr>
        <w:lastRenderedPageBreak/>
        <w:t>doit être appréciée – comme l</w:t>
      </w:r>
      <w:r w:rsidR="0070292F" w:rsidRPr="0070292F">
        <w:rPr>
          <w:lang w:val="fr-FR"/>
        </w:rPr>
        <w:t>’</w:t>
      </w:r>
      <w:r w:rsidRPr="0070292F">
        <w:rPr>
          <w:lang w:val="fr-FR"/>
        </w:rPr>
        <w:t>observation de l</w:t>
      </w:r>
      <w:r w:rsidR="0070292F" w:rsidRPr="0070292F">
        <w:rPr>
          <w:lang w:val="fr-FR"/>
        </w:rPr>
        <w:t>’</w:t>
      </w:r>
      <w:r w:rsidRPr="0070292F">
        <w:rPr>
          <w:lang w:val="fr-FR"/>
        </w:rPr>
        <w:t>exigence du « délai raisonnable » posée par les articles 5 § 3 et 6 § 1 de la Convention – à la lumière des circonstances de chaque affaire</w:t>
      </w:r>
      <w:bookmarkEnd w:id="207"/>
      <w:r w:rsidRPr="0070292F">
        <w:rPr>
          <w:vertAlign w:val="superscript"/>
          <w:lang w:val="fr-FR"/>
        </w:rPr>
        <w:footnoteReference w:id="70"/>
      </w:r>
      <w:r w:rsidRPr="0070292F">
        <w:rPr>
          <w:lang w:val="fr-FR"/>
        </w:rPr>
        <w:t>.</w:t>
      </w:r>
    </w:p>
    <w:p w:rsidR="003D30C1" w:rsidRPr="0070292F" w:rsidRDefault="003D30C1" w:rsidP="0070292F">
      <w:pPr>
        <w:pStyle w:val="OpiPara"/>
        <w:rPr>
          <w:lang w:val="fr-FR"/>
        </w:rPr>
      </w:pPr>
      <w:r w:rsidRPr="0070292F">
        <w:rPr>
          <w:lang w:val="fr-FR"/>
        </w:rPr>
        <w:t>53.  La procédure engagée devant la cour d</w:t>
      </w:r>
      <w:r w:rsidR="0070292F" w:rsidRPr="0070292F">
        <w:rPr>
          <w:lang w:val="fr-FR"/>
        </w:rPr>
        <w:t>’</w:t>
      </w:r>
      <w:r w:rsidRPr="0070292F">
        <w:rPr>
          <w:lang w:val="fr-FR"/>
        </w:rPr>
        <w:t>appel n</w:t>
      </w:r>
      <w:r w:rsidR="0070292F" w:rsidRPr="0070292F">
        <w:rPr>
          <w:lang w:val="fr-FR"/>
        </w:rPr>
        <w:t>’</w:t>
      </w:r>
      <w:r w:rsidRPr="0070292F">
        <w:rPr>
          <w:lang w:val="fr-FR"/>
        </w:rPr>
        <w:t>était pas compatible avec l</w:t>
      </w:r>
      <w:r w:rsidR="0070292F" w:rsidRPr="0070292F">
        <w:rPr>
          <w:lang w:val="fr-FR"/>
        </w:rPr>
        <w:t>’</w:t>
      </w:r>
      <w:r w:rsidRPr="0070292F">
        <w:rPr>
          <w:lang w:val="fr-FR"/>
        </w:rPr>
        <w:t>article 5 § 4, dès lors qu</w:t>
      </w:r>
      <w:r w:rsidR="0070292F" w:rsidRPr="0070292F">
        <w:rPr>
          <w:lang w:val="fr-FR"/>
        </w:rPr>
        <w:t>’</w:t>
      </w:r>
      <w:r w:rsidRPr="0070292F">
        <w:rPr>
          <w:lang w:val="fr-FR"/>
        </w:rPr>
        <w:t>elle n</w:t>
      </w:r>
      <w:r w:rsidR="0070292F" w:rsidRPr="0070292F">
        <w:rPr>
          <w:lang w:val="fr-FR"/>
        </w:rPr>
        <w:t>’</w:t>
      </w:r>
      <w:r w:rsidRPr="0070292F">
        <w:rPr>
          <w:lang w:val="fr-FR"/>
        </w:rPr>
        <w:t>a pas satisfait à l</w:t>
      </w:r>
      <w:r w:rsidR="0070292F" w:rsidRPr="0070292F">
        <w:rPr>
          <w:lang w:val="fr-FR"/>
        </w:rPr>
        <w:t>’</w:t>
      </w:r>
      <w:r w:rsidRPr="0070292F">
        <w:rPr>
          <w:lang w:val="fr-FR"/>
        </w:rPr>
        <w:t>exigence de célérité. Il y a donc eu violation de l</w:t>
      </w:r>
      <w:r w:rsidR="0070292F" w:rsidRPr="0070292F">
        <w:rPr>
          <w:lang w:val="fr-FR"/>
        </w:rPr>
        <w:t>’</w:t>
      </w:r>
      <w:r w:rsidRPr="0070292F">
        <w:rPr>
          <w:lang w:val="fr-FR"/>
        </w:rPr>
        <w:t>article 5 § 4 de la Convention</w:t>
      </w:r>
      <w:r w:rsidRPr="0070292F">
        <w:rPr>
          <w:vertAlign w:val="superscript"/>
          <w:lang w:val="fr-FR"/>
        </w:rPr>
        <w:footnoteReference w:id="71"/>
      </w:r>
      <w:r w:rsidRPr="0070292F">
        <w:rPr>
          <w:lang w:val="fr-FR"/>
        </w:rPr>
        <w:t>. Le grief tiré de l</w:t>
      </w:r>
      <w:r w:rsidR="0070292F" w:rsidRPr="0070292F">
        <w:rPr>
          <w:lang w:val="fr-FR"/>
        </w:rPr>
        <w:t>’</w:t>
      </w:r>
      <w:r w:rsidRPr="0070292F">
        <w:rPr>
          <w:lang w:val="fr-FR"/>
        </w:rPr>
        <w:t>article 5 ayant été déclaré irrecevable à la majorité, j</w:t>
      </w:r>
      <w:r w:rsidR="0070292F" w:rsidRPr="0070292F">
        <w:rPr>
          <w:lang w:val="fr-FR"/>
        </w:rPr>
        <w:t>’</w:t>
      </w:r>
      <w:r w:rsidRPr="0070292F">
        <w:rPr>
          <w:lang w:val="fr-FR"/>
        </w:rPr>
        <w:t>ai voté en faveur d</w:t>
      </w:r>
      <w:r w:rsidR="0070292F" w:rsidRPr="0070292F">
        <w:rPr>
          <w:lang w:val="fr-FR"/>
        </w:rPr>
        <w:t>’</w:t>
      </w:r>
      <w:r w:rsidRPr="0070292F">
        <w:rPr>
          <w:lang w:val="fr-FR"/>
        </w:rPr>
        <w:t>un constat de violation de l</w:t>
      </w:r>
      <w:r w:rsidR="0070292F" w:rsidRPr="0070292F">
        <w:rPr>
          <w:lang w:val="fr-FR"/>
        </w:rPr>
        <w:t>’</w:t>
      </w:r>
      <w:r w:rsidRPr="0070292F">
        <w:rPr>
          <w:lang w:val="fr-FR"/>
        </w:rPr>
        <w:t>article 13, en raison de la déficience susmentionnée du recours interne en cas d</w:t>
      </w:r>
      <w:r w:rsidR="0070292F" w:rsidRPr="0070292F">
        <w:rPr>
          <w:lang w:val="fr-FR"/>
        </w:rPr>
        <w:t>’</w:t>
      </w:r>
      <w:r w:rsidRPr="0070292F">
        <w:rPr>
          <w:lang w:val="fr-FR"/>
        </w:rPr>
        <w:t>absence de contrôle juridictionnel à bref délai.</w:t>
      </w:r>
    </w:p>
    <w:p w:rsidR="003D30C1" w:rsidRPr="0070292F" w:rsidRDefault="003D30C1" w:rsidP="0070292F">
      <w:pPr>
        <w:pStyle w:val="OpiH1"/>
        <w:rPr>
          <w:lang w:val="fr-FR"/>
        </w:rPr>
      </w:pPr>
      <w:bookmarkStart w:id="208" w:name="_Toc472493598"/>
      <w:bookmarkStart w:id="209" w:name="_Toc475451892"/>
      <w:r w:rsidRPr="0070292F">
        <w:rPr>
          <w:lang w:val="fr-FR"/>
        </w:rPr>
        <w:t>B.  Défaut d</w:t>
      </w:r>
      <w:r w:rsidR="0070292F" w:rsidRPr="0070292F">
        <w:rPr>
          <w:lang w:val="fr-FR"/>
        </w:rPr>
        <w:t>’</w:t>
      </w:r>
      <w:r w:rsidRPr="0070292F">
        <w:rPr>
          <w:lang w:val="fr-FR"/>
        </w:rPr>
        <w:t>indemnisation pour mesure de prévention illégale (§§ 54</w:t>
      </w:r>
      <w:r w:rsidRPr="0070292F">
        <w:rPr>
          <w:lang w:val="fr-FR"/>
        </w:rPr>
        <w:noBreakHyphen/>
        <w:t>58)</w:t>
      </w:r>
      <w:bookmarkEnd w:id="208"/>
      <w:bookmarkEnd w:id="209"/>
    </w:p>
    <w:p w:rsidR="003D30C1" w:rsidRPr="0070292F" w:rsidRDefault="003D30C1" w:rsidP="0070292F">
      <w:pPr>
        <w:pStyle w:val="OpiPara"/>
        <w:rPr>
          <w:lang w:val="fr-FR"/>
        </w:rPr>
      </w:pPr>
      <w:r w:rsidRPr="0070292F">
        <w:rPr>
          <w:lang w:val="fr-FR"/>
        </w:rPr>
        <w:t>54.  Selon la jurisprudence constante de la Cour, le droit à réparation énoncé au paragraphe 5 de l</w:t>
      </w:r>
      <w:r w:rsidR="0070292F" w:rsidRPr="0070292F">
        <w:rPr>
          <w:lang w:val="fr-FR"/>
        </w:rPr>
        <w:t>’</w:t>
      </w:r>
      <w:r w:rsidRPr="0070292F">
        <w:rPr>
          <w:lang w:val="fr-FR"/>
        </w:rPr>
        <w:t>article 5 de la Convention suppose qu</w:t>
      </w:r>
      <w:r w:rsidR="0070292F" w:rsidRPr="0070292F">
        <w:rPr>
          <w:lang w:val="fr-FR"/>
        </w:rPr>
        <w:t>’</w:t>
      </w:r>
      <w:r w:rsidRPr="0070292F">
        <w:rPr>
          <w:lang w:val="fr-FR"/>
        </w:rPr>
        <w:t>une violation de l</w:t>
      </w:r>
      <w:r w:rsidR="0070292F" w:rsidRPr="0070292F">
        <w:rPr>
          <w:lang w:val="fr-FR"/>
        </w:rPr>
        <w:t>’</w:t>
      </w:r>
      <w:r w:rsidRPr="0070292F">
        <w:rPr>
          <w:lang w:val="fr-FR"/>
        </w:rPr>
        <w:t>un des autres paragraphes de cette disposition ait été établie par une autorité nationale ou par les institutions de la Convention</w:t>
      </w:r>
      <w:r w:rsidRPr="0070292F">
        <w:rPr>
          <w:vertAlign w:val="superscript"/>
          <w:lang w:val="fr-FR"/>
        </w:rPr>
        <w:footnoteReference w:id="72"/>
      </w:r>
      <w:r w:rsidRPr="0070292F">
        <w:rPr>
          <w:lang w:val="fr-FR"/>
        </w:rPr>
        <w:t>. En l</w:t>
      </w:r>
      <w:r w:rsidR="0070292F" w:rsidRPr="0070292F">
        <w:rPr>
          <w:lang w:val="fr-FR"/>
        </w:rPr>
        <w:t>’</w:t>
      </w:r>
      <w:r w:rsidRPr="0070292F">
        <w:rPr>
          <w:lang w:val="fr-FR"/>
        </w:rPr>
        <w:t>espèce, le paragraphe 5 aurait dû être appliqué, compte tenu de la violation de l</w:t>
      </w:r>
      <w:r w:rsidR="0070292F" w:rsidRPr="0070292F">
        <w:rPr>
          <w:lang w:val="fr-FR"/>
        </w:rPr>
        <w:t>’</w:t>
      </w:r>
      <w:r w:rsidRPr="0070292F">
        <w:rPr>
          <w:lang w:val="fr-FR"/>
        </w:rPr>
        <w:t xml:space="preserve">article 5 § 1. </w:t>
      </w:r>
      <w:bookmarkStart w:id="210" w:name="lt_pId353"/>
      <w:r w:rsidRPr="0070292F">
        <w:rPr>
          <w:lang w:val="fr-FR"/>
        </w:rPr>
        <w:t>En conséquence, la Cour aurait dû rechercher si le requérant disposait en droit italien d</w:t>
      </w:r>
      <w:r w:rsidR="0070292F" w:rsidRPr="0070292F">
        <w:rPr>
          <w:lang w:val="fr-FR"/>
        </w:rPr>
        <w:t>’</w:t>
      </w:r>
      <w:r w:rsidRPr="0070292F">
        <w:rPr>
          <w:lang w:val="fr-FR"/>
        </w:rPr>
        <w:t>un recours aux fins de l</w:t>
      </w:r>
      <w:r w:rsidR="0070292F" w:rsidRPr="0070292F">
        <w:rPr>
          <w:lang w:val="fr-FR"/>
        </w:rPr>
        <w:t>’</w:t>
      </w:r>
      <w:r w:rsidRPr="0070292F">
        <w:rPr>
          <w:lang w:val="fr-FR"/>
        </w:rPr>
        <w:t>article 5 § 5 de la Convention.</w:t>
      </w:r>
      <w:bookmarkEnd w:id="210"/>
    </w:p>
    <w:p w:rsidR="003D30C1" w:rsidRPr="0070292F" w:rsidRDefault="003D30C1" w:rsidP="0070292F">
      <w:pPr>
        <w:pStyle w:val="OpiPara"/>
        <w:rPr>
          <w:lang w:val="fr-FR"/>
        </w:rPr>
      </w:pPr>
      <w:r w:rsidRPr="0070292F">
        <w:rPr>
          <w:lang w:val="fr-FR"/>
        </w:rPr>
        <w:t>55.  </w:t>
      </w:r>
      <w:bookmarkStart w:id="211" w:name="lt_pId355"/>
      <w:r w:rsidRPr="0070292F">
        <w:rPr>
          <w:lang w:val="fr-FR"/>
        </w:rPr>
        <w:t>L</w:t>
      </w:r>
      <w:r w:rsidR="0070292F" w:rsidRPr="0070292F">
        <w:rPr>
          <w:lang w:val="fr-FR"/>
        </w:rPr>
        <w:t>’</w:t>
      </w:r>
      <w:r w:rsidRPr="0070292F">
        <w:rPr>
          <w:lang w:val="fr-FR"/>
        </w:rPr>
        <w:t>article 314 du code de procédure pénale prévoit un droit à réparation dans deux cas distincts :</w:t>
      </w:r>
      <w:bookmarkEnd w:id="211"/>
      <w:r w:rsidRPr="0070292F">
        <w:rPr>
          <w:lang w:val="fr-FR"/>
        </w:rPr>
        <w:t xml:space="preserve"> </w:t>
      </w:r>
      <w:bookmarkStart w:id="212" w:name="lt_pId356"/>
      <w:r w:rsidRPr="0070292F">
        <w:rPr>
          <w:lang w:val="fr-FR"/>
        </w:rPr>
        <w:t>lorsque, à l</w:t>
      </w:r>
      <w:r w:rsidR="0070292F" w:rsidRPr="0070292F">
        <w:rPr>
          <w:lang w:val="fr-FR"/>
        </w:rPr>
        <w:t>’</w:t>
      </w:r>
      <w:r w:rsidRPr="0070292F">
        <w:rPr>
          <w:lang w:val="fr-FR"/>
        </w:rPr>
        <w:t>issue de la procédure pénale sur le fond, l</w:t>
      </w:r>
      <w:r w:rsidR="0070292F" w:rsidRPr="0070292F">
        <w:rPr>
          <w:lang w:val="fr-FR"/>
        </w:rPr>
        <w:t>’</w:t>
      </w:r>
      <w:r w:rsidRPr="0070292F">
        <w:rPr>
          <w:lang w:val="fr-FR"/>
        </w:rPr>
        <w:t>accusé est acquitté (réparation pour injustice « matérielle », prévue à l</w:t>
      </w:r>
      <w:r w:rsidR="0070292F" w:rsidRPr="0070292F">
        <w:rPr>
          <w:lang w:val="fr-FR"/>
        </w:rPr>
        <w:t>’</w:t>
      </w:r>
      <w:r w:rsidRPr="0070292F">
        <w:rPr>
          <w:lang w:val="fr-FR"/>
        </w:rPr>
        <w:t>alinéa 1) ou lorsqu</w:t>
      </w:r>
      <w:r w:rsidR="0070292F" w:rsidRPr="0070292F">
        <w:rPr>
          <w:lang w:val="fr-FR"/>
        </w:rPr>
        <w:t>’</w:t>
      </w:r>
      <w:r w:rsidRPr="0070292F">
        <w:rPr>
          <w:lang w:val="fr-FR"/>
        </w:rPr>
        <w:t>il est établi que le suspect a été placé ou maintenu en détention provisoire au mépris des articles 273 et 280 du code de procédure pénale (réparation pour injustice « procédurale », prévue à l</w:t>
      </w:r>
      <w:r w:rsidR="0070292F" w:rsidRPr="0070292F">
        <w:rPr>
          <w:lang w:val="fr-FR"/>
        </w:rPr>
        <w:t>’</w:t>
      </w:r>
      <w:r w:rsidRPr="0070292F">
        <w:rPr>
          <w:lang w:val="fr-FR"/>
        </w:rPr>
        <w:t>alinéa 2).</w:t>
      </w:r>
      <w:bookmarkEnd w:id="212"/>
    </w:p>
    <w:p w:rsidR="003D30C1" w:rsidRPr="0070292F" w:rsidRDefault="003D30C1" w:rsidP="0070292F">
      <w:pPr>
        <w:pStyle w:val="OpiPara"/>
        <w:rPr>
          <w:lang w:val="fr-FR"/>
        </w:rPr>
      </w:pPr>
      <w:r w:rsidRPr="0070292F">
        <w:rPr>
          <w:lang w:val="fr-FR"/>
        </w:rPr>
        <w:t>56.  </w:t>
      </w:r>
      <w:bookmarkStart w:id="213" w:name="lt_pId358"/>
      <w:r w:rsidRPr="0070292F">
        <w:rPr>
          <w:lang w:val="fr-FR"/>
        </w:rPr>
        <w:t>Dans son arrêt n</w:t>
      </w:r>
      <w:r w:rsidRPr="0070292F">
        <w:rPr>
          <w:vertAlign w:val="superscript"/>
          <w:lang w:val="fr-FR"/>
        </w:rPr>
        <w:t>o</w:t>
      </w:r>
      <w:r w:rsidRPr="0070292F">
        <w:rPr>
          <w:lang w:val="fr-FR"/>
        </w:rPr>
        <w:t xml:space="preserve"> 310 de 1996, la Cour constitutionnelle a estimé que, au-delà des cas prévus par l</w:t>
      </w:r>
      <w:r w:rsidR="0070292F" w:rsidRPr="0070292F">
        <w:rPr>
          <w:lang w:val="fr-FR"/>
        </w:rPr>
        <w:t>’</w:t>
      </w:r>
      <w:r w:rsidRPr="0070292F">
        <w:rPr>
          <w:lang w:val="fr-FR"/>
        </w:rPr>
        <w:t>article 314 du code de procédure pénale, les individus ont un droit à réparation également dans le cas où la détention injuste est la conséquence d</w:t>
      </w:r>
      <w:r w:rsidR="0070292F" w:rsidRPr="0070292F">
        <w:rPr>
          <w:lang w:val="fr-FR"/>
        </w:rPr>
        <w:t>’</w:t>
      </w:r>
      <w:r w:rsidRPr="0070292F">
        <w:rPr>
          <w:lang w:val="fr-FR"/>
        </w:rPr>
        <w:t>un ordre d</w:t>
      </w:r>
      <w:r w:rsidR="0070292F" w:rsidRPr="0070292F">
        <w:rPr>
          <w:lang w:val="fr-FR"/>
        </w:rPr>
        <w:t>’</w:t>
      </w:r>
      <w:r w:rsidRPr="0070292F">
        <w:rPr>
          <w:lang w:val="fr-FR"/>
        </w:rPr>
        <w:t>exécution de la peine illégitime.</w:t>
      </w:r>
      <w:bookmarkEnd w:id="213"/>
      <w:r w:rsidRPr="0070292F">
        <w:rPr>
          <w:lang w:val="fr-FR"/>
        </w:rPr>
        <w:t xml:space="preserve"> </w:t>
      </w:r>
      <w:bookmarkStart w:id="214" w:name="lt_pId359"/>
      <w:r w:rsidRPr="0070292F">
        <w:rPr>
          <w:lang w:val="fr-FR"/>
        </w:rPr>
        <w:t>En outre, dans son arrêt n</w:t>
      </w:r>
      <w:r w:rsidRPr="0070292F">
        <w:rPr>
          <w:vertAlign w:val="superscript"/>
          <w:lang w:val="fr-FR"/>
        </w:rPr>
        <w:t>o</w:t>
      </w:r>
      <w:r w:rsidRPr="0070292F">
        <w:rPr>
          <w:lang w:val="fr-FR"/>
        </w:rPr>
        <w:t xml:space="preserve"> 284 de 2003, la Cour constitutionnelle a précisé que le droit à réparation pour détention injuste n</w:t>
      </w:r>
      <w:r w:rsidR="0070292F" w:rsidRPr="0070292F">
        <w:rPr>
          <w:lang w:val="fr-FR"/>
        </w:rPr>
        <w:t>’</w:t>
      </w:r>
      <w:r w:rsidRPr="0070292F">
        <w:rPr>
          <w:lang w:val="fr-FR"/>
        </w:rPr>
        <w:t>était pas exclu par le seul motif que l</w:t>
      </w:r>
      <w:r w:rsidR="0070292F" w:rsidRPr="0070292F">
        <w:rPr>
          <w:lang w:val="fr-FR"/>
        </w:rPr>
        <w:t>’</w:t>
      </w:r>
      <w:r w:rsidRPr="0070292F">
        <w:rPr>
          <w:lang w:val="fr-FR"/>
        </w:rPr>
        <w:t>ordre d</w:t>
      </w:r>
      <w:r w:rsidR="0070292F" w:rsidRPr="0070292F">
        <w:rPr>
          <w:lang w:val="fr-FR"/>
        </w:rPr>
        <w:t>’</w:t>
      </w:r>
      <w:r w:rsidRPr="0070292F">
        <w:rPr>
          <w:lang w:val="fr-FR"/>
        </w:rPr>
        <w:t>exécution était légitime ou que la détention était la conséquence d</w:t>
      </w:r>
      <w:r w:rsidR="0070292F" w:rsidRPr="0070292F">
        <w:rPr>
          <w:lang w:val="fr-FR"/>
        </w:rPr>
        <w:t>’</w:t>
      </w:r>
      <w:r w:rsidRPr="0070292F">
        <w:rPr>
          <w:lang w:val="fr-FR"/>
        </w:rPr>
        <w:t>une conduite régulière des autorités internes.</w:t>
      </w:r>
      <w:bookmarkEnd w:id="214"/>
      <w:r w:rsidRPr="0070292F">
        <w:rPr>
          <w:lang w:val="fr-FR"/>
        </w:rPr>
        <w:t xml:space="preserve"> </w:t>
      </w:r>
      <w:bookmarkStart w:id="215" w:name="lt_pId360"/>
      <w:r w:rsidRPr="0070292F">
        <w:rPr>
          <w:lang w:val="fr-FR"/>
        </w:rPr>
        <w:t>Ce qui comptait, c</w:t>
      </w:r>
      <w:r w:rsidR="0070292F" w:rsidRPr="0070292F">
        <w:rPr>
          <w:lang w:val="fr-FR"/>
        </w:rPr>
        <w:t>’</w:t>
      </w:r>
      <w:r w:rsidRPr="0070292F">
        <w:rPr>
          <w:lang w:val="fr-FR"/>
        </w:rPr>
        <w:t>était l</w:t>
      </w:r>
      <w:r w:rsidR="0070292F" w:rsidRPr="0070292F">
        <w:rPr>
          <w:lang w:val="fr-FR"/>
        </w:rPr>
        <w:t>’</w:t>
      </w:r>
      <w:r w:rsidRPr="0070292F">
        <w:rPr>
          <w:lang w:val="fr-FR"/>
        </w:rPr>
        <w:t>injustice objective (</w:t>
      </w:r>
      <w:r w:rsidRPr="0070292F">
        <w:rPr>
          <w:i/>
          <w:lang w:val="fr-FR"/>
        </w:rPr>
        <w:t>obiettiva ingiustizia</w:t>
      </w:r>
      <w:r w:rsidRPr="0070292F">
        <w:rPr>
          <w:lang w:val="fr-FR"/>
        </w:rPr>
        <w:t>) de la privation de liberté.</w:t>
      </w:r>
      <w:bookmarkEnd w:id="215"/>
    </w:p>
    <w:p w:rsidR="003D30C1" w:rsidRPr="0070292F" w:rsidRDefault="003D30C1" w:rsidP="0070292F">
      <w:pPr>
        <w:pStyle w:val="OpiPara"/>
        <w:rPr>
          <w:lang w:val="fr-FR"/>
        </w:rPr>
      </w:pPr>
      <w:r w:rsidRPr="0070292F">
        <w:rPr>
          <w:lang w:val="fr-FR"/>
        </w:rPr>
        <w:lastRenderedPageBreak/>
        <w:t>57.  </w:t>
      </w:r>
      <w:bookmarkStart w:id="216" w:name="lt_pId362"/>
      <w:r w:rsidRPr="0070292F">
        <w:rPr>
          <w:lang w:val="fr-FR"/>
        </w:rPr>
        <w:t>Ce qui précède montre clairement qu</w:t>
      </w:r>
      <w:r w:rsidR="0070292F" w:rsidRPr="0070292F">
        <w:rPr>
          <w:lang w:val="fr-FR"/>
        </w:rPr>
        <w:t>’</w:t>
      </w:r>
      <w:r w:rsidRPr="0070292F">
        <w:rPr>
          <w:lang w:val="fr-FR"/>
        </w:rPr>
        <w:t>aucune disposition ne permettait au requérant de former auprès des juridictions nationales une demande d</w:t>
      </w:r>
      <w:r w:rsidR="0070292F" w:rsidRPr="0070292F">
        <w:rPr>
          <w:lang w:val="fr-FR"/>
        </w:rPr>
        <w:t>’</w:t>
      </w:r>
      <w:r w:rsidRPr="0070292F">
        <w:rPr>
          <w:lang w:val="fr-FR"/>
        </w:rPr>
        <w:t>indemnisation pour une mesure de surveillance spéciale.</w:t>
      </w:r>
      <w:bookmarkEnd w:id="216"/>
      <w:r w:rsidRPr="0070292F">
        <w:rPr>
          <w:lang w:val="fr-FR"/>
        </w:rPr>
        <w:t xml:space="preserve"> </w:t>
      </w:r>
      <w:bookmarkStart w:id="217" w:name="lt_pId363"/>
      <w:r w:rsidRPr="0070292F">
        <w:rPr>
          <w:lang w:val="fr-FR"/>
        </w:rPr>
        <w:t>La lecture de l</w:t>
      </w:r>
      <w:r w:rsidR="0070292F" w:rsidRPr="0070292F">
        <w:rPr>
          <w:lang w:val="fr-FR"/>
        </w:rPr>
        <w:t>’</w:t>
      </w:r>
      <w:r w:rsidRPr="0070292F">
        <w:rPr>
          <w:lang w:val="fr-FR"/>
        </w:rPr>
        <w:t>article 314 du code de procédure pénale et de la jurisprudence pertinente de la Cour constitutionnelle fait apparaître que la possibilité de demander réparation d</w:t>
      </w:r>
      <w:r w:rsidR="0070292F" w:rsidRPr="0070292F">
        <w:rPr>
          <w:lang w:val="fr-FR"/>
        </w:rPr>
        <w:t>’</w:t>
      </w:r>
      <w:r w:rsidRPr="0070292F">
        <w:rPr>
          <w:lang w:val="fr-FR"/>
        </w:rPr>
        <w:t>un préjudice subi en raison d</w:t>
      </w:r>
      <w:r w:rsidR="0070292F" w:rsidRPr="0070292F">
        <w:rPr>
          <w:lang w:val="fr-FR"/>
        </w:rPr>
        <w:t>’</w:t>
      </w:r>
      <w:r w:rsidRPr="0070292F">
        <w:rPr>
          <w:lang w:val="fr-FR"/>
        </w:rPr>
        <w:t>une mesure de surveillance spéciale n</w:t>
      </w:r>
      <w:r w:rsidR="0070292F" w:rsidRPr="0070292F">
        <w:rPr>
          <w:lang w:val="fr-FR"/>
        </w:rPr>
        <w:t>’</w:t>
      </w:r>
      <w:r w:rsidRPr="0070292F">
        <w:rPr>
          <w:lang w:val="fr-FR"/>
        </w:rPr>
        <w:t>est prévue dans aucun des cas de figure évoqués ci</w:t>
      </w:r>
      <w:r w:rsidRPr="0070292F">
        <w:rPr>
          <w:lang w:val="fr-FR"/>
        </w:rPr>
        <w:noBreakHyphen/>
        <w:t>dessus</w:t>
      </w:r>
      <w:bookmarkEnd w:id="217"/>
      <w:r w:rsidRPr="0070292F">
        <w:rPr>
          <w:lang w:val="fr-FR"/>
        </w:rPr>
        <w:t xml:space="preserve">. En fait, le Gouvernement lui-même a déjà reconnu cette lacune dans </w:t>
      </w:r>
      <w:r w:rsidRPr="0070292F">
        <w:rPr>
          <w:i/>
          <w:lang w:val="fr-FR"/>
        </w:rPr>
        <w:t>Vito</w:t>
      </w:r>
      <w:r w:rsidRPr="0070292F">
        <w:rPr>
          <w:lang w:val="fr-FR"/>
        </w:rPr>
        <w:t xml:space="preserve"> </w:t>
      </w:r>
      <w:r w:rsidRPr="0070292F">
        <w:rPr>
          <w:i/>
          <w:lang w:val="fr-FR"/>
        </w:rPr>
        <w:t>Sante Santoro</w:t>
      </w:r>
      <w:r w:rsidRPr="0070292F">
        <w:rPr>
          <w:lang w:val="fr-FR"/>
        </w:rPr>
        <w:t xml:space="preserve"> (précité)</w:t>
      </w:r>
      <w:r w:rsidRPr="0070292F">
        <w:rPr>
          <w:vertAlign w:val="superscript"/>
          <w:lang w:val="fr-FR"/>
        </w:rPr>
        <w:footnoteReference w:id="73"/>
      </w:r>
      <w:r w:rsidRPr="0070292F">
        <w:rPr>
          <w:lang w:val="fr-FR"/>
        </w:rPr>
        <w:t>.</w:t>
      </w:r>
    </w:p>
    <w:p w:rsidR="0070292F" w:rsidRPr="0070292F" w:rsidRDefault="003D30C1" w:rsidP="0070292F">
      <w:pPr>
        <w:pStyle w:val="OpiPara"/>
        <w:rPr>
          <w:lang w:val="fr-FR"/>
        </w:rPr>
      </w:pPr>
      <w:r w:rsidRPr="0070292F">
        <w:rPr>
          <w:lang w:val="fr-FR"/>
        </w:rPr>
        <w:t>58.  En conséquence, il y a également eu violation du paragraphe 5 de l</w:t>
      </w:r>
      <w:r w:rsidR="0070292F" w:rsidRPr="0070292F">
        <w:rPr>
          <w:lang w:val="fr-FR"/>
        </w:rPr>
        <w:t>’</w:t>
      </w:r>
      <w:r w:rsidRPr="0070292F">
        <w:rPr>
          <w:lang w:val="fr-FR"/>
        </w:rPr>
        <w:t>article 5 de la Convention</w:t>
      </w:r>
      <w:r w:rsidRPr="0070292F">
        <w:rPr>
          <w:vertAlign w:val="superscript"/>
          <w:lang w:val="fr-FR"/>
        </w:rPr>
        <w:footnoteReference w:id="74"/>
      </w:r>
      <w:r w:rsidRPr="0070292F">
        <w:rPr>
          <w:lang w:val="fr-FR"/>
        </w:rPr>
        <w:t>. Eu égard aux conclusions de la majorité relativement à l</w:t>
      </w:r>
      <w:r w:rsidR="0070292F" w:rsidRPr="0070292F">
        <w:rPr>
          <w:lang w:val="fr-FR"/>
        </w:rPr>
        <w:t>’</w:t>
      </w:r>
      <w:r w:rsidRPr="0070292F">
        <w:rPr>
          <w:lang w:val="fr-FR"/>
        </w:rPr>
        <w:t>article 5, j</w:t>
      </w:r>
      <w:r w:rsidR="0070292F" w:rsidRPr="0070292F">
        <w:rPr>
          <w:lang w:val="fr-FR"/>
        </w:rPr>
        <w:t>’</w:t>
      </w:r>
      <w:r w:rsidRPr="0070292F">
        <w:rPr>
          <w:lang w:val="fr-FR"/>
        </w:rPr>
        <w:t>ai voté en faveur d</w:t>
      </w:r>
      <w:r w:rsidR="0070292F" w:rsidRPr="0070292F">
        <w:rPr>
          <w:lang w:val="fr-FR"/>
        </w:rPr>
        <w:t>’</w:t>
      </w:r>
      <w:r w:rsidRPr="0070292F">
        <w:rPr>
          <w:lang w:val="fr-FR"/>
        </w:rPr>
        <w:t>un constat de violation de l</w:t>
      </w:r>
      <w:r w:rsidR="0070292F" w:rsidRPr="0070292F">
        <w:rPr>
          <w:lang w:val="fr-FR"/>
        </w:rPr>
        <w:t>’</w:t>
      </w:r>
      <w:r w:rsidRPr="0070292F">
        <w:rPr>
          <w:lang w:val="fr-FR"/>
        </w:rPr>
        <w:t>article 13 de la Convention, car les voies de recours internes n</w:t>
      </w:r>
      <w:r w:rsidR="0070292F" w:rsidRPr="0070292F">
        <w:rPr>
          <w:lang w:val="fr-FR"/>
        </w:rPr>
        <w:t>’</w:t>
      </w:r>
      <w:r w:rsidRPr="0070292F">
        <w:rPr>
          <w:lang w:val="fr-FR"/>
        </w:rPr>
        <w:t>ont pas permis la réparation du dommage subi par le requérant, lacune qui s</w:t>
      </w:r>
      <w:r w:rsidR="0070292F" w:rsidRPr="0070292F">
        <w:rPr>
          <w:lang w:val="fr-FR"/>
        </w:rPr>
        <w:t>’</w:t>
      </w:r>
      <w:r w:rsidRPr="0070292F">
        <w:rPr>
          <w:lang w:val="fr-FR"/>
        </w:rPr>
        <w:t>est ajoutée à l</w:t>
      </w:r>
      <w:r w:rsidR="0070292F" w:rsidRPr="0070292F">
        <w:rPr>
          <w:lang w:val="fr-FR"/>
        </w:rPr>
        <w:t>’</w:t>
      </w:r>
      <w:r w:rsidRPr="0070292F">
        <w:rPr>
          <w:lang w:val="fr-FR"/>
        </w:rPr>
        <w:t>absence d</w:t>
      </w:r>
      <w:r w:rsidR="0070292F" w:rsidRPr="0070292F">
        <w:rPr>
          <w:lang w:val="fr-FR"/>
        </w:rPr>
        <w:t>’</w:t>
      </w:r>
      <w:r w:rsidRPr="0070292F">
        <w:rPr>
          <w:lang w:val="fr-FR"/>
        </w:rPr>
        <w:t>un contrôle juridictionnel à bref délai.</w:t>
      </w:r>
    </w:p>
    <w:p w:rsidR="003D30C1" w:rsidRPr="0070292F" w:rsidRDefault="003D30C1" w:rsidP="0070292F">
      <w:pPr>
        <w:pStyle w:val="OpiHA"/>
        <w:rPr>
          <w:lang w:val="fr-FR"/>
        </w:rPr>
      </w:pPr>
      <w:bookmarkStart w:id="218" w:name="_Toc472493599"/>
      <w:bookmarkStart w:id="219" w:name="_Toc475451893"/>
      <w:r w:rsidRPr="0070292F">
        <w:rPr>
          <w:lang w:val="fr-FR"/>
        </w:rPr>
        <w:t>VI</w:t>
      </w:r>
      <w:r w:rsidRPr="0070292F">
        <w:rPr>
          <w:rFonts w:ascii="Sylfaen" w:hAnsi="Sylfaen"/>
          <w:lang w:val="fr-FR"/>
        </w:rPr>
        <w:t>.</w:t>
      </w:r>
      <w:r w:rsidRPr="0070292F">
        <w:rPr>
          <w:lang w:val="fr-FR"/>
        </w:rPr>
        <w:t>  Conclusion (§§ 59-60)</w:t>
      </w:r>
      <w:bookmarkEnd w:id="218"/>
      <w:bookmarkEnd w:id="219"/>
    </w:p>
    <w:p w:rsidR="0070292F" w:rsidRPr="0070292F" w:rsidRDefault="003D30C1" w:rsidP="0070292F">
      <w:pPr>
        <w:pStyle w:val="OpiPara"/>
        <w:rPr>
          <w:lang w:val="fr-FR"/>
        </w:rPr>
      </w:pPr>
      <w:r w:rsidRPr="0070292F">
        <w:rPr>
          <w:lang w:val="fr-FR"/>
        </w:rPr>
        <w:t xml:space="preserve">59.  Les articles 5 et 6 (volet pénal) de la Convention sont applicables à la présente affaire. </w:t>
      </w:r>
      <w:bookmarkStart w:id="220" w:name="lt_pId372"/>
      <w:r w:rsidRPr="0070292F">
        <w:rPr>
          <w:lang w:val="fr-FR"/>
        </w:rPr>
        <w:t>En raison d</w:t>
      </w:r>
      <w:r w:rsidR="0070292F" w:rsidRPr="0070292F">
        <w:rPr>
          <w:lang w:val="fr-FR"/>
        </w:rPr>
        <w:t>’</w:t>
      </w:r>
      <w:r w:rsidRPr="0070292F">
        <w:rPr>
          <w:lang w:val="fr-FR"/>
        </w:rPr>
        <w:t>une série de mesures pénales draconiennes, le requérant a été victime de la violation de ses droits découlant de ces articles.</w:t>
      </w:r>
      <w:bookmarkEnd w:id="220"/>
      <w:r w:rsidRPr="0070292F">
        <w:rPr>
          <w:lang w:val="fr-FR"/>
        </w:rPr>
        <w:t xml:space="preserve"> Ces mesures sont un vestige obsolète de structures juridiques liberticides, </w:t>
      </w:r>
      <w:r w:rsidRPr="0070292F">
        <w:rPr>
          <w:i/>
          <w:lang w:val="fr-FR"/>
        </w:rPr>
        <w:t>un reliquato superato di strutture giuridiche liberticide</w:t>
      </w:r>
      <w:r w:rsidRPr="0070292F">
        <w:rPr>
          <w:lang w:val="fr-FR"/>
        </w:rPr>
        <w:t xml:space="preserve"> qui, à la lumière des conditions actuelles</w:t>
      </w:r>
      <w:r w:rsidRPr="0070292F">
        <w:rPr>
          <w:vertAlign w:val="superscript"/>
          <w:lang w:val="fr-FR"/>
        </w:rPr>
        <w:footnoteReference w:id="75"/>
      </w:r>
      <w:r w:rsidRPr="0070292F">
        <w:rPr>
          <w:lang w:val="fr-FR"/>
        </w:rPr>
        <w:t xml:space="preserve">, sont totalement contraires à la prééminence du droit inhérente à un </w:t>
      </w:r>
      <w:r w:rsidRPr="0070292F">
        <w:rPr>
          <w:rFonts w:cstheme="minorHAnsi"/>
          <w:lang w:val="fr-FR"/>
        </w:rPr>
        <w:t>É</w:t>
      </w:r>
      <w:r w:rsidRPr="0070292F">
        <w:rPr>
          <w:lang w:val="fr-FR"/>
        </w:rPr>
        <w:t>tat démocratique, au droit à la liberté et aux exigences élémentaires d</w:t>
      </w:r>
      <w:r w:rsidR="0070292F" w:rsidRPr="0070292F">
        <w:rPr>
          <w:lang w:val="fr-FR"/>
        </w:rPr>
        <w:t>’</w:t>
      </w:r>
      <w:r w:rsidRPr="0070292F">
        <w:rPr>
          <w:lang w:val="fr-FR"/>
        </w:rPr>
        <w:t>équité et de publicité du procès, consacrées par les articles 5 et 6 de la Convention, sans parler d</w:t>
      </w:r>
      <w:r w:rsidR="0070292F" w:rsidRPr="0070292F">
        <w:rPr>
          <w:lang w:val="fr-FR"/>
        </w:rPr>
        <w:t>’</w:t>
      </w:r>
      <w:r w:rsidRPr="0070292F">
        <w:rPr>
          <w:lang w:val="fr-FR"/>
        </w:rPr>
        <w:t>autres libertés et droits fondamentaux comme la liberté de réunion.</w:t>
      </w:r>
    </w:p>
    <w:p w:rsidR="003D30C1" w:rsidRPr="0070292F" w:rsidRDefault="003D30C1" w:rsidP="0070292F">
      <w:pPr>
        <w:pStyle w:val="OpiPara"/>
        <w:rPr>
          <w:lang w:val="fr-FR"/>
        </w:rPr>
      </w:pPr>
      <w:r w:rsidRPr="0070292F">
        <w:rPr>
          <w:lang w:val="fr-FR"/>
        </w:rPr>
        <w:t>60.  La marche à suivre est claire</w:t>
      </w:r>
      <w:r w:rsidRPr="0070292F">
        <w:rPr>
          <w:b/>
          <w:lang w:val="fr-FR"/>
        </w:rPr>
        <w:t> </w:t>
      </w:r>
      <w:r w:rsidRPr="0070292F">
        <w:rPr>
          <w:lang w:val="fr-FR"/>
        </w:rPr>
        <w:t>: le législateur italien doit de toute évidence tirer du présent arrêt toutes les conclusions logiques qui s</w:t>
      </w:r>
      <w:r w:rsidR="0070292F" w:rsidRPr="0070292F">
        <w:rPr>
          <w:lang w:val="fr-FR"/>
        </w:rPr>
        <w:t>’</w:t>
      </w:r>
      <w:r w:rsidRPr="0070292F">
        <w:rPr>
          <w:lang w:val="fr-FR"/>
        </w:rPr>
        <w:t>imposent au sujet du récent décret législatif n</w:t>
      </w:r>
      <w:r w:rsidRPr="0070292F">
        <w:rPr>
          <w:vertAlign w:val="superscript"/>
          <w:lang w:val="fr-FR"/>
        </w:rPr>
        <w:t>o</w:t>
      </w:r>
      <w:r w:rsidRPr="0070292F">
        <w:rPr>
          <w:lang w:val="fr-FR"/>
        </w:rPr>
        <w:t xml:space="preserve"> 159/2011. Le plus tôt sera le mieux.</w:t>
      </w:r>
      <w:bookmarkEnd w:id="80"/>
    </w:p>
    <w:p w:rsidR="003D30C1" w:rsidRPr="0070292F" w:rsidRDefault="003D30C1" w:rsidP="0070292F">
      <w:pPr>
        <w:ind w:firstLine="284"/>
        <w:rPr>
          <w:lang w:val="fr-FR"/>
        </w:rPr>
      </w:pPr>
    </w:p>
    <w:p w:rsidR="00B05991" w:rsidRPr="0070292F" w:rsidRDefault="00B05991" w:rsidP="0070292F">
      <w:pPr>
        <w:pStyle w:val="OpiPara"/>
        <w:rPr>
          <w:lang w:val="fr-FR"/>
        </w:rPr>
      </w:pPr>
    </w:p>
    <w:p w:rsidR="003102D9" w:rsidRPr="0070292F" w:rsidRDefault="003102D9" w:rsidP="0070292F">
      <w:pPr>
        <w:ind w:firstLine="284"/>
        <w:rPr>
          <w:lang w:val="fr-FR"/>
        </w:rPr>
      </w:pPr>
      <w:r w:rsidRPr="0070292F">
        <w:rPr>
          <w:lang w:val="fr-FR"/>
        </w:rPr>
        <w:br w:type="page"/>
      </w:r>
    </w:p>
    <w:p w:rsidR="005103F7" w:rsidRPr="0070292F" w:rsidRDefault="005103F7" w:rsidP="0070292F">
      <w:pPr>
        <w:pStyle w:val="ECHRTitleCentre1"/>
        <w:rPr>
          <w:lang w:val="fr-FR"/>
        </w:rPr>
      </w:pPr>
      <w:bookmarkStart w:id="221" w:name="_Toc475451894"/>
      <w:r w:rsidRPr="0070292F">
        <w:rPr>
          <w:lang w:val="fr-FR"/>
        </w:rPr>
        <w:lastRenderedPageBreak/>
        <w:t>OPINION EN PARTIE DISSIDENTE DU JUGE KŪRIS</w:t>
      </w:r>
      <w:bookmarkEnd w:id="221"/>
    </w:p>
    <w:p w:rsidR="005103F7" w:rsidRPr="0070292F" w:rsidRDefault="005103F7" w:rsidP="0070292F">
      <w:pPr>
        <w:pStyle w:val="OpiTranslation"/>
        <w:rPr>
          <w:lang w:val="fr-FR"/>
        </w:rPr>
      </w:pPr>
      <w:bookmarkStart w:id="222" w:name="_Toc475451895"/>
      <w:r w:rsidRPr="0070292F">
        <w:rPr>
          <w:lang w:val="fr-FR"/>
        </w:rPr>
        <w:t>(Traduction)</w:t>
      </w:r>
      <w:bookmarkEnd w:id="222"/>
    </w:p>
    <w:p w:rsidR="005103F7" w:rsidRPr="0070292F" w:rsidRDefault="005103F7" w:rsidP="0070292F">
      <w:pPr>
        <w:ind w:firstLine="284"/>
        <w:rPr>
          <w:lang w:val="fr-FR"/>
        </w:rPr>
      </w:pPr>
    </w:p>
    <w:p w:rsidR="005103F7" w:rsidRPr="0070292F" w:rsidRDefault="005103F7" w:rsidP="0070292F">
      <w:pPr>
        <w:pStyle w:val="OpiPara"/>
        <w:rPr>
          <w:lang w:val="fr-FR"/>
        </w:rPr>
      </w:pPr>
      <w:r w:rsidRPr="0070292F">
        <w:rPr>
          <w:lang w:val="fr-FR"/>
        </w:rPr>
        <w:t>1.  Comme le juge Pinto de Albuquerque, je suis d</w:t>
      </w:r>
      <w:r w:rsidR="0070292F" w:rsidRPr="0070292F">
        <w:rPr>
          <w:lang w:val="fr-FR"/>
        </w:rPr>
        <w:t>’</w:t>
      </w:r>
      <w:r w:rsidRPr="0070292F">
        <w:rPr>
          <w:lang w:val="fr-FR"/>
        </w:rPr>
        <w:t>avis que l</w:t>
      </w:r>
      <w:r w:rsidR="0070292F" w:rsidRPr="0070292F">
        <w:rPr>
          <w:lang w:val="fr-FR"/>
        </w:rPr>
        <w:t>’</w:t>
      </w:r>
      <w:r w:rsidRPr="0070292F">
        <w:rPr>
          <w:lang w:val="fr-FR"/>
        </w:rPr>
        <w:t>article 5 de la Convention était applicable au cas d</w:t>
      </w:r>
      <w:r w:rsidR="0070292F" w:rsidRPr="0070292F">
        <w:rPr>
          <w:lang w:val="fr-FR"/>
        </w:rPr>
        <w:t>’</w:t>
      </w:r>
      <w:r w:rsidRPr="0070292F">
        <w:rPr>
          <w:lang w:val="fr-FR"/>
        </w:rPr>
        <w:t>espèce. Je souscris résolument aux arguments de mon éminent collègue, exposés dans son opinion en partie dissidente, concernant le caractère pénal des mesures « préventives » imposées au requérant. Je mets le terme « préventives » entre guillemets car, comme le dossier le montre sans équivoque, aux fins du droit interne appliqué il n</w:t>
      </w:r>
      <w:r w:rsidR="0070292F" w:rsidRPr="0070292F">
        <w:rPr>
          <w:lang w:val="fr-FR"/>
        </w:rPr>
        <w:t>’</w:t>
      </w:r>
      <w:r w:rsidRPr="0070292F">
        <w:rPr>
          <w:lang w:val="fr-FR"/>
        </w:rPr>
        <w:t>y avait absolument rien à « prévenir » dans la conduite du requérant (je développerai ce point le moment venu). J</w:t>
      </w:r>
      <w:r w:rsidR="0070292F" w:rsidRPr="0070292F">
        <w:rPr>
          <w:lang w:val="fr-FR"/>
        </w:rPr>
        <w:t>’</w:t>
      </w:r>
      <w:r w:rsidRPr="0070292F">
        <w:rPr>
          <w:lang w:val="fr-FR"/>
        </w:rPr>
        <w:t>adhère également à l</w:t>
      </w:r>
      <w:r w:rsidR="0070292F" w:rsidRPr="0070292F">
        <w:rPr>
          <w:lang w:val="fr-FR"/>
        </w:rPr>
        <w:t>’</w:t>
      </w:r>
      <w:r w:rsidRPr="0070292F">
        <w:rPr>
          <w:lang w:val="fr-FR"/>
        </w:rPr>
        <w:t>argument selon lequel, dans les circonstances de l</w:t>
      </w:r>
      <w:r w:rsidR="0070292F" w:rsidRPr="0070292F">
        <w:rPr>
          <w:lang w:val="fr-FR"/>
        </w:rPr>
        <w:t>’</w:t>
      </w:r>
      <w:r w:rsidRPr="0070292F">
        <w:rPr>
          <w:lang w:val="fr-FR"/>
        </w:rPr>
        <w:t xml:space="preserve">espèce, ces mesures auraient été assimilées à une privation de liberté si elles avaient été évaluées « accumulées et combinées », comme requis par le critère </w:t>
      </w:r>
      <w:r w:rsidRPr="0070292F">
        <w:rPr>
          <w:i/>
          <w:lang w:val="fr-FR"/>
        </w:rPr>
        <w:t>Guzzardi</w:t>
      </w:r>
      <w:r w:rsidRPr="0070292F">
        <w:rPr>
          <w:lang w:val="fr-FR"/>
        </w:rPr>
        <w:t>. En particulier, le requérant en l</w:t>
      </w:r>
      <w:r w:rsidR="0070292F" w:rsidRPr="0070292F">
        <w:rPr>
          <w:lang w:val="fr-FR"/>
        </w:rPr>
        <w:t>’</w:t>
      </w:r>
      <w:r w:rsidRPr="0070292F">
        <w:rPr>
          <w:lang w:val="fr-FR"/>
        </w:rPr>
        <w:t>espèce, contrairement au requérant dans l</w:t>
      </w:r>
      <w:r w:rsidR="0070292F" w:rsidRPr="0070292F">
        <w:rPr>
          <w:lang w:val="fr-FR"/>
        </w:rPr>
        <w:t>’</w:t>
      </w:r>
      <w:r w:rsidRPr="0070292F">
        <w:rPr>
          <w:lang w:val="fr-FR"/>
        </w:rPr>
        <w:t xml:space="preserve">affaire </w:t>
      </w:r>
      <w:r w:rsidRPr="0070292F">
        <w:rPr>
          <w:i/>
          <w:lang w:val="fr-FR"/>
        </w:rPr>
        <w:t>Guzzardi</w:t>
      </w:r>
      <w:r w:rsidRPr="0070292F">
        <w:rPr>
          <w:lang w:val="fr-FR"/>
        </w:rPr>
        <w:t xml:space="preserve"> (6 novembre 1980,</w:t>
      </w:r>
      <w:r w:rsidRPr="0070292F">
        <w:rPr>
          <w:i/>
          <w:lang w:val="fr-FR"/>
        </w:rPr>
        <w:t xml:space="preserve"> </w:t>
      </w:r>
      <w:r w:rsidRPr="0070292F">
        <w:rPr>
          <w:lang w:val="fr-FR"/>
        </w:rPr>
        <w:t>§ 108, série A n</w:t>
      </w:r>
      <w:r w:rsidRPr="0070292F">
        <w:rPr>
          <w:vertAlign w:val="superscript"/>
          <w:lang w:val="fr-FR"/>
        </w:rPr>
        <w:t>o</w:t>
      </w:r>
      <w:r w:rsidRPr="0070292F">
        <w:rPr>
          <w:lang w:val="fr-FR"/>
        </w:rPr>
        <w:t xml:space="preserve"> 39), n</w:t>
      </w:r>
      <w:r w:rsidR="0070292F" w:rsidRPr="0070292F">
        <w:rPr>
          <w:lang w:val="fr-FR"/>
        </w:rPr>
        <w:t>’</w:t>
      </w:r>
      <w:r w:rsidRPr="0070292F">
        <w:rPr>
          <w:lang w:val="fr-FR"/>
        </w:rPr>
        <w:t xml:space="preserve">était certes pas obligé de vivre sur une île, mais les mesures « préventives » lui ont été appliquées pendant une période bien plus longue – 221 jours (et nuits), contre 165 jours dans </w:t>
      </w:r>
      <w:r w:rsidRPr="0070292F">
        <w:rPr>
          <w:i/>
          <w:lang w:val="fr-FR"/>
        </w:rPr>
        <w:t>Guzzardi</w:t>
      </w:r>
      <w:r w:rsidRPr="0070292F">
        <w:rPr>
          <w:lang w:val="fr-FR"/>
        </w:rPr>
        <w:t>. En l</w:t>
      </w:r>
      <w:r w:rsidR="0070292F" w:rsidRPr="0070292F">
        <w:rPr>
          <w:lang w:val="fr-FR"/>
        </w:rPr>
        <w:t>’</w:t>
      </w:r>
      <w:r w:rsidRPr="0070292F">
        <w:rPr>
          <w:lang w:val="fr-FR"/>
        </w:rPr>
        <w:t>espèce, une évaluation « cumulée » des mesures litigieuses aurait appelé la mise en œuvre d</w:t>
      </w:r>
      <w:r w:rsidR="0070292F" w:rsidRPr="0070292F">
        <w:rPr>
          <w:lang w:val="fr-FR"/>
        </w:rPr>
        <w:t>’</w:t>
      </w:r>
      <w:r w:rsidRPr="0070292F">
        <w:rPr>
          <w:lang w:val="fr-FR"/>
        </w:rPr>
        <w:t>un examen bien plus minutieux de l</w:t>
      </w:r>
      <w:r w:rsidR="0070292F" w:rsidRPr="0070292F">
        <w:rPr>
          <w:lang w:val="fr-FR"/>
        </w:rPr>
        <w:t>’</w:t>
      </w:r>
      <w:r w:rsidRPr="0070292F">
        <w:rPr>
          <w:lang w:val="fr-FR"/>
        </w:rPr>
        <w:t>ensemble des circonstances factuelles pertinentes, notamment de l</w:t>
      </w:r>
      <w:r w:rsidR="0070292F" w:rsidRPr="0070292F">
        <w:rPr>
          <w:lang w:val="fr-FR"/>
        </w:rPr>
        <w:t>’</w:t>
      </w:r>
      <w:r w:rsidRPr="0070292F">
        <w:rPr>
          <w:lang w:val="fr-FR"/>
        </w:rPr>
        <w:t>essence de toutes les mesures restrictives, prises individuellement et « combinées », ainsi que du fait qu</w:t>
      </w:r>
      <w:r w:rsidR="0070292F" w:rsidRPr="0070292F">
        <w:rPr>
          <w:lang w:val="fr-FR"/>
        </w:rPr>
        <w:t>’</w:t>
      </w:r>
      <w:r w:rsidRPr="0070292F">
        <w:rPr>
          <w:lang w:val="fr-FR"/>
        </w:rPr>
        <w:t>elles avaient été imposées au requérant assorties d</w:t>
      </w:r>
      <w:r w:rsidR="0070292F" w:rsidRPr="0070292F">
        <w:rPr>
          <w:lang w:val="fr-FR"/>
        </w:rPr>
        <w:t>’</w:t>
      </w:r>
      <w:r w:rsidRPr="0070292F">
        <w:rPr>
          <w:lang w:val="fr-FR"/>
        </w:rPr>
        <w:t>une menace d</w:t>
      </w:r>
      <w:r w:rsidR="0070292F" w:rsidRPr="0070292F">
        <w:rPr>
          <w:lang w:val="fr-FR"/>
        </w:rPr>
        <w:t>’</w:t>
      </w:r>
      <w:r w:rsidRPr="0070292F">
        <w:rPr>
          <w:lang w:val="fr-FR"/>
        </w:rPr>
        <w:t>emprisonnement (fort réaliste). La nécessité d</w:t>
      </w:r>
      <w:r w:rsidR="0070292F" w:rsidRPr="0070292F">
        <w:rPr>
          <w:lang w:val="fr-FR"/>
        </w:rPr>
        <w:t>’</w:t>
      </w:r>
      <w:r w:rsidRPr="0070292F">
        <w:rPr>
          <w:lang w:val="fr-FR"/>
        </w:rPr>
        <w:t>un examen aussi approfondi des circonstances factuelles présupposait l</w:t>
      </w:r>
      <w:r w:rsidR="0070292F" w:rsidRPr="0070292F">
        <w:rPr>
          <w:lang w:val="fr-FR"/>
        </w:rPr>
        <w:t>’</w:t>
      </w:r>
      <w:r w:rsidRPr="0070292F">
        <w:rPr>
          <w:lang w:val="fr-FR"/>
        </w:rPr>
        <w:t>examen du grief tiré de l</w:t>
      </w:r>
      <w:r w:rsidR="0070292F" w:rsidRPr="0070292F">
        <w:rPr>
          <w:lang w:val="fr-FR"/>
        </w:rPr>
        <w:t>’</w:t>
      </w:r>
      <w:r w:rsidRPr="0070292F">
        <w:rPr>
          <w:lang w:val="fr-FR"/>
        </w:rPr>
        <w:t>article 5.</w:t>
      </w:r>
    </w:p>
    <w:p w:rsidR="005103F7" w:rsidRPr="0070292F" w:rsidRDefault="005103F7" w:rsidP="0070292F">
      <w:pPr>
        <w:pStyle w:val="OpiPara"/>
        <w:rPr>
          <w:lang w:val="fr-FR"/>
        </w:rPr>
      </w:pPr>
      <w:r w:rsidRPr="0070292F">
        <w:rPr>
          <w:bCs/>
          <w:lang w:val="fr-FR"/>
        </w:rPr>
        <w:t>Ainsi, tout en souscrivant à la doctrine qui dit que « en proclamant le « droit à la liberté », le paragraphe 1 de l</w:t>
      </w:r>
      <w:r w:rsidR="0070292F" w:rsidRPr="0070292F">
        <w:rPr>
          <w:bCs/>
          <w:lang w:val="fr-FR"/>
        </w:rPr>
        <w:t>’</w:t>
      </w:r>
      <w:r w:rsidRPr="0070292F">
        <w:rPr>
          <w:bCs/>
          <w:lang w:val="fr-FR"/>
        </w:rPr>
        <w:t>article 5 vise la liberté physique de la personne »</w:t>
      </w:r>
      <w:r w:rsidRPr="0070292F">
        <w:rPr>
          <w:lang w:val="fr-FR"/>
        </w:rPr>
        <w:t>, que « [p]our déterminer si un individu se trouve « privé de sa liberté » au sens de l</w:t>
      </w:r>
      <w:r w:rsidR="0070292F" w:rsidRPr="0070292F">
        <w:rPr>
          <w:lang w:val="fr-FR"/>
        </w:rPr>
        <w:t>’</w:t>
      </w:r>
      <w:r w:rsidRPr="0070292F">
        <w:rPr>
          <w:lang w:val="fr-FR"/>
        </w:rPr>
        <w:t>article 5, il faut partir de sa situation concrète et prendre en compte un ensemble de critères comme le genre, la durée, les effets et les modalités d</w:t>
      </w:r>
      <w:r w:rsidR="0070292F" w:rsidRPr="0070292F">
        <w:rPr>
          <w:lang w:val="fr-FR"/>
        </w:rPr>
        <w:t>’</w:t>
      </w:r>
      <w:r w:rsidRPr="0070292F">
        <w:rPr>
          <w:lang w:val="fr-FR"/>
        </w:rPr>
        <w:t>exécution de la mesure considérée » et que « [e]ntre privation et restriction de liberté, il n</w:t>
      </w:r>
      <w:r w:rsidR="0070292F" w:rsidRPr="0070292F">
        <w:rPr>
          <w:lang w:val="fr-FR"/>
        </w:rPr>
        <w:t>’</w:t>
      </w:r>
      <w:r w:rsidRPr="0070292F">
        <w:rPr>
          <w:lang w:val="fr-FR"/>
        </w:rPr>
        <w:t>y a qu</w:t>
      </w:r>
      <w:r w:rsidR="0070292F" w:rsidRPr="0070292F">
        <w:rPr>
          <w:lang w:val="fr-FR"/>
        </w:rPr>
        <w:t>’</w:t>
      </w:r>
      <w:r w:rsidRPr="0070292F">
        <w:rPr>
          <w:lang w:val="fr-FR"/>
        </w:rPr>
        <w:t>une différence de degré ou d</w:t>
      </w:r>
      <w:r w:rsidR="0070292F" w:rsidRPr="0070292F">
        <w:rPr>
          <w:lang w:val="fr-FR"/>
        </w:rPr>
        <w:t>’</w:t>
      </w:r>
      <w:r w:rsidRPr="0070292F">
        <w:rPr>
          <w:lang w:val="fr-FR"/>
        </w:rPr>
        <w:t>intensité, non de nature ou d</w:t>
      </w:r>
      <w:r w:rsidR="0070292F" w:rsidRPr="0070292F">
        <w:rPr>
          <w:lang w:val="fr-FR"/>
        </w:rPr>
        <w:t>’</w:t>
      </w:r>
      <w:r w:rsidRPr="0070292F">
        <w:rPr>
          <w:lang w:val="fr-FR"/>
        </w:rPr>
        <w:t>essence » (paragraphe 80 de l</w:t>
      </w:r>
      <w:r w:rsidR="0070292F" w:rsidRPr="0070292F">
        <w:rPr>
          <w:lang w:val="fr-FR"/>
        </w:rPr>
        <w:t>’</w:t>
      </w:r>
      <w:r w:rsidRPr="0070292F">
        <w:rPr>
          <w:lang w:val="fr-FR"/>
        </w:rPr>
        <w:t>arrêt), je ne puis adhérer à l</w:t>
      </w:r>
      <w:r w:rsidR="0070292F" w:rsidRPr="0070292F">
        <w:rPr>
          <w:lang w:val="fr-FR"/>
        </w:rPr>
        <w:t>’</w:t>
      </w:r>
      <w:r w:rsidRPr="0070292F">
        <w:rPr>
          <w:lang w:val="fr-FR"/>
        </w:rPr>
        <w:t>idée que « pour évaluer la nature des mesures de prévention prévues par la loi de 1956 », telles qu</w:t>
      </w:r>
      <w:r w:rsidR="0070292F" w:rsidRPr="0070292F">
        <w:rPr>
          <w:lang w:val="fr-FR"/>
        </w:rPr>
        <w:t>’</w:t>
      </w:r>
      <w:r w:rsidRPr="0070292F">
        <w:rPr>
          <w:lang w:val="fr-FR"/>
        </w:rPr>
        <w:t>appliquées au requérant en l</w:t>
      </w:r>
      <w:r w:rsidR="0070292F" w:rsidRPr="0070292F">
        <w:rPr>
          <w:lang w:val="fr-FR"/>
        </w:rPr>
        <w:t>’</w:t>
      </w:r>
      <w:r w:rsidRPr="0070292F">
        <w:rPr>
          <w:lang w:val="fr-FR"/>
        </w:rPr>
        <w:t>espèce, on les a examinées « accumulées et combinées » (</w:t>
      </w:r>
      <w:r w:rsidRPr="0070292F">
        <w:rPr>
          <w:i/>
          <w:lang w:val="fr-FR"/>
        </w:rPr>
        <w:t>ibidem</w:t>
      </w:r>
      <w:r w:rsidRPr="0070292F">
        <w:rPr>
          <w:lang w:val="fr-FR"/>
        </w:rPr>
        <w:t>).</w:t>
      </w:r>
    </w:p>
    <w:p w:rsidR="005103F7" w:rsidRPr="0070292F" w:rsidRDefault="005103F7" w:rsidP="0070292F">
      <w:pPr>
        <w:pStyle w:val="OpiPara"/>
        <w:rPr>
          <w:lang w:val="fr-FR"/>
        </w:rPr>
      </w:pPr>
      <w:r w:rsidRPr="0070292F">
        <w:rPr>
          <w:lang w:val="fr-FR"/>
        </w:rPr>
        <w:t>2.  Dans l</w:t>
      </w:r>
      <w:r w:rsidR="0070292F" w:rsidRPr="0070292F">
        <w:rPr>
          <w:lang w:val="fr-FR"/>
        </w:rPr>
        <w:t>’</w:t>
      </w:r>
      <w:r w:rsidRPr="0070292F">
        <w:rPr>
          <w:lang w:val="fr-FR"/>
        </w:rPr>
        <w:t xml:space="preserve">affaire </w:t>
      </w:r>
      <w:r w:rsidRPr="0070292F">
        <w:rPr>
          <w:i/>
          <w:lang w:val="fr-FR"/>
        </w:rPr>
        <w:t>Guzzardi</w:t>
      </w:r>
      <w:r w:rsidRPr="0070292F">
        <w:rPr>
          <w:lang w:val="fr-FR"/>
        </w:rPr>
        <w:t xml:space="preserve"> (précitée), résolue alors que l</w:t>
      </w:r>
      <w:r w:rsidR="0070292F" w:rsidRPr="0070292F">
        <w:rPr>
          <w:lang w:val="fr-FR"/>
        </w:rPr>
        <w:t>’</w:t>
      </w:r>
      <w:r w:rsidRPr="0070292F">
        <w:rPr>
          <w:lang w:val="fr-FR"/>
        </w:rPr>
        <w:t>Italie n</w:t>
      </w:r>
      <w:r w:rsidR="0070292F" w:rsidRPr="0070292F">
        <w:rPr>
          <w:lang w:val="fr-FR"/>
        </w:rPr>
        <w:t>’</w:t>
      </w:r>
      <w:r w:rsidRPr="0070292F">
        <w:rPr>
          <w:lang w:val="fr-FR"/>
        </w:rPr>
        <w:t>avait pas encore ratifié le Protocole n</w:t>
      </w:r>
      <w:r w:rsidRPr="0070292F">
        <w:rPr>
          <w:vertAlign w:val="superscript"/>
          <w:lang w:val="fr-FR"/>
        </w:rPr>
        <w:t>o</w:t>
      </w:r>
      <w:r w:rsidRPr="0070292F">
        <w:rPr>
          <w:lang w:val="fr-FR"/>
        </w:rPr>
        <w:t xml:space="preserve"> 4, la Cour a estimé qu</w:t>
      </w:r>
      <w:r w:rsidR="0070292F" w:rsidRPr="0070292F">
        <w:rPr>
          <w:lang w:val="fr-FR"/>
        </w:rPr>
        <w:t>’</w:t>
      </w:r>
      <w:r w:rsidRPr="0070292F">
        <w:rPr>
          <w:lang w:val="fr-FR"/>
        </w:rPr>
        <w:t> « il y [avait] eu (...) privation de liberté au sens de l</w:t>
      </w:r>
      <w:r w:rsidR="0070292F" w:rsidRPr="0070292F">
        <w:rPr>
          <w:lang w:val="fr-FR"/>
        </w:rPr>
        <w:t>’</w:t>
      </w:r>
      <w:r w:rsidRPr="0070292F">
        <w:rPr>
          <w:lang w:val="fr-FR"/>
        </w:rPr>
        <w:t>article 5 » (point 4 du dispositif ; voir aussi le point 8, où la Cour a dit « en résumé (...) que (...) le requérant [avait] subi une violation de l</w:t>
      </w:r>
      <w:r w:rsidR="0070292F" w:rsidRPr="0070292F">
        <w:rPr>
          <w:lang w:val="fr-FR"/>
        </w:rPr>
        <w:t>’</w:t>
      </w:r>
      <w:r w:rsidRPr="0070292F">
        <w:rPr>
          <w:lang w:val="fr-FR"/>
        </w:rPr>
        <w:t>article 5 § 1 ») et que cette privation de liberté ne trouvait pas de justification dans tel et tel alinéa de l</w:t>
      </w:r>
      <w:r w:rsidR="0070292F" w:rsidRPr="0070292F">
        <w:rPr>
          <w:lang w:val="fr-FR"/>
        </w:rPr>
        <w:t>’</w:t>
      </w:r>
      <w:r w:rsidRPr="0070292F">
        <w:rPr>
          <w:lang w:val="fr-FR"/>
        </w:rPr>
        <w:t xml:space="preserve">article 5 § 1 (voir les points 5, 6 </w:t>
      </w:r>
      <w:r w:rsidRPr="0070292F">
        <w:rPr>
          <w:lang w:val="fr-FR"/>
        </w:rPr>
        <w:lastRenderedPageBreak/>
        <w:t>et 7 du dispositif). Compte tenu de ce constat, la conclusion de la majorité dans la présente espèce selon laquelle l</w:t>
      </w:r>
      <w:r w:rsidR="0070292F" w:rsidRPr="0070292F">
        <w:rPr>
          <w:lang w:val="fr-FR"/>
        </w:rPr>
        <w:t>’</w:t>
      </w:r>
      <w:r w:rsidRPr="0070292F">
        <w:rPr>
          <w:lang w:val="fr-FR"/>
        </w:rPr>
        <w:t>article 2 du Protocole n</w:t>
      </w:r>
      <w:r w:rsidRPr="0070292F">
        <w:rPr>
          <w:vertAlign w:val="superscript"/>
          <w:lang w:val="fr-FR"/>
        </w:rPr>
        <w:t>o</w:t>
      </w:r>
      <w:r w:rsidRPr="0070292F">
        <w:rPr>
          <w:lang w:val="fr-FR"/>
        </w:rPr>
        <w:t xml:space="preserve"> 4 est applicable à la situation du requérant, tandis que l</w:t>
      </w:r>
      <w:r w:rsidR="0070292F" w:rsidRPr="0070292F">
        <w:rPr>
          <w:lang w:val="fr-FR"/>
        </w:rPr>
        <w:t>’</w:t>
      </w:r>
      <w:r w:rsidRPr="0070292F">
        <w:rPr>
          <w:lang w:val="fr-FR"/>
        </w:rPr>
        <w:t>article 5 ne l</w:t>
      </w:r>
      <w:r w:rsidR="0070292F" w:rsidRPr="0070292F">
        <w:rPr>
          <w:lang w:val="fr-FR"/>
        </w:rPr>
        <w:t>’</w:t>
      </w:r>
      <w:r w:rsidRPr="0070292F">
        <w:rPr>
          <w:lang w:val="fr-FR"/>
        </w:rPr>
        <w:t>est pas, signifie tout bonnement</w:t>
      </w:r>
      <w:r w:rsidRPr="0070292F">
        <w:rPr>
          <w:b/>
          <w:lang w:val="fr-FR"/>
        </w:rPr>
        <w:t xml:space="preserve"> </w:t>
      </w:r>
      <w:r w:rsidRPr="0070292F">
        <w:rPr>
          <w:lang w:val="fr-FR"/>
        </w:rPr>
        <w:t>qu</w:t>
      </w:r>
      <w:r w:rsidR="0070292F" w:rsidRPr="0070292F">
        <w:rPr>
          <w:lang w:val="fr-FR"/>
        </w:rPr>
        <w:t>’</w:t>
      </w:r>
      <w:r w:rsidRPr="0070292F">
        <w:rPr>
          <w:lang w:val="fr-FR"/>
        </w:rPr>
        <w:t>une forme de privation de liberté au moins est considérée comme telle tant que l</w:t>
      </w:r>
      <w:r w:rsidR="0070292F" w:rsidRPr="0070292F">
        <w:rPr>
          <w:lang w:val="fr-FR"/>
        </w:rPr>
        <w:t>’</w:t>
      </w:r>
      <w:r w:rsidRPr="0070292F">
        <w:rPr>
          <w:rFonts w:cstheme="minorHAnsi"/>
          <w:lang w:val="fr-FR"/>
        </w:rPr>
        <w:t>É</w:t>
      </w:r>
      <w:r w:rsidRPr="0070292F">
        <w:rPr>
          <w:lang w:val="fr-FR"/>
        </w:rPr>
        <w:t>tat membre n</w:t>
      </w:r>
      <w:r w:rsidR="0070292F" w:rsidRPr="0070292F">
        <w:rPr>
          <w:lang w:val="fr-FR"/>
        </w:rPr>
        <w:t>’</w:t>
      </w:r>
      <w:r w:rsidRPr="0070292F">
        <w:rPr>
          <w:lang w:val="fr-FR"/>
        </w:rPr>
        <w:t>est pas pleinement partie au Protocole n</w:t>
      </w:r>
      <w:r w:rsidRPr="0070292F">
        <w:rPr>
          <w:vertAlign w:val="superscript"/>
          <w:lang w:val="fr-FR"/>
        </w:rPr>
        <w:t>o</w:t>
      </w:r>
      <w:r w:rsidRPr="0070292F">
        <w:rPr>
          <w:lang w:val="fr-FR"/>
        </w:rPr>
        <w:t> 4 et que la même forme de privation de liberté cesse d</w:t>
      </w:r>
      <w:r w:rsidR="0070292F" w:rsidRPr="0070292F">
        <w:rPr>
          <w:lang w:val="fr-FR"/>
        </w:rPr>
        <w:t>’</w:t>
      </w:r>
      <w:r w:rsidRPr="0070292F">
        <w:rPr>
          <w:lang w:val="fr-FR"/>
        </w:rPr>
        <w:t>être une privation de liberté une fois que le Protocole n</w:t>
      </w:r>
      <w:r w:rsidRPr="0070292F">
        <w:rPr>
          <w:vertAlign w:val="superscript"/>
          <w:lang w:val="fr-FR"/>
        </w:rPr>
        <w:t>o</w:t>
      </w:r>
      <w:r w:rsidRPr="0070292F">
        <w:rPr>
          <w:lang w:val="fr-FR"/>
        </w:rPr>
        <w:t xml:space="preserve"> 4 est entré en vigueur à l</w:t>
      </w:r>
      <w:r w:rsidR="0070292F" w:rsidRPr="0070292F">
        <w:rPr>
          <w:lang w:val="fr-FR"/>
        </w:rPr>
        <w:t>’</w:t>
      </w:r>
      <w:r w:rsidRPr="0070292F">
        <w:rPr>
          <w:lang w:val="fr-FR"/>
        </w:rPr>
        <w:t>égard de l</w:t>
      </w:r>
      <w:r w:rsidR="0070292F" w:rsidRPr="0070292F">
        <w:rPr>
          <w:lang w:val="fr-FR"/>
        </w:rPr>
        <w:t>’</w:t>
      </w:r>
      <w:r w:rsidRPr="0070292F">
        <w:rPr>
          <w:lang w:val="fr-FR"/>
        </w:rPr>
        <w:t>État membre concerné (ou, au plus tôt, une fois qu</w:t>
      </w:r>
      <w:r w:rsidR="0070292F" w:rsidRPr="0070292F">
        <w:rPr>
          <w:lang w:val="fr-FR"/>
        </w:rPr>
        <w:t>’</w:t>
      </w:r>
      <w:r w:rsidRPr="0070292F">
        <w:rPr>
          <w:lang w:val="fr-FR"/>
        </w:rPr>
        <w:t>il a ratifié ce Protocole). Par extension, cela signifierait que ce qui peut être une privation de liberté dans un État peut ne pas l</w:t>
      </w:r>
      <w:r w:rsidR="0070292F" w:rsidRPr="0070292F">
        <w:rPr>
          <w:lang w:val="fr-FR"/>
        </w:rPr>
        <w:t>’</w:t>
      </w:r>
      <w:r w:rsidRPr="0070292F">
        <w:rPr>
          <w:lang w:val="fr-FR"/>
        </w:rPr>
        <w:t>être dans un autre État. La Cour est-elle disposée à admettre que, dans l</w:t>
      </w:r>
      <w:r w:rsidR="0070292F" w:rsidRPr="0070292F">
        <w:rPr>
          <w:lang w:val="fr-FR"/>
        </w:rPr>
        <w:t>’</w:t>
      </w:r>
      <w:r w:rsidRPr="0070292F">
        <w:rPr>
          <w:lang w:val="fr-FR"/>
        </w:rPr>
        <w:t>hypothèse d</w:t>
      </w:r>
      <w:r w:rsidR="0070292F" w:rsidRPr="0070292F">
        <w:rPr>
          <w:lang w:val="fr-FR"/>
        </w:rPr>
        <w:t>’</w:t>
      </w:r>
      <w:r w:rsidRPr="0070292F">
        <w:rPr>
          <w:lang w:val="fr-FR"/>
        </w:rPr>
        <w:t>affaires identiques contre la Suisse, la Turquie ou le Royaume-Uni, États qui n</w:t>
      </w:r>
      <w:r w:rsidR="0070292F" w:rsidRPr="0070292F">
        <w:rPr>
          <w:lang w:val="fr-FR"/>
        </w:rPr>
        <w:t>’</w:t>
      </w:r>
      <w:r w:rsidRPr="0070292F">
        <w:rPr>
          <w:lang w:val="fr-FR"/>
        </w:rPr>
        <w:t>ont pas ratifié le Protocole n</w:t>
      </w:r>
      <w:r w:rsidRPr="0070292F">
        <w:rPr>
          <w:vertAlign w:val="superscript"/>
          <w:lang w:val="fr-FR"/>
        </w:rPr>
        <w:t>o</w:t>
      </w:r>
      <w:r w:rsidRPr="0070292F">
        <w:rPr>
          <w:lang w:val="fr-FR"/>
        </w:rPr>
        <w:t xml:space="preserve"> 4, l</w:t>
      </w:r>
      <w:r w:rsidR="0070292F" w:rsidRPr="0070292F">
        <w:rPr>
          <w:lang w:val="fr-FR"/>
        </w:rPr>
        <w:t>’</w:t>
      </w:r>
      <w:r w:rsidRPr="0070292F">
        <w:rPr>
          <w:lang w:val="fr-FR"/>
        </w:rPr>
        <w:t>article 5 serait applicable alors qu</w:t>
      </w:r>
      <w:r w:rsidR="0070292F" w:rsidRPr="0070292F">
        <w:rPr>
          <w:lang w:val="fr-FR"/>
        </w:rPr>
        <w:t>’</w:t>
      </w:r>
      <w:r w:rsidRPr="0070292F">
        <w:rPr>
          <w:lang w:val="fr-FR"/>
        </w:rPr>
        <w:t>il ne l</w:t>
      </w:r>
      <w:r w:rsidR="0070292F" w:rsidRPr="0070292F">
        <w:rPr>
          <w:lang w:val="fr-FR"/>
        </w:rPr>
        <w:t>’</w:t>
      </w:r>
      <w:r w:rsidRPr="0070292F">
        <w:rPr>
          <w:lang w:val="fr-FR"/>
        </w:rPr>
        <w:t>est pas dans des affaires identiques contre par exemple l</w:t>
      </w:r>
      <w:r w:rsidR="0070292F" w:rsidRPr="0070292F">
        <w:rPr>
          <w:lang w:val="fr-FR"/>
        </w:rPr>
        <w:t>’</w:t>
      </w:r>
      <w:r w:rsidRPr="0070292F">
        <w:rPr>
          <w:lang w:val="fr-FR"/>
        </w:rPr>
        <w:t xml:space="preserve">Italie, la France ou la Lituanie, </w:t>
      </w:r>
      <w:r w:rsidRPr="0070292F">
        <w:rPr>
          <w:rFonts w:cstheme="minorHAnsi"/>
          <w:lang w:val="fr-FR"/>
        </w:rPr>
        <w:t>É</w:t>
      </w:r>
      <w:r w:rsidRPr="0070292F">
        <w:rPr>
          <w:lang w:val="fr-FR"/>
        </w:rPr>
        <w:t>tats qui l</w:t>
      </w:r>
      <w:r w:rsidR="0070292F" w:rsidRPr="0070292F">
        <w:rPr>
          <w:lang w:val="fr-FR"/>
        </w:rPr>
        <w:t>’</w:t>
      </w:r>
      <w:r w:rsidRPr="0070292F">
        <w:rPr>
          <w:lang w:val="fr-FR"/>
        </w:rPr>
        <w:t>ont ratifié ?</w:t>
      </w:r>
    </w:p>
    <w:p w:rsidR="005103F7" w:rsidRPr="0070292F" w:rsidRDefault="005103F7" w:rsidP="0070292F">
      <w:pPr>
        <w:pStyle w:val="OpiPara"/>
        <w:rPr>
          <w:lang w:val="fr-FR"/>
        </w:rPr>
      </w:pPr>
      <w:r w:rsidRPr="0070292F">
        <w:rPr>
          <w:lang w:val="fr-FR"/>
        </w:rPr>
        <w:t>Ce serait là une position très intéressante et qui donnerait à réfléchir</w:t>
      </w:r>
      <w:r w:rsidRPr="0070292F">
        <w:rPr>
          <w:b/>
          <w:lang w:val="fr-FR"/>
        </w:rPr>
        <w:t xml:space="preserve"> </w:t>
      </w:r>
      <w:r w:rsidRPr="0070292F">
        <w:rPr>
          <w:lang w:val="fr-FR"/>
        </w:rPr>
        <w:t>dans les affaires portant sur le droit à la liberté. Le seul problème, avec une interprétation aussi « pluraliste » et « flexible » (pas dans le sens le plus positif de ces mots) de la Convention et de ses Protocoles, c</w:t>
      </w:r>
      <w:r w:rsidR="0070292F" w:rsidRPr="0070292F">
        <w:rPr>
          <w:lang w:val="fr-FR"/>
        </w:rPr>
        <w:t>’</w:t>
      </w:r>
      <w:r w:rsidRPr="0070292F">
        <w:rPr>
          <w:lang w:val="fr-FR"/>
        </w:rPr>
        <w:t>est qu</w:t>
      </w:r>
      <w:r w:rsidR="0070292F" w:rsidRPr="0070292F">
        <w:rPr>
          <w:lang w:val="fr-FR"/>
        </w:rPr>
        <w:t>’</w:t>
      </w:r>
      <w:r w:rsidRPr="0070292F">
        <w:rPr>
          <w:lang w:val="fr-FR"/>
        </w:rPr>
        <w:t>elle n</w:t>
      </w:r>
      <w:r w:rsidR="0070292F" w:rsidRPr="0070292F">
        <w:rPr>
          <w:lang w:val="fr-FR"/>
        </w:rPr>
        <w:t>’</w:t>
      </w:r>
      <w:r w:rsidRPr="0070292F">
        <w:rPr>
          <w:lang w:val="fr-FR"/>
        </w:rPr>
        <w:t>a pas grand-chose (peut-être même rien du tout) à voir ni avec les canons de l</w:t>
      </w:r>
      <w:r w:rsidR="0070292F" w:rsidRPr="0070292F">
        <w:rPr>
          <w:lang w:val="fr-FR"/>
        </w:rPr>
        <w:t>’</w:t>
      </w:r>
      <w:r w:rsidRPr="0070292F">
        <w:rPr>
          <w:lang w:val="fr-FR"/>
        </w:rPr>
        <w:t>interprétation juridique en général ni avec le droit fondamental à la liberté – tel que consacré par la Convention – en particulier.</w:t>
      </w:r>
    </w:p>
    <w:p w:rsidR="005103F7" w:rsidRPr="0070292F" w:rsidRDefault="005103F7" w:rsidP="0070292F">
      <w:pPr>
        <w:pStyle w:val="OpiPara"/>
        <w:rPr>
          <w:lang w:val="fr-FR"/>
        </w:rPr>
      </w:pPr>
      <w:r w:rsidRPr="0070292F">
        <w:rPr>
          <w:lang w:val="fr-FR"/>
        </w:rPr>
        <w:t>3.  Je suis également convaincu non seulement qu</w:t>
      </w:r>
      <w:r w:rsidR="0070292F" w:rsidRPr="0070292F">
        <w:rPr>
          <w:lang w:val="fr-FR"/>
        </w:rPr>
        <w:t>’</w:t>
      </w:r>
      <w:r w:rsidRPr="0070292F">
        <w:rPr>
          <w:lang w:val="fr-FR"/>
        </w:rPr>
        <w:t>en l</w:t>
      </w:r>
      <w:r w:rsidR="0070292F" w:rsidRPr="0070292F">
        <w:rPr>
          <w:lang w:val="fr-FR"/>
        </w:rPr>
        <w:t>’</w:t>
      </w:r>
      <w:r w:rsidRPr="0070292F">
        <w:rPr>
          <w:lang w:val="fr-FR"/>
        </w:rPr>
        <w:t>espèce l</w:t>
      </w:r>
      <w:r w:rsidR="0070292F" w:rsidRPr="0070292F">
        <w:rPr>
          <w:lang w:val="fr-FR"/>
        </w:rPr>
        <w:t>’</w:t>
      </w:r>
      <w:r w:rsidRPr="0070292F">
        <w:rPr>
          <w:lang w:val="fr-FR"/>
        </w:rPr>
        <w:t>article 5 est applicable mais aussi qu</w:t>
      </w:r>
      <w:r w:rsidR="0070292F" w:rsidRPr="0070292F">
        <w:rPr>
          <w:lang w:val="fr-FR"/>
        </w:rPr>
        <w:t>’</w:t>
      </w:r>
      <w:r w:rsidRPr="0070292F">
        <w:rPr>
          <w:lang w:val="fr-FR"/>
        </w:rPr>
        <w:t>il y a eu violation de cette disposition. Dans leur totalité et leur portée, et compte tenu de leur longue durée, les mesures « préventives » imposées au requérant (sous la menace de l</w:t>
      </w:r>
      <w:r w:rsidR="0070292F" w:rsidRPr="0070292F">
        <w:rPr>
          <w:lang w:val="fr-FR"/>
        </w:rPr>
        <w:t>’</w:t>
      </w:r>
      <w:r w:rsidRPr="0070292F">
        <w:rPr>
          <w:lang w:val="fr-FR"/>
        </w:rPr>
        <w:t>emprisonnement) s</w:t>
      </w:r>
      <w:r w:rsidR="0070292F" w:rsidRPr="0070292F">
        <w:rPr>
          <w:lang w:val="fr-FR"/>
        </w:rPr>
        <w:t>’</w:t>
      </w:r>
      <w:r w:rsidRPr="0070292F">
        <w:rPr>
          <w:lang w:val="fr-FR"/>
        </w:rPr>
        <w:t>analysaient en une privation de liberté, à la fois au regard de l</w:t>
      </w:r>
      <w:r w:rsidR="0070292F" w:rsidRPr="0070292F">
        <w:rPr>
          <w:lang w:val="fr-FR"/>
        </w:rPr>
        <w:t>’</w:t>
      </w:r>
      <w:r w:rsidRPr="0070292F">
        <w:rPr>
          <w:lang w:val="fr-FR"/>
        </w:rPr>
        <w:t>emploi courant du mot « liberté » tel que dicté par le sens commun et aux fins de l</w:t>
      </w:r>
      <w:r w:rsidR="0070292F" w:rsidRPr="0070292F">
        <w:rPr>
          <w:lang w:val="fr-FR"/>
        </w:rPr>
        <w:t>’</w:t>
      </w:r>
      <w:r w:rsidRPr="0070292F">
        <w:rPr>
          <w:lang w:val="fr-FR"/>
        </w:rPr>
        <w:t>article 5, dont l</w:t>
      </w:r>
      <w:r w:rsidR="0070292F" w:rsidRPr="0070292F">
        <w:rPr>
          <w:lang w:val="fr-FR"/>
        </w:rPr>
        <w:t>’</w:t>
      </w:r>
      <w:r w:rsidRPr="0070292F">
        <w:rPr>
          <w:lang w:val="fr-FR"/>
        </w:rPr>
        <w:t>interprétation jurisprudentielle, comme j</w:t>
      </w:r>
      <w:r w:rsidR="0070292F" w:rsidRPr="0070292F">
        <w:rPr>
          <w:lang w:val="fr-FR"/>
        </w:rPr>
        <w:t>’</w:t>
      </w:r>
      <w:r w:rsidRPr="0070292F">
        <w:rPr>
          <w:lang w:val="fr-FR"/>
        </w:rPr>
        <w:t>aime à le penser, doit tendre à ne pas s</w:t>
      </w:r>
      <w:r w:rsidR="0070292F" w:rsidRPr="0070292F">
        <w:rPr>
          <w:lang w:val="fr-FR"/>
        </w:rPr>
        <w:t>’</w:t>
      </w:r>
      <w:r w:rsidRPr="0070292F">
        <w:rPr>
          <w:lang w:val="fr-FR"/>
        </w:rPr>
        <w:t>écarter du sens commun.</w:t>
      </w:r>
    </w:p>
    <w:p w:rsidR="005103F7" w:rsidRPr="0070292F" w:rsidRDefault="005103F7" w:rsidP="0070292F">
      <w:pPr>
        <w:pStyle w:val="OpiPara"/>
        <w:rPr>
          <w:iCs/>
          <w:lang w:val="fr-FR"/>
        </w:rPr>
      </w:pPr>
      <w:r w:rsidRPr="0070292F">
        <w:rPr>
          <w:lang w:val="fr-FR"/>
        </w:rPr>
        <w:t>Car en quoi consistaient, si ce n</w:t>
      </w:r>
      <w:r w:rsidR="0070292F" w:rsidRPr="0070292F">
        <w:rPr>
          <w:lang w:val="fr-FR"/>
        </w:rPr>
        <w:t>’</w:t>
      </w:r>
      <w:r w:rsidRPr="0070292F">
        <w:rPr>
          <w:lang w:val="fr-FR"/>
        </w:rPr>
        <w:t>est en une privation de liberté, ces mesures « préventives » appliquées au requérant comme on aurait fait un copier-coller mécanique et inconsidéré des dispositions légales ? Qu</w:t>
      </w:r>
      <w:r w:rsidR="0070292F" w:rsidRPr="0070292F">
        <w:rPr>
          <w:lang w:val="fr-FR"/>
        </w:rPr>
        <w:t>’</w:t>
      </w:r>
      <w:r w:rsidRPr="0070292F">
        <w:rPr>
          <w:lang w:val="fr-FR"/>
        </w:rPr>
        <w:t>elles ont été appliquées sans discernement, c</w:t>
      </w:r>
      <w:r w:rsidR="0070292F" w:rsidRPr="0070292F">
        <w:rPr>
          <w:lang w:val="fr-FR"/>
        </w:rPr>
        <w:t>’</w:t>
      </w:r>
      <w:r w:rsidRPr="0070292F">
        <w:rPr>
          <w:lang w:val="fr-FR"/>
        </w:rPr>
        <w:t>est-à-dire sans aucun égard pour la situation concrète du requérant, ressort de façon évidente du fait que l</w:t>
      </w:r>
      <w:r w:rsidR="0070292F" w:rsidRPr="0070292F">
        <w:rPr>
          <w:lang w:val="fr-FR"/>
        </w:rPr>
        <w:t>’</w:t>
      </w:r>
      <w:r w:rsidRPr="0070292F">
        <w:rPr>
          <w:lang w:val="fr-FR"/>
        </w:rPr>
        <w:t>intéressé était tenu de « rechercher du travail dans le délai d</w:t>
      </w:r>
      <w:r w:rsidR="0070292F" w:rsidRPr="0070292F">
        <w:rPr>
          <w:lang w:val="fr-FR"/>
        </w:rPr>
        <w:t>’</w:t>
      </w:r>
      <w:r w:rsidRPr="0070292F">
        <w:rPr>
          <w:lang w:val="fr-FR"/>
        </w:rPr>
        <w:t>un mois »</w:t>
      </w:r>
      <w:r w:rsidRPr="0070292F">
        <w:rPr>
          <w:b/>
          <w:lang w:val="fr-FR"/>
        </w:rPr>
        <w:t xml:space="preserve"> </w:t>
      </w:r>
      <w:r w:rsidRPr="0070292F">
        <w:rPr>
          <w:lang w:val="fr-FR"/>
        </w:rPr>
        <w:t>alors que, comme l</w:t>
      </w:r>
      <w:r w:rsidR="0070292F" w:rsidRPr="0070292F">
        <w:rPr>
          <w:lang w:val="fr-FR"/>
        </w:rPr>
        <w:t>’</w:t>
      </w:r>
      <w:r w:rsidRPr="0070292F">
        <w:rPr>
          <w:lang w:val="fr-FR"/>
        </w:rPr>
        <w:t>a plus tard établi la cour d</w:t>
      </w:r>
      <w:r w:rsidR="0070292F" w:rsidRPr="0070292F">
        <w:rPr>
          <w:lang w:val="fr-FR"/>
        </w:rPr>
        <w:t>’</w:t>
      </w:r>
      <w:r w:rsidRPr="0070292F">
        <w:rPr>
          <w:lang w:val="fr-FR"/>
        </w:rPr>
        <w:t>appel de Bari, il avait « toujours eu (...) une activité professionnelle licite lui assurant une source de revenus digne » (paragraphe 27 de l</w:t>
      </w:r>
      <w:r w:rsidR="0070292F" w:rsidRPr="0070292F">
        <w:rPr>
          <w:lang w:val="fr-FR"/>
        </w:rPr>
        <w:t>’</w:t>
      </w:r>
      <w:r w:rsidRPr="0070292F">
        <w:rPr>
          <w:lang w:val="fr-FR"/>
        </w:rPr>
        <w:t xml:space="preserve">arrêt). Certaines de ces mesures étaient </w:t>
      </w:r>
      <w:r w:rsidRPr="0070292F">
        <w:rPr>
          <w:i/>
          <w:lang w:val="fr-FR"/>
        </w:rPr>
        <w:t>très</w:t>
      </w:r>
      <w:r w:rsidRPr="0070292F">
        <w:rPr>
          <w:lang w:val="fr-FR"/>
        </w:rPr>
        <w:t xml:space="preserve"> restrictives et comportaient une part de privation de liberté dans son sens le plus – « physiquement » – direct. Ainsi, le requérant était tenu de « ne pas rentrer le soir après vingt-deux heures et [de] ne pas sortir le matin avant six heures, sauf en cas de nécessité et non sans avoir averti les autorités en temps utile », mesure qui en fait</w:t>
      </w:r>
      <w:r w:rsidRPr="0070292F">
        <w:rPr>
          <w:b/>
          <w:lang w:val="fr-FR"/>
        </w:rPr>
        <w:t xml:space="preserve"> </w:t>
      </w:r>
      <w:r w:rsidRPr="0070292F">
        <w:rPr>
          <w:lang w:val="fr-FR"/>
        </w:rPr>
        <w:t>comportait une part</w:t>
      </w:r>
      <w:r w:rsidRPr="0070292F">
        <w:rPr>
          <w:b/>
          <w:lang w:val="fr-FR"/>
        </w:rPr>
        <w:t xml:space="preserve"> </w:t>
      </w:r>
      <w:r w:rsidRPr="0070292F">
        <w:rPr>
          <w:lang w:val="fr-FR"/>
        </w:rPr>
        <w:lastRenderedPageBreak/>
        <w:t>d</w:t>
      </w:r>
      <w:r w:rsidR="0070292F" w:rsidRPr="0070292F">
        <w:rPr>
          <w:lang w:val="fr-FR"/>
        </w:rPr>
        <w:t>’</w:t>
      </w:r>
      <w:r w:rsidRPr="0070292F">
        <w:rPr>
          <w:lang w:val="fr-FR"/>
        </w:rPr>
        <w:t>assignation à domicile et, en ce sens, s</w:t>
      </w:r>
      <w:r w:rsidR="0070292F" w:rsidRPr="0070292F">
        <w:rPr>
          <w:lang w:val="fr-FR"/>
        </w:rPr>
        <w:t>’</w:t>
      </w:r>
      <w:r w:rsidRPr="0070292F">
        <w:rPr>
          <w:lang w:val="fr-FR"/>
        </w:rPr>
        <w:t>analysait en une assignation à domicile « interrompue » ou « incomplète » (sur ce point également, je souscris aux arguments du juge Pinto de Albuquerque). L</w:t>
      </w:r>
      <w:r w:rsidR="0070292F" w:rsidRPr="0070292F">
        <w:rPr>
          <w:lang w:val="fr-FR"/>
        </w:rPr>
        <w:t>’</w:t>
      </w:r>
      <w:r w:rsidRPr="0070292F">
        <w:rPr>
          <w:lang w:val="fr-FR"/>
        </w:rPr>
        <w:t>argument de la majorité selon lequel cette mesure n</w:t>
      </w:r>
      <w:r w:rsidR="0070292F" w:rsidRPr="0070292F">
        <w:rPr>
          <w:lang w:val="fr-FR"/>
        </w:rPr>
        <w:t>’</w:t>
      </w:r>
      <w:r w:rsidRPr="0070292F">
        <w:rPr>
          <w:lang w:val="fr-FR"/>
        </w:rPr>
        <w:t>était pas une assignation à domicile parce qu</w:t>
      </w:r>
      <w:r w:rsidR="0070292F" w:rsidRPr="0070292F">
        <w:rPr>
          <w:lang w:val="fr-FR"/>
        </w:rPr>
        <w:t>’</w:t>
      </w:r>
      <w:r w:rsidRPr="0070292F">
        <w:rPr>
          <w:lang w:val="fr-FR"/>
        </w:rPr>
        <w:t>« en droit italien une personne assignée à domicile est réputée être en détention provisoire »</w:t>
      </w:r>
      <w:r w:rsidRPr="0070292F">
        <w:rPr>
          <w:iCs/>
          <w:lang w:val="fr-FR"/>
        </w:rPr>
        <w:t xml:space="preserve"> (paragraphe 87</w:t>
      </w:r>
      <w:r w:rsidRPr="0070292F">
        <w:rPr>
          <w:lang w:val="fr-FR"/>
        </w:rPr>
        <w:t xml:space="preserve"> de l</w:t>
      </w:r>
      <w:r w:rsidR="0070292F" w:rsidRPr="0070292F">
        <w:rPr>
          <w:lang w:val="fr-FR"/>
        </w:rPr>
        <w:t>’</w:t>
      </w:r>
      <w:r w:rsidRPr="0070292F">
        <w:rPr>
          <w:lang w:val="fr-FR"/>
        </w:rPr>
        <w:t>arrêt</w:t>
      </w:r>
      <w:r w:rsidRPr="0070292F">
        <w:rPr>
          <w:iCs/>
          <w:lang w:val="fr-FR"/>
        </w:rPr>
        <w:t>)</w:t>
      </w:r>
      <w:r w:rsidRPr="0070292F">
        <w:rPr>
          <w:lang w:val="fr-FR"/>
        </w:rPr>
        <w:t xml:space="preserve"> va à l</w:t>
      </w:r>
      <w:r w:rsidR="0070292F" w:rsidRPr="0070292F">
        <w:rPr>
          <w:lang w:val="fr-FR"/>
        </w:rPr>
        <w:t>’</w:t>
      </w:r>
      <w:r w:rsidRPr="0070292F">
        <w:rPr>
          <w:lang w:val="fr-FR"/>
        </w:rPr>
        <w:t>encontre des canons fondamentaux de l</w:t>
      </w:r>
      <w:r w:rsidR="0070292F" w:rsidRPr="0070292F">
        <w:rPr>
          <w:lang w:val="fr-FR"/>
        </w:rPr>
        <w:t>’</w:t>
      </w:r>
      <w:r w:rsidRPr="0070292F">
        <w:rPr>
          <w:lang w:val="fr-FR"/>
        </w:rPr>
        <w:t xml:space="preserve">interprétation de la Convention : il se peut que la mesure ici examinée – « ne pas rentrer le soir après vingt-deux heures et ne pas sortir le matin avant six heures, sauf en cas de nécessité et non sans avoir averti les autorités en temps utile » – ne soit pas considérée comme une assignation à domicile </w:t>
      </w:r>
      <w:r w:rsidRPr="0070292F">
        <w:rPr>
          <w:i/>
          <w:lang w:val="fr-FR"/>
        </w:rPr>
        <w:t>en droit italien</w:t>
      </w:r>
      <w:r w:rsidRPr="0070292F">
        <w:rPr>
          <w:lang w:val="fr-FR"/>
        </w:rPr>
        <w:t>, mais n</w:t>
      </w:r>
      <w:r w:rsidR="0070292F" w:rsidRPr="0070292F">
        <w:rPr>
          <w:lang w:val="fr-FR"/>
        </w:rPr>
        <w:t>’</w:t>
      </w:r>
      <w:r w:rsidRPr="0070292F">
        <w:rPr>
          <w:lang w:val="fr-FR"/>
        </w:rPr>
        <w:t xml:space="preserve">en est-elle pas une </w:t>
      </w:r>
      <w:r w:rsidRPr="0070292F">
        <w:rPr>
          <w:i/>
          <w:lang w:val="fr-FR"/>
        </w:rPr>
        <w:t>au regard de la Convention</w:t>
      </w:r>
      <w:r w:rsidRPr="0070292F">
        <w:rPr>
          <w:lang w:val="fr-FR"/>
        </w:rPr>
        <w:t> ? À mon avis, l</w:t>
      </w:r>
      <w:r w:rsidR="0070292F" w:rsidRPr="0070292F">
        <w:rPr>
          <w:lang w:val="fr-FR"/>
        </w:rPr>
        <w:t>’</w:t>
      </w:r>
      <w:r w:rsidRPr="0070292F">
        <w:rPr>
          <w:lang w:val="fr-FR"/>
        </w:rPr>
        <w:t xml:space="preserve">arrêt </w:t>
      </w:r>
      <w:r w:rsidRPr="0070292F">
        <w:rPr>
          <w:i/>
          <w:lang w:val="fr-FR"/>
        </w:rPr>
        <w:t xml:space="preserve">Buzadji c. République de Moldova </w:t>
      </w:r>
      <w:r w:rsidRPr="0070292F">
        <w:rPr>
          <w:lang w:val="fr-FR"/>
        </w:rPr>
        <w:t>([GC], n</w:t>
      </w:r>
      <w:r w:rsidRPr="0070292F">
        <w:rPr>
          <w:vertAlign w:val="superscript"/>
          <w:lang w:val="fr-FR"/>
        </w:rPr>
        <w:t>o</w:t>
      </w:r>
      <w:r w:rsidRPr="0070292F">
        <w:rPr>
          <w:lang w:val="fr-FR"/>
        </w:rPr>
        <w:t xml:space="preserve"> 23755/07, CEDH 2016)</w:t>
      </w:r>
      <w:r w:rsidRPr="0070292F">
        <w:rPr>
          <w:iCs/>
          <w:lang w:val="fr-FR"/>
        </w:rPr>
        <w:t xml:space="preserve"> plaide en sens inverse. Premièrement, la Convention est un instrument qui est </w:t>
      </w:r>
      <w:r w:rsidRPr="0070292F">
        <w:rPr>
          <w:i/>
          <w:iCs/>
          <w:lang w:val="fr-FR"/>
        </w:rPr>
        <w:t>autonome</w:t>
      </w:r>
      <w:r w:rsidRPr="0070292F">
        <w:rPr>
          <w:iCs/>
          <w:lang w:val="fr-FR"/>
        </w:rPr>
        <w:t xml:space="preserve"> à l</w:t>
      </w:r>
      <w:r w:rsidR="0070292F" w:rsidRPr="0070292F">
        <w:rPr>
          <w:iCs/>
          <w:lang w:val="fr-FR"/>
        </w:rPr>
        <w:t>’</w:t>
      </w:r>
      <w:r w:rsidRPr="0070292F">
        <w:rPr>
          <w:iCs/>
          <w:lang w:val="fr-FR"/>
        </w:rPr>
        <w:t>égard du droit interne (en l</w:t>
      </w:r>
      <w:r w:rsidR="0070292F" w:rsidRPr="0070292F">
        <w:rPr>
          <w:iCs/>
          <w:lang w:val="fr-FR"/>
        </w:rPr>
        <w:t>’</w:t>
      </w:r>
      <w:r w:rsidRPr="0070292F">
        <w:rPr>
          <w:iCs/>
          <w:lang w:val="fr-FR"/>
        </w:rPr>
        <w:t>occurrence italien) et que la Cour a toujours traité ainsi. Ne serait-ce plus le cas ? Deuxièmement, les 221 nuits que le requérant a passées en étant soumis à cette mesure (sous la menace d</w:t>
      </w:r>
      <w:r w:rsidR="0070292F" w:rsidRPr="0070292F">
        <w:rPr>
          <w:iCs/>
          <w:lang w:val="fr-FR"/>
        </w:rPr>
        <w:t>’</w:t>
      </w:r>
      <w:r w:rsidRPr="0070292F">
        <w:rPr>
          <w:iCs/>
          <w:lang w:val="fr-FR"/>
        </w:rPr>
        <w:t>être emprisonné) montrent que le « degré d</w:t>
      </w:r>
      <w:r w:rsidR="0070292F" w:rsidRPr="0070292F">
        <w:rPr>
          <w:iCs/>
          <w:lang w:val="fr-FR"/>
        </w:rPr>
        <w:t>’</w:t>
      </w:r>
      <w:r w:rsidRPr="0070292F">
        <w:rPr>
          <w:iCs/>
          <w:lang w:val="fr-FR"/>
        </w:rPr>
        <w:t>intensité » (</w:t>
      </w:r>
      <w:r w:rsidRPr="0070292F">
        <w:rPr>
          <w:i/>
          <w:iCs/>
          <w:lang w:val="fr-FR"/>
        </w:rPr>
        <w:t>ibidem</w:t>
      </w:r>
      <w:r w:rsidRPr="0070292F">
        <w:rPr>
          <w:iCs/>
          <w:lang w:val="fr-FR"/>
        </w:rPr>
        <w:t>, § 104) de celle</w:t>
      </w:r>
      <w:r w:rsidRPr="0070292F">
        <w:rPr>
          <w:iCs/>
          <w:lang w:val="fr-FR"/>
        </w:rPr>
        <w:noBreakHyphen/>
        <w:t>ci était loin d</w:t>
      </w:r>
      <w:r w:rsidR="0070292F" w:rsidRPr="0070292F">
        <w:rPr>
          <w:iCs/>
          <w:lang w:val="fr-FR"/>
        </w:rPr>
        <w:t>’</w:t>
      </w:r>
      <w:r w:rsidRPr="0070292F">
        <w:rPr>
          <w:iCs/>
          <w:lang w:val="fr-FR"/>
        </w:rPr>
        <w:t>être négligeable.</w:t>
      </w:r>
    </w:p>
    <w:p w:rsidR="0070292F" w:rsidRPr="0070292F" w:rsidRDefault="005103F7" w:rsidP="0070292F">
      <w:pPr>
        <w:pStyle w:val="OpiPara"/>
        <w:rPr>
          <w:iCs/>
          <w:lang w:val="fr-FR"/>
        </w:rPr>
      </w:pPr>
      <w:r w:rsidRPr="0070292F">
        <w:rPr>
          <w:iCs/>
          <w:lang w:val="fr-FR"/>
        </w:rPr>
        <w:t>Mais il y a plus à dire encore sur le contenu des mesures litigieuses.</w:t>
      </w:r>
    </w:p>
    <w:p w:rsidR="0070292F" w:rsidRPr="0070292F" w:rsidRDefault="005103F7" w:rsidP="0070292F">
      <w:pPr>
        <w:pStyle w:val="OpiPara"/>
        <w:rPr>
          <w:bCs/>
          <w:iCs/>
          <w:lang w:val="fr-FR"/>
        </w:rPr>
      </w:pPr>
      <w:r w:rsidRPr="0070292F">
        <w:rPr>
          <w:iCs/>
          <w:lang w:val="fr-FR"/>
        </w:rPr>
        <w:t>4.  Certaines de ces mesures étaient manifestement irrationnelles et difficiles à expliquer au XXI</w:t>
      </w:r>
      <w:r w:rsidRPr="0070292F">
        <w:rPr>
          <w:iCs/>
          <w:vertAlign w:val="superscript"/>
          <w:lang w:val="fr-FR"/>
        </w:rPr>
        <w:t>e</w:t>
      </w:r>
      <w:r w:rsidRPr="0070292F">
        <w:rPr>
          <w:iCs/>
          <w:lang w:val="fr-FR"/>
        </w:rPr>
        <w:t xml:space="preserve"> siècle, par exemple l</w:t>
      </w:r>
      <w:r w:rsidR="0070292F" w:rsidRPr="0070292F">
        <w:rPr>
          <w:iCs/>
          <w:lang w:val="fr-FR"/>
        </w:rPr>
        <w:t>’</w:t>
      </w:r>
      <w:r w:rsidRPr="0070292F">
        <w:rPr>
          <w:iCs/>
          <w:lang w:val="fr-FR"/>
        </w:rPr>
        <w:t>interdiction faite au requérant de se servir de « téléphones portables et d</w:t>
      </w:r>
      <w:r w:rsidR="0070292F" w:rsidRPr="0070292F">
        <w:rPr>
          <w:iCs/>
          <w:lang w:val="fr-FR"/>
        </w:rPr>
        <w:t>’</w:t>
      </w:r>
      <w:r w:rsidRPr="0070292F">
        <w:rPr>
          <w:iCs/>
          <w:lang w:val="fr-FR"/>
        </w:rPr>
        <w:t>appareils radioélectriques pour communiquer » – mais non d</w:t>
      </w:r>
      <w:r w:rsidR="0070292F" w:rsidRPr="0070292F">
        <w:rPr>
          <w:iCs/>
          <w:lang w:val="fr-FR"/>
        </w:rPr>
        <w:t>’</w:t>
      </w:r>
      <w:r w:rsidRPr="0070292F">
        <w:rPr>
          <w:iCs/>
          <w:lang w:val="fr-FR"/>
        </w:rPr>
        <w:t xml:space="preserve">utiliser Internet, notamment Skype </w:t>
      </w:r>
      <w:r w:rsidRPr="0070292F">
        <w:rPr>
          <w:bCs/>
          <w:iCs/>
          <w:lang w:val="fr-FR"/>
        </w:rPr>
        <w:t>(la loi appliquée remontait à l</w:t>
      </w:r>
      <w:r w:rsidR="0070292F" w:rsidRPr="0070292F">
        <w:rPr>
          <w:bCs/>
          <w:iCs/>
          <w:lang w:val="fr-FR"/>
        </w:rPr>
        <w:t>’</w:t>
      </w:r>
      <w:r w:rsidRPr="0070292F">
        <w:rPr>
          <w:bCs/>
          <w:iCs/>
          <w:lang w:val="fr-FR"/>
        </w:rPr>
        <w:t>époque d</w:t>
      </w:r>
      <w:r w:rsidR="0070292F" w:rsidRPr="0070292F">
        <w:rPr>
          <w:bCs/>
          <w:iCs/>
          <w:lang w:val="fr-FR"/>
        </w:rPr>
        <w:t>’</w:t>
      </w:r>
      <w:r w:rsidRPr="0070292F">
        <w:rPr>
          <w:bCs/>
          <w:iCs/>
          <w:lang w:val="fr-FR"/>
        </w:rPr>
        <w:t>avant Internet). C</w:t>
      </w:r>
      <w:r w:rsidR="0070292F" w:rsidRPr="0070292F">
        <w:rPr>
          <w:bCs/>
          <w:iCs/>
          <w:lang w:val="fr-FR"/>
        </w:rPr>
        <w:t>’</w:t>
      </w:r>
      <w:r w:rsidRPr="0070292F">
        <w:rPr>
          <w:bCs/>
          <w:iCs/>
          <w:lang w:val="fr-FR"/>
        </w:rPr>
        <w:t>est plutôt drôle. On aurait mieux compris que les tribunaux interdisent au requérant de communiquer avec certaines personnes, mais ils ont choisi de lui interdire de communiquer par certains moyens.</w:t>
      </w:r>
    </w:p>
    <w:p w:rsidR="005103F7" w:rsidRPr="0070292F" w:rsidRDefault="005103F7" w:rsidP="0070292F">
      <w:pPr>
        <w:pStyle w:val="OpiPara"/>
        <w:rPr>
          <w:bCs/>
          <w:iCs/>
          <w:lang w:val="fr-FR"/>
        </w:rPr>
      </w:pPr>
      <w:r w:rsidRPr="0070292F">
        <w:rPr>
          <w:bCs/>
          <w:iCs/>
          <w:lang w:val="fr-FR"/>
        </w:rPr>
        <w:t>5.  De plus, certaines mesures s</w:t>
      </w:r>
      <w:r w:rsidR="0070292F" w:rsidRPr="0070292F">
        <w:rPr>
          <w:bCs/>
          <w:iCs/>
          <w:lang w:val="fr-FR"/>
        </w:rPr>
        <w:t>’</w:t>
      </w:r>
      <w:r w:rsidRPr="0070292F">
        <w:rPr>
          <w:bCs/>
          <w:iCs/>
          <w:lang w:val="fr-FR"/>
        </w:rPr>
        <w:t>excluaient réciproquement. À titre d</w:t>
      </w:r>
      <w:r w:rsidR="0070292F" w:rsidRPr="0070292F">
        <w:rPr>
          <w:bCs/>
          <w:iCs/>
          <w:lang w:val="fr-FR"/>
        </w:rPr>
        <w:t>’</w:t>
      </w:r>
      <w:r w:rsidRPr="0070292F">
        <w:rPr>
          <w:bCs/>
          <w:iCs/>
          <w:lang w:val="fr-FR"/>
        </w:rPr>
        <w:t>exemple, le requérant était tenu de « rechercher du travail dans le délai d</w:t>
      </w:r>
      <w:r w:rsidR="0070292F" w:rsidRPr="0070292F">
        <w:rPr>
          <w:bCs/>
          <w:iCs/>
          <w:lang w:val="fr-FR"/>
        </w:rPr>
        <w:t>’</w:t>
      </w:r>
      <w:r w:rsidRPr="0070292F">
        <w:rPr>
          <w:bCs/>
          <w:iCs/>
          <w:lang w:val="fr-FR"/>
        </w:rPr>
        <w:t>un mois » – entreprise quasi vaine dès le départ dès lors que, outre l</w:t>
      </w:r>
      <w:r w:rsidR="0070292F" w:rsidRPr="0070292F">
        <w:rPr>
          <w:bCs/>
          <w:iCs/>
          <w:lang w:val="fr-FR"/>
        </w:rPr>
        <w:t>’</w:t>
      </w:r>
      <w:r w:rsidRPr="0070292F">
        <w:rPr>
          <w:bCs/>
          <w:iCs/>
          <w:lang w:val="fr-FR"/>
        </w:rPr>
        <w:t>interdiction générale qui lui était faite de sortir le matin avant six heures et de rentrer le soir après vingt-deux heures, on lui interdisait d</w:t>
      </w:r>
      <w:r w:rsidR="0070292F" w:rsidRPr="0070292F">
        <w:rPr>
          <w:bCs/>
          <w:iCs/>
          <w:lang w:val="fr-FR"/>
        </w:rPr>
        <w:t>’</w:t>
      </w:r>
      <w:r w:rsidRPr="0070292F">
        <w:rPr>
          <w:bCs/>
          <w:iCs/>
          <w:lang w:val="fr-FR"/>
        </w:rPr>
        <w:t> « utiliser [des] téléphones portables », de « participer à des réunions publiques » ou de conduire un véhicule (puisque son permis de conduire lui avait été retiré). À Casamassima, ville qui à l</w:t>
      </w:r>
      <w:r w:rsidR="0070292F" w:rsidRPr="0070292F">
        <w:rPr>
          <w:bCs/>
          <w:iCs/>
          <w:lang w:val="fr-FR"/>
        </w:rPr>
        <w:t>’</w:t>
      </w:r>
      <w:r w:rsidRPr="0070292F">
        <w:rPr>
          <w:bCs/>
          <w:iCs/>
          <w:lang w:val="fr-FR"/>
        </w:rPr>
        <w:t>époque des faits comptait moins de dix-huit mille habitants, il n</w:t>
      </w:r>
      <w:r w:rsidR="0070292F" w:rsidRPr="0070292F">
        <w:rPr>
          <w:bCs/>
          <w:iCs/>
          <w:lang w:val="fr-FR"/>
        </w:rPr>
        <w:t>’</w:t>
      </w:r>
      <w:r w:rsidRPr="0070292F">
        <w:rPr>
          <w:bCs/>
          <w:iCs/>
          <w:lang w:val="fr-FR"/>
        </w:rPr>
        <w:t>y avait probablement pas beaucoup d</w:t>
      </w:r>
      <w:r w:rsidR="0070292F" w:rsidRPr="0070292F">
        <w:rPr>
          <w:bCs/>
          <w:iCs/>
          <w:lang w:val="fr-FR"/>
        </w:rPr>
        <w:t>’</w:t>
      </w:r>
      <w:r w:rsidRPr="0070292F">
        <w:rPr>
          <w:bCs/>
          <w:iCs/>
          <w:lang w:val="fr-FR"/>
        </w:rPr>
        <w:t>employeurs qui se seraient bousculés pour recruter un employé aussi « difficile », voire « inutile ».</w:t>
      </w:r>
    </w:p>
    <w:p w:rsidR="0070292F" w:rsidRPr="0070292F" w:rsidRDefault="005103F7" w:rsidP="0070292F">
      <w:pPr>
        <w:pStyle w:val="OpiPara"/>
        <w:rPr>
          <w:b/>
          <w:lang w:val="fr-FR"/>
        </w:rPr>
      </w:pPr>
      <w:r w:rsidRPr="0070292F">
        <w:rPr>
          <w:lang w:val="fr-FR"/>
        </w:rPr>
        <w:t>6.  Tout cela, combiné à l</w:t>
      </w:r>
      <w:r w:rsidR="0070292F" w:rsidRPr="0070292F">
        <w:rPr>
          <w:lang w:val="fr-FR"/>
        </w:rPr>
        <w:t>’</w:t>
      </w:r>
      <w:r w:rsidRPr="0070292F">
        <w:rPr>
          <w:lang w:val="fr-FR"/>
        </w:rPr>
        <w:t>interdiction faite au requérant de « fréquenter des personnes ayant fait l</w:t>
      </w:r>
      <w:r w:rsidR="0070292F" w:rsidRPr="0070292F">
        <w:rPr>
          <w:lang w:val="fr-FR"/>
        </w:rPr>
        <w:t>’</w:t>
      </w:r>
      <w:r w:rsidRPr="0070292F">
        <w:rPr>
          <w:lang w:val="fr-FR"/>
        </w:rPr>
        <w:t>objet de condamnations et soumises à des mesures de prévention ou de sûreté » (toutes ? même s</w:t>
      </w:r>
      <w:r w:rsidR="0070292F" w:rsidRPr="0070292F">
        <w:rPr>
          <w:lang w:val="fr-FR"/>
        </w:rPr>
        <w:t>’</w:t>
      </w:r>
      <w:r w:rsidRPr="0070292F">
        <w:rPr>
          <w:lang w:val="fr-FR"/>
        </w:rPr>
        <w:t>il s</w:t>
      </w:r>
      <w:r w:rsidR="0070292F" w:rsidRPr="0070292F">
        <w:rPr>
          <w:lang w:val="fr-FR"/>
        </w:rPr>
        <w:t>’</w:t>
      </w:r>
      <w:r w:rsidRPr="0070292F">
        <w:rPr>
          <w:lang w:val="fr-FR"/>
        </w:rPr>
        <w:t>agissait, disons, de parents ? même si l</w:t>
      </w:r>
      <w:r w:rsidR="0070292F" w:rsidRPr="0070292F">
        <w:rPr>
          <w:lang w:val="fr-FR"/>
        </w:rPr>
        <w:t>’</w:t>
      </w:r>
      <w:r w:rsidRPr="0070292F">
        <w:rPr>
          <w:lang w:val="fr-FR"/>
        </w:rPr>
        <w:t>intéressé ignorait que les personnes qu</w:t>
      </w:r>
      <w:r w:rsidR="0070292F" w:rsidRPr="0070292F">
        <w:rPr>
          <w:lang w:val="fr-FR"/>
        </w:rPr>
        <w:t>’</w:t>
      </w:r>
      <w:r w:rsidRPr="0070292F">
        <w:rPr>
          <w:lang w:val="fr-FR"/>
        </w:rPr>
        <w:t>il venait à fréquenter d</w:t>
      </w:r>
      <w:r w:rsidR="0070292F" w:rsidRPr="0070292F">
        <w:rPr>
          <w:lang w:val="fr-FR"/>
        </w:rPr>
        <w:t>’</w:t>
      </w:r>
      <w:r w:rsidRPr="0070292F">
        <w:rPr>
          <w:lang w:val="fr-FR"/>
        </w:rPr>
        <w:t>une manière ou d</w:t>
      </w:r>
      <w:r w:rsidR="0070292F" w:rsidRPr="0070292F">
        <w:rPr>
          <w:lang w:val="fr-FR"/>
        </w:rPr>
        <w:t>’</w:t>
      </w:r>
      <w:r w:rsidRPr="0070292F">
        <w:rPr>
          <w:lang w:val="fr-FR"/>
        </w:rPr>
        <w:t>une autre avaient autrefois fait l</w:t>
      </w:r>
      <w:r w:rsidR="0070292F" w:rsidRPr="0070292F">
        <w:rPr>
          <w:lang w:val="fr-FR"/>
        </w:rPr>
        <w:t>’</w:t>
      </w:r>
      <w:r w:rsidRPr="0070292F">
        <w:rPr>
          <w:lang w:val="fr-FR"/>
        </w:rPr>
        <w:t>objet d</w:t>
      </w:r>
      <w:r w:rsidR="0070292F" w:rsidRPr="0070292F">
        <w:rPr>
          <w:lang w:val="fr-FR"/>
        </w:rPr>
        <w:t>’</w:t>
      </w:r>
      <w:r w:rsidRPr="0070292F">
        <w:rPr>
          <w:lang w:val="fr-FR"/>
        </w:rPr>
        <w:t xml:space="preserve">une </w:t>
      </w:r>
      <w:r w:rsidRPr="0070292F">
        <w:rPr>
          <w:lang w:val="fr-FR"/>
        </w:rPr>
        <w:lastRenderedPageBreak/>
        <w:t>quelconque condamnation ?) et de « fréquenter les cafés, cabarets, salles de jeux (...) et [de] participer à des réunions publiques » (toutes les réunions ? même celles organisées, mettons, par des syndicats, à supposer qu</w:t>
      </w:r>
      <w:r w:rsidR="0070292F" w:rsidRPr="0070292F">
        <w:rPr>
          <w:lang w:val="fr-FR"/>
        </w:rPr>
        <w:t>’</w:t>
      </w:r>
      <w:r w:rsidRPr="0070292F">
        <w:rPr>
          <w:lang w:val="fr-FR"/>
        </w:rPr>
        <w:t>il ait réussi à trouver un travail et à s</w:t>
      </w:r>
      <w:r w:rsidR="0070292F" w:rsidRPr="0070292F">
        <w:rPr>
          <w:lang w:val="fr-FR"/>
        </w:rPr>
        <w:t>’</w:t>
      </w:r>
      <w:r w:rsidRPr="0070292F">
        <w:rPr>
          <w:lang w:val="fr-FR"/>
        </w:rPr>
        <w:t>affilier à l</w:t>
      </w:r>
      <w:r w:rsidR="0070292F" w:rsidRPr="0070292F">
        <w:rPr>
          <w:lang w:val="fr-FR"/>
        </w:rPr>
        <w:t>’</w:t>
      </w:r>
      <w:r w:rsidRPr="0070292F">
        <w:rPr>
          <w:lang w:val="fr-FR"/>
        </w:rPr>
        <w:t>un d</w:t>
      </w:r>
      <w:r w:rsidR="0070292F" w:rsidRPr="0070292F">
        <w:rPr>
          <w:lang w:val="fr-FR"/>
        </w:rPr>
        <w:t>’</w:t>
      </w:r>
      <w:r w:rsidRPr="0070292F">
        <w:rPr>
          <w:lang w:val="fr-FR"/>
        </w:rPr>
        <w:t>eux</w:t>
      </w:r>
      <w:r w:rsidRPr="0070292F">
        <w:rPr>
          <w:b/>
          <w:lang w:val="fr-FR"/>
        </w:rPr>
        <w:t> </w:t>
      </w:r>
      <w:r w:rsidRPr="0070292F">
        <w:rPr>
          <w:lang w:val="fr-FR"/>
        </w:rPr>
        <w:t>? ou bien pouvait-il assister à une pièce de théâtre ou à un spectacle, qui sont aussi « publics » et sont aussi des « réunions » ?), risque d</w:t>
      </w:r>
      <w:r w:rsidR="0070292F" w:rsidRPr="0070292F">
        <w:rPr>
          <w:lang w:val="fr-FR"/>
        </w:rPr>
        <w:t>’</w:t>
      </w:r>
      <w:r w:rsidRPr="0070292F">
        <w:rPr>
          <w:lang w:val="fr-FR"/>
        </w:rPr>
        <w:t>amener le lecteur à se demander à quoi pense la majorité lorsqu</w:t>
      </w:r>
      <w:r w:rsidR="0070292F" w:rsidRPr="0070292F">
        <w:rPr>
          <w:lang w:val="fr-FR"/>
        </w:rPr>
        <w:t>’</w:t>
      </w:r>
      <w:r w:rsidRPr="0070292F">
        <w:rPr>
          <w:lang w:val="fr-FR"/>
        </w:rPr>
        <w:t xml:space="preserve">elle dit que « le requérant (...) </w:t>
      </w:r>
      <w:r w:rsidRPr="0070292F">
        <w:rPr>
          <w:i/>
          <w:lang w:val="fr-FR"/>
        </w:rPr>
        <w:t>ne s</w:t>
      </w:r>
      <w:r w:rsidR="0070292F" w:rsidRPr="0070292F">
        <w:rPr>
          <w:i/>
          <w:lang w:val="fr-FR"/>
        </w:rPr>
        <w:t>’</w:t>
      </w:r>
      <w:r w:rsidRPr="0070292F">
        <w:rPr>
          <w:i/>
          <w:lang w:val="fr-FR"/>
        </w:rPr>
        <w:t>est pas trouvé dans l</w:t>
      </w:r>
      <w:r w:rsidR="0070292F" w:rsidRPr="0070292F">
        <w:rPr>
          <w:i/>
          <w:lang w:val="fr-FR"/>
        </w:rPr>
        <w:t>’</w:t>
      </w:r>
      <w:r w:rsidRPr="0070292F">
        <w:rPr>
          <w:i/>
          <w:lang w:val="fr-FR"/>
        </w:rPr>
        <w:t>impossibilité de nouer des contacts sociaux </w:t>
      </w:r>
      <w:r w:rsidRPr="0070292F">
        <w:rPr>
          <w:lang w:val="fr-FR"/>
        </w:rPr>
        <w:t>» (italique ajouté), dès lors qu</w:t>
      </w:r>
      <w:r w:rsidR="0070292F" w:rsidRPr="0070292F">
        <w:rPr>
          <w:lang w:val="fr-FR"/>
        </w:rPr>
        <w:t>’</w:t>
      </w:r>
      <w:r w:rsidRPr="0070292F">
        <w:rPr>
          <w:lang w:val="fr-FR"/>
        </w:rPr>
        <w:t>il « n</w:t>
      </w:r>
      <w:r w:rsidR="0070292F" w:rsidRPr="0070292F">
        <w:rPr>
          <w:lang w:val="fr-FR"/>
        </w:rPr>
        <w:t>’</w:t>
      </w:r>
      <w:r w:rsidRPr="0070292F">
        <w:rPr>
          <w:lang w:val="fr-FR"/>
        </w:rPr>
        <w:t>a pas été contraint de vivre dans un endroit exigu » (paragraphe 85 de l</w:t>
      </w:r>
      <w:r w:rsidR="0070292F" w:rsidRPr="0070292F">
        <w:rPr>
          <w:lang w:val="fr-FR"/>
        </w:rPr>
        <w:t>’</w:t>
      </w:r>
      <w:r w:rsidRPr="0070292F">
        <w:rPr>
          <w:lang w:val="fr-FR"/>
        </w:rPr>
        <w:t>arrêt).</w:t>
      </w:r>
    </w:p>
    <w:p w:rsidR="005103F7" w:rsidRPr="0070292F" w:rsidRDefault="005103F7" w:rsidP="0070292F">
      <w:pPr>
        <w:pStyle w:val="OpiPara"/>
        <w:rPr>
          <w:bCs/>
          <w:iCs/>
          <w:lang w:val="fr-FR"/>
        </w:rPr>
      </w:pPr>
      <w:r w:rsidRPr="0070292F">
        <w:rPr>
          <w:bCs/>
          <w:iCs/>
          <w:lang w:val="fr-FR"/>
        </w:rPr>
        <w:t>7.  Si la majorité avait opté pour l</w:t>
      </w:r>
      <w:r w:rsidR="0070292F" w:rsidRPr="0070292F">
        <w:rPr>
          <w:bCs/>
          <w:iCs/>
          <w:lang w:val="fr-FR"/>
        </w:rPr>
        <w:t>’</w:t>
      </w:r>
      <w:r w:rsidRPr="0070292F">
        <w:rPr>
          <w:bCs/>
          <w:iCs/>
          <w:lang w:val="fr-FR"/>
        </w:rPr>
        <w:t>applicabilité de l</w:t>
      </w:r>
      <w:r w:rsidR="0070292F" w:rsidRPr="0070292F">
        <w:rPr>
          <w:bCs/>
          <w:iCs/>
          <w:lang w:val="fr-FR"/>
        </w:rPr>
        <w:t>’</w:t>
      </w:r>
      <w:r w:rsidRPr="0070292F">
        <w:rPr>
          <w:bCs/>
          <w:iCs/>
          <w:lang w:val="fr-FR"/>
        </w:rPr>
        <w:t>article 5 et jugé qu</w:t>
      </w:r>
      <w:r w:rsidR="0070292F" w:rsidRPr="0070292F">
        <w:rPr>
          <w:bCs/>
          <w:iCs/>
          <w:lang w:val="fr-FR"/>
        </w:rPr>
        <w:t>’</w:t>
      </w:r>
      <w:r w:rsidRPr="0070292F">
        <w:rPr>
          <w:bCs/>
          <w:iCs/>
          <w:lang w:val="fr-FR"/>
        </w:rPr>
        <w:t>il y avait eu violation de cette disposition, la Grande Chambre n</w:t>
      </w:r>
      <w:r w:rsidR="0070292F" w:rsidRPr="0070292F">
        <w:rPr>
          <w:bCs/>
          <w:iCs/>
          <w:lang w:val="fr-FR"/>
        </w:rPr>
        <w:t>’</w:t>
      </w:r>
      <w:r w:rsidRPr="0070292F">
        <w:rPr>
          <w:bCs/>
          <w:iCs/>
          <w:lang w:val="fr-FR"/>
        </w:rPr>
        <w:t>aurait pas eu besoin de se pencher sur la violation alléguée de l</w:t>
      </w:r>
      <w:r w:rsidR="0070292F" w:rsidRPr="0070292F">
        <w:rPr>
          <w:bCs/>
          <w:iCs/>
          <w:lang w:val="fr-FR"/>
        </w:rPr>
        <w:t>’</w:t>
      </w:r>
      <w:r w:rsidRPr="0070292F">
        <w:rPr>
          <w:bCs/>
          <w:iCs/>
          <w:lang w:val="fr-FR"/>
        </w:rPr>
        <w:t>article 2 du Protocole n</w:t>
      </w:r>
      <w:r w:rsidRPr="0070292F">
        <w:rPr>
          <w:bCs/>
          <w:iCs/>
          <w:vertAlign w:val="superscript"/>
          <w:lang w:val="fr-FR"/>
        </w:rPr>
        <w:t>o</w:t>
      </w:r>
      <w:r w:rsidRPr="0070292F">
        <w:rPr>
          <w:bCs/>
          <w:iCs/>
          <w:lang w:val="fr-FR"/>
        </w:rPr>
        <w:t> 4 à la Convention, et ainsi de produire un raisonnement qui de manière injustifiée accorde peu – clairement trop peu</w:t>
      </w:r>
      <w:r w:rsidRPr="0070292F">
        <w:rPr>
          <w:b/>
          <w:bCs/>
          <w:iCs/>
          <w:lang w:val="fr-FR"/>
        </w:rPr>
        <w:t> –</w:t>
      </w:r>
      <w:r w:rsidRPr="0070292F">
        <w:rPr>
          <w:bCs/>
          <w:iCs/>
          <w:lang w:val="fr-FR"/>
        </w:rPr>
        <w:t xml:space="preserve"> de place à l</w:t>
      </w:r>
      <w:r w:rsidR="0070292F" w:rsidRPr="0070292F">
        <w:rPr>
          <w:bCs/>
          <w:iCs/>
          <w:lang w:val="fr-FR"/>
        </w:rPr>
        <w:t>’</w:t>
      </w:r>
      <w:r w:rsidRPr="0070292F">
        <w:rPr>
          <w:bCs/>
          <w:iCs/>
          <w:lang w:val="fr-FR"/>
        </w:rPr>
        <w:t>aspect factuel essentiel de cette affaire, à savoir qu</w:t>
      </w:r>
      <w:r w:rsidR="0070292F" w:rsidRPr="0070292F">
        <w:rPr>
          <w:bCs/>
          <w:iCs/>
          <w:lang w:val="fr-FR"/>
        </w:rPr>
        <w:t>’</w:t>
      </w:r>
      <w:r w:rsidRPr="0070292F">
        <w:rPr>
          <w:bCs/>
          <w:iCs/>
          <w:lang w:val="fr-FR"/>
        </w:rPr>
        <w:t xml:space="preserve">il y eu </w:t>
      </w:r>
      <w:r w:rsidRPr="0070292F">
        <w:rPr>
          <w:bCs/>
          <w:i/>
          <w:iCs/>
          <w:lang w:val="fr-FR"/>
        </w:rPr>
        <w:t>erreur sur la personne</w:t>
      </w:r>
      <w:r w:rsidRPr="0070292F">
        <w:rPr>
          <w:bCs/>
          <w:iCs/>
          <w:lang w:val="fr-FR"/>
        </w:rPr>
        <w:t>. Certes, il y a aussi eu violation de l</w:t>
      </w:r>
      <w:r w:rsidR="0070292F" w:rsidRPr="0070292F">
        <w:rPr>
          <w:bCs/>
          <w:iCs/>
          <w:lang w:val="fr-FR"/>
        </w:rPr>
        <w:t>’</w:t>
      </w:r>
      <w:r w:rsidRPr="0070292F">
        <w:rPr>
          <w:bCs/>
          <w:iCs/>
          <w:lang w:val="fr-FR"/>
        </w:rPr>
        <w:t>article 2 du Protocole n</w:t>
      </w:r>
      <w:r w:rsidRPr="0070292F">
        <w:rPr>
          <w:bCs/>
          <w:iCs/>
          <w:vertAlign w:val="superscript"/>
          <w:lang w:val="fr-FR"/>
        </w:rPr>
        <w:t>o</w:t>
      </w:r>
      <w:r w:rsidRPr="0070292F">
        <w:rPr>
          <w:bCs/>
          <w:iCs/>
          <w:lang w:val="fr-FR"/>
        </w:rPr>
        <w:t xml:space="preserve"> 4, mais – dès lors que </w:t>
      </w:r>
      <w:r w:rsidRPr="0070292F">
        <w:rPr>
          <w:bCs/>
          <w:i/>
          <w:iCs/>
          <w:lang w:val="fr-FR"/>
        </w:rPr>
        <w:t>toute</w:t>
      </w:r>
      <w:r w:rsidRPr="0070292F">
        <w:rPr>
          <w:bCs/>
          <w:iCs/>
          <w:lang w:val="fr-FR"/>
        </w:rPr>
        <w:t xml:space="preserve"> atteinte au droit à la liberté d</w:t>
      </w:r>
      <w:r w:rsidR="0070292F" w:rsidRPr="0070292F">
        <w:rPr>
          <w:bCs/>
          <w:iCs/>
          <w:lang w:val="fr-FR"/>
        </w:rPr>
        <w:t>’</w:t>
      </w:r>
      <w:r w:rsidRPr="0070292F">
        <w:rPr>
          <w:bCs/>
          <w:iCs/>
          <w:lang w:val="fr-FR"/>
        </w:rPr>
        <w:t>une personne englobe toujours, par définition, une atteinte à sa liberté de circulation – le constat d</w:t>
      </w:r>
      <w:r w:rsidR="0070292F" w:rsidRPr="0070292F">
        <w:rPr>
          <w:bCs/>
          <w:iCs/>
          <w:lang w:val="fr-FR"/>
        </w:rPr>
        <w:t>’</w:t>
      </w:r>
      <w:r w:rsidRPr="0070292F">
        <w:rPr>
          <w:bCs/>
          <w:iCs/>
          <w:lang w:val="fr-FR"/>
        </w:rPr>
        <w:t>une violation de l</w:t>
      </w:r>
      <w:r w:rsidR="0070292F" w:rsidRPr="0070292F">
        <w:rPr>
          <w:bCs/>
          <w:iCs/>
          <w:lang w:val="fr-FR"/>
        </w:rPr>
        <w:t>’</w:t>
      </w:r>
      <w:r w:rsidRPr="0070292F">
        <w:rPr>
          <w:bCs/>
          <w:iCs/>
          <w:lang w:val="fr-FR"/>
        </w:rPr>
        <w:t>article 2 du Protocole n</w:t>
      </w:r>
      <w:r w:rsidRPr="0070292F">
        <w:rPr>
          <w:bCs/>
          <w:iCs/>
          <w:vertAlign w:val="superscript"/>
          <w:lang w:val="fr-FR"/>
        </w:rPr>
        <w:t>o</w:t>
      </w:r>
      <w:r w:rsidRPr="0070292F">
        <w:rPr>
          <w:bCs/>
          <w:iCs/>
          <w:lang w:val="fr-FR"/>
        </w:rPr>
        <w:t xml:space="preserve"> 4 auraient été « couvert » par le constat « plus général » d</w:t>
      </w:r>
      <w:r w:rsidR="0070292F" w:rsidRPr="0070292F">
        <w:rPr>
          <w:bCs/>
          <w:iCs/>
          <w:lang w:val="fr-FR"/>
        </w:rPr>
        <w:t>’</w:t>
      </w:r>
      <w:r w:rsidRPr="0070292F">
        <w:rPr>
          <w:bCs/>
          <w:iCs/>
          <w:lang w:val="fr-FR"/>
        </w:rPr>
        <w:t>une violation de l</w:t>
      </w:r>
      <w:r w:rsidR="0070292F" w:rsidRPr="0070292F">
        <w:rPr>
          <w:bCs/>
          <w:iCs/>
          <w:lang w:val="fr-FR"/>
        </w:rPr>
        <w:t>’</w:t>
      </w:r>
      <w:r w:rsidRPr="0070292F">
        <w:rPr>
          <w:bCs/>
          <w:iCs/>
          <w:lang w:val="fr-FR"/>
        </w:rPr>
        <w:t>article 5.</w:t>
      </w:r>
    </w:p>
    <w:p w:rsidR="005103F7" w:rsidRPr="0070292F" w:rsidRDefault="005103F7" w:rsidP="0070292F">
      <w:pPr>
        <w:pStyle w:val="OpiPara"/>
        <w:rPr>
          <w:bCs/>
          <w:iCs/>
          <w:lang w:val="fr-FR"/>
        </w:rPr>
      </w:pPr>
      <w:r w:rsidRPr="0070292F">
        <w:rPr>
          <w:bCs/>
          <w:iCs/>
          <w:lang w:val="fr-FR"/>
        </w:rPr>
        <w:t>Puisque la majorité a néanmoins jugé l</w:t>
      </w:r>
      <w:r w:rsidR="0070292F" w:rsidRPr="0070292F">
        <w:rPr>
          <w:bCs/>
          <w:iCs/>
          <w:lang w:val="fr-FR"/>
        </w:rPr>
        <w:t>’</w:t>
      </w:r>
      <w:r w:rsidRPr="0070292F">
        <w:rPr>
          <w:bCs/>
          <w:iCs/>
          <w:lang w:val="fr-FR"/>
        </w:rPr>
        <w:t>article 5 inapplicable, je n</w:t>
      </w:r>
      <w:r w:rsidR="0070292F" w:rsidRPr="0070292F">
        <w:rPr>
          <w:bCs/>
          <w:iCs/>
          <w:lang w:val="fr-FR"/>
        </w:rPr>
        <w:t>’</w:t>
      </w:r>
      <w:r w:rsidRPr="0070292F">
        <w:rPr>
          <w:bCs/>
          <w:iCs/>
          <w:lang w:val="fr-FR"/>
        </w:rPr>
        <w:t>ai pas eu d</w:t>
      </w:r>
      <w:r w:rsidR="0070292F" w:rsidRPr="0070292F">
        <w:rPr>
          <w:bCs/>
          <w:iCs/>
          <w:lang w:val="fr-FR"/>
        </w:rPr>
        <w:t>’</w:t>
      </w:r>
      <w:r w:rsidRPr="0070292F">
        <w:rPr>
          <w:bCs/>
          <w:iCs/>
          <w:lang w:val="fr-FR"/>
        </w:rPr>
        <w:t>autre choix que de voter pour le constat d</w:t>
      </w:r>
      <w:r w:rsidR="0070292F" w:rsidRPr="0070292F">
        <w:rPr>
          <w:bCs/>
          <w:iCs/>
          <w:lang w:val="fr-FR"/>
        </w:rPr>
        <w:t>’</w:t>
      </w:r>
      <w:r w:rsidRPr="0070292F">
        <w:rPr>
          <w:bCs/>
          <w:iCs/>
          <w:lang w:val="fr-FR"/>
        </w:rPr>
        <w:t>une violation de l</w:t>
      </w:r>
      <w:r w:rsidR="0070292F" w:rsidRPr="0070292F">
        <w:rPr>
          <w:bCs/>
          <w:iCs/>
          <w:lang w:val="fr-FR"/>
        </w:rPr>
        <w:t>’</w:t>
      </w:r>
      <w:r w:rsidRPr="0070292F">
        <w:rPr>
          <w:bCs/>
          <w:iCs/>
          <w:lang w:val="fr-FR"/>
        </w:rPr>
        <w:t>article 2 du Protocole n</w:t>
      </w:r>
      <w:r w:rsidRPr="0070292F">
        <w:rPr>
          <w:bCs/>
          <w:iCs/>
          <w:vertAlign w:val="superscript"/>
          <w:lang w:val="fr-FR"/>
        </w:rPr>
        <w:t>o</w:t>
      </w:r>
      <w:r w:rsidRPr="0070292F">
        <w:rPr>
          <w:bCs/>
          <w:iCs/>
          <w:lang w:val="fr-FR"/>
        </w:rPr>
        <w:t xml:space="preserve"> 4 (point 4 du dispositif).</w:t>
      </w:r>
    </w:p>
    <w:p w:rsidR="005103F7" w:rsidRPr="0070292F" w:rsidRDefault="005103F7" w:rsidP="0070292F">
      <w:pPr>
        <w:pStyle w:val="OpiPara"/>
        <w:rPr>
          <w:bCs/>
          <w:iCs/>
          <w:lang w:val="fr-FR"/>
        </w:rPr>
      </w:pPr>
      <w:r w:rsidRPr="0070292F">
        <w:rPr>
          <w:bCs/>
          <w:iCs/>
          <w:lang w:val="fr-FR"/>
        </w:rPr>
        <w:t>8.  Je suis également d</w:t>
      </w:r>
      <w:r w:rsidR="0070292F" w:rsidRPr="0070292F">
        <w:rPr>
          <w:bCs/>
          <w:iCs/>
          <w:lang w:val="fr-FR"/>
        </w:rPr>
        <w:t>’</w:t>
      </w:r>
      <w:r w:rsidRPr="0070292F">
        <w:rPr>
          <w:bCs/>
          <w:iCs/>
          <w:lang w:val="fr-FR"/>
        </w:rPr>
        <w:t>accord avec le juge Pinto de Albuquerque quant à l</w:t>
      </w:r>
      <w:r w:rsidR="0070292F" w:rsidRPr="0070292F">
        <w:rPr>
          <w:bCs/>
          <w:iCs/>
          <w:lang w:val="fr-FR"/>
        </w:rPr>
        <w:t>’</w:t>
      </w:r>
      <w:r w:rsidRPr="0070292F">
        <w:rPr>
          <w:bCs/>
          <w:iCs/>
          <w:lang w:val="fr-FR"/>
        </w:rPr>
        <w:t>applicabilité de l</w:t>
      </w:r>
      <w:r w:rsidR="0070292F" w:rsidRPr="0070292F">
        <w:rPr>
          <w:bCs/>
          <w:iCs/>
          <w:lang w:val="fr-FR"/>
        </w:rPr>
        <w:t>’</w:t>
      </w:r>
      <w:r w:rsidRPr="0070292F">
        <w:rPr>
          <w:bCs/>
          <w:iCs/>
          <w:lang w:val="fr-FR"/>
        </w:rPr>
        <w:t>article 6 § 1 sous son volet pénal et partage son avis qu</w:t>
      </w:r>
      <w:r w:rsidR="0070292F" w:rsidRPr="0070292F">
        <w:rPr>
          <w:bCs/>
          <w:iCs/>
          <w:lang w:val="fr-FR"/>
        </w:rPr>
        <w:t>’</w:t>
      </w:r>
      <w:r w:rsidRPr="0070292F">
        <w:rPr>
          <w:bCs/>
          <w:iCs/>
          <w:lang w:val="fr-FR"/>
        </w:rPr>
        <w:t>il y a eu violation de cet article précisément sous cet angle. Selon la majorité, « le volet pénal de l</w:t>
      </w:r>
      <w:r w:rsidR="0070292F" w:rsidRPr="0070292F">
        <w:rPr>
          <w:bCs/>
          <w:iCs/>
          <w:lang w:val="fr-FR"/>
        </w:rPr>
        <w:t>’</w:t>
      </w:r>
      <w:r w:rsidRPr="0070292F">
        <w:rPr>
          <w:bCs/>
          <w:iCs/>
          <w:lang w:val="fr-FR"/>
        </w:rPr>
        <w:t>article 6 § 1 de la Convention n</w:t>
      </w:r>
      <w:r w:rsidR="0070292F" w:rsidRPr="0070292F">
        <w:rPr>
          <w:bCs/>
          <w:iCs/>
          <w:lang w:val="fr-FR"/>
        </w:rPr>
        <w:t>’</w:t>
      </w:r>
      <w:r w:rsidRPr="0070292F">
        <w:rPr>
          <w:bCs/>
          <w:iCs/>
          <w:lang w:val="fr-FR"/>
        </w:rPr>
        <w:t>entre pas en jeu, car la surveillance spéciale ne saurait se comparer à une peine dès lors que la procédure dont le requérant a fait l</w:t>
      </w:r>
      <w:r w:rsidR="0070292F" w:rsidRPr="0070292F">
        <w:rPr>
          <w:bCs/>
          <w:iCs/>
          <w:lang w:val="fr-FR"/>
        </w:rPr>
        <w:t>’</w:t>
      </w:r>
      <w:r w:rsidRPr="0070292F">
        <w:rPr>
          <w:bCs/>
          <w:iCs/>
          <w:lang w:val="fr-FR"/>
        </w:rPr>
        <w:t>objet ne concernait pas le bien-fondé d</w:t>
      </w:r>
      <w:r w:rsidR="0070292F" w:rsidRPr="0070292F">
        <w:rPr>
          <w:bCs/>
          <w:iCs/>
          <w:lang w:val="fr-FR"/>
        </w:rPr>
        <w:t>’</w:t>
      </w:r>
      <w:r w:rsidRPr="0070292F">
        <w:rPr>
          <w:bCs/>
          <w:iCs/>
          <w:lang w:val="fr-FR"/>
        </w:rPr>
        <w:t>une « accusation en matière pénale » au sens de l</w:t>
      </w:r>
      <w:r w:rsidR="0070292F" w:rsidRPr="0070292F">
        <w:rPr>
          <w:bCs/>
          <w:iCs/>
          <w:lang w:val="fr-FR"/>
        </w:rPr>
        <w:t>’</w:t>
      </w:r>
      <w:r w:rsidRPr="0070292F">
        <w:rPr>
          <w:bCs/>
          <w:iCs/>
          <w:lang w:val="fr-FR"/>
        </w:rPr>
        <w:t>article 6 de la Convention » (paragraphe 143 de l</w:t>
      </w:r>
      <w:r w:rsidR="0070292F" w:rsidRPr="0070292F">
        <w:rPr>
          <w:bCs/>
          <w:iCs/>
          <w:lang w:val="fr-FR"/>
        </w:rPr>
        <w:t>’</w:t>
      </w:r>
      <w:r w:rsidRPr="0070292F">
        <w:rPr>
          <w:bCs/>
          <w:iCs/>
          <w:lang w:val="fr-FR"/>
        </w:rPr>
        <w:t xml:space="preserve">arrêt). Pour étayer cette position, la majorité renvoie à </w:t>
      </w:r>
      <w:r w:rsidRPr="0070292F">
        <w:rPr>
          <w:bCs/>
          <w:i/>
          <w:iCs/>
          <w:lang w:val="fr-FR"/>
        </w:rPr>
        <w:t xml:space="preserve">Guzzardi </w:t>
      </w:r>
      <w:r w:rsidRPr="0070292F">
        <w:rPr>
          <w:bCs/>
          <w:iCs/>
          <w:lang w:val="fr-FR"/>
        </w:rPr>
        <w:t>(précité,</w:t>
      </w:r>
      <w:r w:rsidRPr="0070292F">
        <w:rPr>
          <w:bCs/>
          <w:i/>
          <w:iCs/>
          <w:lang w:val="fr-FR"/>
        </w:rPr>
        <w:t xml:space="preserve"> </w:t>
      </w:r>
      <w:r w:rsidRPr="0070292F">
        <w:rPr>
          <w:bCs/>
          <w:iCs/>
          <w:lang w:val="fr-FR"/>
        </w:rPr>
        <w:t xml:space="preserve">§ 108) et à </w:t>
      </w:r>
      <w:r w:rsidRPr="0070292F">
        <w:rPr>
          <w:bCs/>
          <w:i/>
          <w:iCs/>
          <w:lang w:val="fr-FR"/>
        </w:rPr>
        <w:t>Raimondo c. Italie</w:t>
      </w:r>
      <w:r w:rsidRPr="0070292F">
        <w:rPr>
          <w:bCs/>
          <w:iCs/>
          <w:lang w:val="fr-FR"/>
        </w:rPr>
        <w:t xml:space="preserve"> (n</w:t>
      </w:r>
      <w:r w:rsidRPr="0070292F">
        <w:rPr>
          <w:bCs/>
          <w:iCs/>
          <w:vertAlign w:val="superscript"/>
          <w:lang w:val="fr-FR"/>
        </w:rPr>
        <w:t>o</w:t>
      </w:r>
      <w:r w:rsidRPr="0070292F">
        <w:rPr>
          <w:bCs/>
          <w:iCs/>
          <w:lang w:val="fr-FR"/>
        </w:rPr>
        <w:t> 12954/87, 22 février 1994, § 43, série A n</w:t>
      </w:r>
      <w:r w:rsidRPr="0070292F">
        <w:rPr>
          <w:bCs/>
          <w:iCs/>
          <w:vertAlign w:val="superscript"/>
          <w:lang w:val="fr-FR"/>
        </w:rPr>
        <w:t>o</w:t>
      </w:r>
      <w:r w:rsidRPr="0070292F">
        <w:rPr>
          <w:bCs/>
          <w:iCs/>
          <w:lang w:val="fr-FR"/>
        </w:rPr>
        <w:t> 281</w:t>
      </w:r>
      <w:r w:rsidRPr="0070292F">
        <w:rPr>
          <w:bCs/>
          <w:iCs/>
          <w:lang w:val="fr-FR"/>
        </w:rPr>
        <w:noBreakHyphen/>
        <w:t>A). La référence n</w:t>
      </w:r>
      <w:r w:rsidR="0070292F" w:rsidRPr="0070292F">
        <w:rPr>
          <w:bCs/>
          <w:iCs/>
          <w:lang w:val="fr-FR"/>
        </w:rPr>
        <w:t>’</w:t>
      </w:r>
      <w:r w:rsidRPr="0070292F">
        <w:rPr>
          <w:bCs/>
          <w:iCs/>
          <w:lang w:val="fr-FR"/>
        </w:rPr>
        <w:t xml:space="preserve">est pas très concluante. Le paragraphe tiré de </w:t>
      </w:r>
      <w:r w:rsidRPr="0070292F">
        <w:rPr>
          <w:bCs/>
          <w:i/>
          <w:iCs/>
          <w:lang w:val="fr-FR"/>
        </w:rPr>
        <w:t>Guzzardi</w:t>
      </w:r>
      <w:r w:rsidRPr="0070292F">
        <w:rPr>
          <w:bCs/>
          <w:iCs/>
          <w:lang w:val="fr-FR"/>
        </w:rPr>
        <w:t xml:space="preserve"> (affaire dont la résolution par la Cour remonte à 1980), mentionné au paragraphe 143 de l</w:t>
      </w:r>
      <w:r w:rsidR="0070292F" w:rsidRPr="0070292F">
        <w:rPr>
          <w:bCs/>
          <w:iCs/>
          <w:lang w:val="fr-FR"/>
        </w:rPr>
        <w:t>’</w:t>
      </w:r>
      <w:r w:rsidRPr="0070292F">
        <w:rPr>
          <w:bCs/>
          <w:iCs/>
          <w:lang w:val="fr-FR"/>
        </w:rPr>
        <w:t>arrêt contient peu (voire pas du tout) de principes de doctrine à caractère général et bien</w:t>
      </w:r>
      <w:r w:rsidRPr="0070292F">
        <w:rPr>
          <w:b/>
          <w:bCs/>
          <w:iCs/>
          <w:lang w:val="fr-FR"/>
        </w:rPr>
        <w:t xml:space="preserve"> </w:t>
      </w:r>
      <w:r w:rsidRPr="0070292F">
        <w:rPr>
          <w:bCs/>
          <w:iCs/>
          <w:lang w:val="fr-FR"/>
        </w:rPr>
        <w:t xml:space="preserve">arrêtés. Il est explicitement imprécis quant à la nature du droit à la liberté. Quant au paragraphe tiré de </w:t>
      </w:r>
      <w:r w:rsidRPr="0070292F">
        <w:rPr>
          <w:bCs/>
          <w:i/>
          <w:iCs/>
          <w:lang w:val="fr-FR"/>
        </w:rPr>
        <w:t>Raimondo</w:t>
      </w:r>
      <w:r w:rsidRPr="0070292F">
        <w:rPr>
          <w:bCs/>
          <w:iCs/>
          <w:lang w:val="fr-FR"/>
        </w:rPr>
        <w:t xml:space="preserve"> cité au même paragraphe 143 de l</w:t>
      </w:r>
      <w:r w:rsidR="0070292F" w:rsidRPr="0070292F">
        <w:rPr>
          <w:bCs/>
          <w:iCs/>
          <w:lang w:val="fr-FR"/>
        </w:rPr>
        <w:t>’</w:t>
      </w:r>
      <w:r w:rsidRPr="0070292F">
        <w:rPr>
          <w:bCs/>
          <w:iCs/>
          <w:lang w:val="fr-FR"/>
        </w:rPr>
        <w:t>arrêt, il n</w:t>
      </w:r>
      <w:r w:rsidR="0070292F" w:rsidRPr="0070292F">
        <w:rPr>
          <w:bCs/>
          <w:iCs/>
          <w:lang w:val="fr-FR"/>
        </w:rPr>
        <w:t>’</w:t>
      </w:r>
      <w:r w:rsidRPr="0070292F">
        <w:rPr>
          <w:bCs/>
          <w:iCs/>
          <w:lang w:val="fr-FR"/>
        </w:rPr>
        <w:t xml:space="preserve">éclaire pas davantage la question car il ne fait que renvoyer au paragraphe susvisé de </w:t>
      </w:r>
      <w:r w:rsidRPr="0070292F">
        <w:rPr>
          <w:bCs/>
          <w:i/>
          <w:iCs/>
          <w:lang w:val="fr-FR"/>
        </w:rPr>
        <w:t>Guzzardi</w:t>
      </w:r>
      <w:r w:rsidRPr="0070292F">
        <w:rPr>
          <w:bCs/>
          <w:iCs/>
          <w:lang w:val="fr-FR"/>
        </w:rPr>
        <w:t xml:space="preserve">, quoique sans les conditions contenues dans le paragraphe original de </w:t>
      </w:r>
      <w:r w:rsidRPr="0070292F">
        <w:rPr>
          <w:bCs/>
          <w:i/>
          <w:iCs/>
          <w:lang w:val="fr-FR"/>
        </w:rPr>
        <w:t>Guzzardi</w:t>
      </w:r>
      <w:r w:rsidRPr="0070292F">
        <w:rPr>
          <w:bCs/>
          <w:iCs/>
          <w:lang w:val="fr-FR"/>
        </w:rPr>
        <w:t>.</w:t>
      </w:r>
    </w:p>
    <w:p w:rsidR="005103F7" w:rsidRPr="0070292F" w:rsidRDefault="005103F7" w:rsidP="0070292F">
      <w:pPr>
        <w:pStyle w:val="OpiPara"/>
        <w:rPr>
          <w:bCs/>
          <w:iCs/>
          <w:lang w:val="fr-FR"/>
        </w:rPr>
      </w:pPr>
      <w:r w:rsidRPr="0070292F">
        <w:rPr>
          <w:bCs/>
          <w:iCs/>
          <w:lang w:val="fr-FR"/>
        </w:rPr>
        <w:t>9.  Signalons en passant que le Gouvernement n</w:t>
      </w:r>
      <w:r w:rsidR="0070292F" w:rsidRPr="0070292F">
        <w:rPr>
          <w:bCs/>
          <w:iCs/>
          <w:lang w:val="fr-FR"/>
        </w:rPr>
        <w:t>’</w:t>
      </w:r>
      <w:r w:rsidRPr="0070292F">
        <w:rPr>
          <w:bCs/>
          <w:iCs/>
          <w:lang w:val="fr-FR"/>
        </w:rPr>
        <w:t>a pas présenté d</w:t>
      </w:r>
      <w:r w:rsidR="0070292F" w:rsidRPr="0070292F">
        <w:rPr>
          <w:bCs/>
          <w:iCs/>
          <w:lang w:val="fr-FR"/>
        </w:rPr>
        <w:t>’</w:t>
      </w:r>
      <w:r w:rsidRPr="0070292F">
        <w:rPr>
          <w:bCs/>
          <w:iCs/>
          <w:lang w:val="fr-FR"/>
        </w:rPr>
        <w:t>observation au sujet de l</w:t>
      </w:r>
      <w:r w:rsidR="0070292F" w:rsidRPr="0070292F">
        <w:rPr>
          <w:bCs/>
          <w:iCs/>
          <w:lang w:val="fr-FR"/>
        </w:rPr>
        <w:t>’</w:t>
      </w:r>
      <w:r w:rsidRPr="0070292F">
        <w:rPr>
          <w:bCs/>
          <w:iCs/>
          <w:lang w:val="fr-FR"/>
        </w:rPr>
        <w:t xml:space="preserve">affirmation du requérant selon laquelle </w:t>
      </w:r>
      <w:r w:rsidRPr="0070292F">
        <w:rPr>
          <w:bCs/>
          <w:iCs/>
          <w:lang w:val="fr-FR"/>
        </w:rPr>
        <w:lastRenderedPageBreak/>
        <w:t>l</w:t>
      </w:r>
      <w:r w:rsidR="0070292F" w:rsidRPr="0070292F">
        <w:rPr>
          <w:bCs/>
          <w:iCs/>
          <w:lang w:val="fr-FR"/>
        </w:rPr>
        <w:t>’</w:t>
      </w:r>
      <w:r w:rsidRPr="0070292F">
        <w:rPr>
          <w:bCs/>
          <w:iCs/>
          <w:lang w:val="fr-FR"/>
        </w:rPr>
        <w:t>article 6 § 1 sous son volet pénal était applicable « aux procédures relatives à l</w:t>
      </w:r>
      <w:r w:rsidR="0070292F" w:rsidRPr="0070292F">
        <w:rPr>
          <w:bCs/>
          <w:iCs/>
          <w:lang w:val="fr-FR"/>
        </w:rPr>
        <w:t>’</w:t>
      </w:r>
      <w:r w:rsidRPr="0070292F">
        <w:rPr>
          <w:bCs/>
          <w:iCs/>
          <w:lang w:val="fr-FR"/>
        </w:rPr>
        <w:t>application des mesures de prévention personnelles en ce qu</w:t>
      </w:r>
      <w:r w:rsidR="0070292F" w:rsidRPr="0070292F">
        <w:rPr>
          <w:bCs/>
          <w:iCs/>
          <w:lang w:val="fr-FR"/>
        </w:rPr>
        <w:t>’</w:t>
      </w:r>
      <w:r w:rsidRPr="0070292F">
        <w:rPr>
          <w:bCs/>
          <w:iCs/>
          <w:lang w:val="fr-FR"/>
        </w:rPr>
        <w:t>elles concernent la liberté personnelle du citoyen et sont régies par les dispositions du code de procédure pénale » (paragraphes 141 et 142 de l</w:t>
      </w:r>
      <w:r w:rsidR="0070292F" w:rsidRPr="0070292F">
        <w:rPr>
          <w:bCs/>
          <w:iCs/>
          <w:lang w:val="fr-FR"/>
        </w:rPr>
        <w:t>’</w:t>
      </w:r>
      <w:r w:rsidRPr="0070292F">
        <w:rPr>
          <w:bCs/>
          <w:iCs/>
          <w:lang w:val="fr-FR"/>
        </w:rPr>
        <w:t>arrêt).</w:t>
      </w:r>
    </w:p>
    <w:p w:rsidR="005103F7" w:rsidRPr="0070292F" w:rsidRDefault="005103F7" w:rsidP="0070292F">
      <w:pPr>
        <w:pStyle w:val="OpiPara"/>
        <w:rPr>
          <w:bCs/>
          <w:iCs/>
          <w:lang w:val="fr-FR"/>
        </w:rPr>
      </w:pPr>
      <w:r w:rsidRPr="0070292F">
        <w:rPr>
          <w:bCs/>
          <w:iCs/>
          <w:lang w:val="fr-FR"/>
        </w:rPr>
        <w:t>Cette abstention signifie sûrement quelque chose.</w:t>
      </w:r>
    </w:p>
    <w:p w:rsidR="005103F7" w:rsidRPr="0070292F" w:rsidRDefault="005103F7" w:rsidP="0070292F">
      <w:pPr>
        <w:pStyle w:val="OpiPara"/>
        <w:rPr>
          <w:bCs/>
          <w:iCs/>
          <w:lang w:val="fr-FR"/>
        </w:rPr>
      </w:pPr>
      <w:r w:rsidRPr="0070292F">
        <w:rPr>
          <w:bCs/>
          <w:iCs/>
          <w:lang w:val="fr-FR"/>
        </w:rPr>
        <w:t>10.  Dans le contexte de l</w:t>
      </w:r>
      <w:r w:rsidR="0070292F" w:rsidRPr="0070292F">
        <w:rPr>
          <w:bCs/>
          <w:iCs/>
          <w:lang w:val="fr-FR"/>
        </w:rPr>
        <w:t>’</w:t>
      </w:r>
      <w:r w:rsidRPr="0070292F">
        <w:rPr>
          <w:bCs/>
          <w:iCs/>
          <w:lang w:val="fr-FR"/>
        </w:rPr>
        <w:t>applicabilité (changée en inapplicabilité par la majorité) du volet pénal de l</w:t>
      </w:r>
      <w:r w:rsidR="0070292F" w:rsidRPr="0070292F">
        <w:rPr>
          <w:bCs/>
          <w:iCs/>
          <w:lang w:val="fr-FR"/>
        </w:rPr>
        <w:t>’</w:t>
      </w:r>
      <w:r w:rsidRPr="0070292F">
        <w:rPr>
          <w:bCs/>
          <w:iCs/>
          <w:lang w:val="fr-FR"/>
        </w:rPr>
        <w:t xml:space="preserve">article 6 § 1, il faut encore mentionner un autre aspect. En fait, il </w:t>
      </w:r>
      <w:r w:rsidRPr="0070292F">
        <w:rPr>
          <w:bCs/>
          <w:i/>
          <w:iCs/>
          <w:lang w:val="fr-FR"/>
        </w:rPr>
        <w:t>est</w:t>
      </w:r>
      <w:r w:rsidRPr="0070292F">
        <w:rPr>
          <w:bCs/>
          <w:iCs/>
          <w:lang w:val="fr-FR"/>
        </w:rPr>
        <w:t xml:space="preserve"> mentionné au paragraphe 14 de l</w:t>
      </w:r>
      <w:r w:rsidR="0070292F" w:rsidRPr="0070292F">
        <w:rPr>
          <w:bCs/>
          <w:iCs/>
          <w:lang w:val="fr-FR"/>
        </w:rPr>
        <w:t>’</w:t>
      </w:r>
      <w:r w:rsidRPr="0070292F">
        <w:rPr>
          <w:bCs/>
          <w:iCs/>
          <w:lang w:val="fr-FR"/>
        </w:rPr>
        <w:t xml:space="preserve">arrêt, puis est totalement </w:t>
      </w:r>
      <w:r w:rsidRPr="0070292F">
        <w:rPr>
          <w:bCs/>
          <w:i/>
          <w:iCs/>
          <w:lang w:val="fr-FR"/>
        </w:rPr>
        <w:t>omis</w:t>
      </w:r>
      <w:r w:rsidRPr="0070292F">
        <w:rPr>
          <w:bCs/>
          <w:iCs/>
          <w:lang w:val="fr-FR"/>
        </w:rPr>
        <w:t xml:space="preserve"> dans le raisonnement.</w:t>
      </w:r>
    </w:p>
    <w:p w:rsidR="0070292F" w:rsidRPr="0070292F" w:rsidRDefault="005103F7" w:rsidP="0070292F">
      <w:pPr>
        <w:pStyle w:val="OpiPara"/>
        <w:rPr>
          <w:bCs/>
          <w:iCs/>
          <w:lang w:val="fr-FR"/>
        </w:rPr>
      </w:pPr>
      <w:r w:rsidRPr="0070292F">
        <w:rPr>
          <w:bCs/>
          <w:iCs/>
          <w:lang w:val="fr-FR"/>
        </w:rPr>
        <w:t>Le paragraphe 14 de l</w:t>
      </w:r>
      <w:r w:rsidR="0070292F" w:rsidRPr="0070292F">
        <w:rPr>
          <w:bCs/>
          <w:iCs/>
          <w:lang w:val="fr-FR"/>
        </w:rPr>
        <w:t>’</w:t>
      </w:r>
      <w:r w:rsidRPr="0070292F">
        <w:rPr>
          <w:bCs/>
          <w:iCs/>
          <w:lang w:val="fr-FR"/>
        </w:rPr>
        <w:t xml:space="preserve">arrêt indique : « Pour le tribunal, le requérant présentait une </w:t>
      </w:r>
      <w:r w:rsidRPr="0070292F">
        <w:rPr>
          <w:bCs/>
          <w:i/>
          <w:iCs/>
          <w:lang w:val="fr-FR"/>
        </w:rPr>
        <w:t>tendance « active » à la délinquance</w:t>
      </w:r>
      <w:r w:rsidRPr="0070292F">
        <w:rPr>
          <w:bCs/>
          <w:iCs/>
          <w:lang w:val="fr-FR"/>
        </w:rPr>
        <w:t xml:space="preserve"> et les pièces du dossier montraient qu</w:t>
      </w:r>
      <w:r w:rsidR="0070292F" w:rsidRPr="0070292F">
        <w:rPr>
          <w:bCs/>
          <w:iCs/>
          <w:lang w:val="fr-FR"/>
        </w:rPr>
        <w:t>’</w:t>
      </w:r>
      <w:r w:rsidRPr="0070292F">
        <w:rPr>
          <w:bCs/>
          <w:iCs/>
          <w:lang w:val="fr-FR"/>
        </w:rPr>
        <w:t>il avait tiré d</w:t>
      </w:r>
      <w:r w:rsidR="0070292F" w:rsidRPr="0070292F">
        <w:rPr>
          <w:bCs/>
          <w:iCs/>
          <w:lang w:val="fr-FR"/>
        </w:rPr>
        <w:t>’</w:t>
      </w:r>
      <w:r w:rsidRPr="0070292F">
        <w:rPr>
          <w:bCs/>
          <w:iCs/>
          <w:lang w:val="fr-FR"/>
        </w:rPr>
        <w:t xml:space="preserve">une </w:t>
      </w:r>
      <w:r w:rsidRPr="0070292F">
        <w:rPr>
          <w:bCs/>
          <w:i/>
          <w:iCs/>
          <w:lang w:val="fr-FR"/>
        </w:rPr>
        <w:t>activité délictueuse</w:t>
      </w:r>
      <w:r w:rsidRPr="0070292F">
        <w:rPr>
          <w:bCs/>
          <w:iCs/>
          <w:lang w:val="fr-FR"/>
        </w:rPr>
        <w:t xml:space="preserve"> la plupart de ses moyens de subsistance » (italique ajouté).</w:t>
      </w:r>
    </w:p>
    <w:p w:rsidR="0070292F" w:rsidRPr="0070292F" w:rsidRDefault="005103F7" w:rsidP="0070292F">
      <w:pPr>
        <w:pStyle w:val="OpiPara"/>
        <w:rPr>
          <w:bCs/>
          <w:iCs/>
          <w:lang w:val="fr-FR"/>
        </w:rPr>
      </w:pPr>
      <w:r w:rsidRPr="0070292F">
        <w:rPr>
          <w:bCs/>
          <w:iCs/>
          <w:lang w:val="fr-FR"/>
        </w:rPr>
        <w:t>Ainsi, les mesures litigieuses étaient une réaction officielle et une réponse judiciaire à de prétendues « tendance à la délinquance » et « activité délictueuse » du requérant, et en ce sens elles n</w:t>
      </w:r>
      <w:r w:rsidR="0070292F" w:rsidRPr="0070292F">
        <w:rPr>
          <w:bCs/>
          <w:iCs/>
          <w:lang w:val="fr-FR"/>
        </w:rPr>
        <w:t>’</w:t>
      </w:r>
      <w:r w:rsidRPr="0070292F">
        <w:rPr>
          <w:bCs/>
          <w:iCs/>
          <w:lang w:val="fr-FR"/>
        </w:rPr>
        <w:t>étaient pas seulement « préventives » mais aussi « punitives ».</w:t>
      </w:r>
    </w:p>
    <w:p w:rsidR="005103F7" w:rsidRPr="0070292F" w:rsidRDefault="005103F7" w:rsidP="0070292F">
      <w:pPr>
        <w:pStyle w:val="OpiPara"/>
        <w:rPr>
          <w:bCs/>
          <w:iCs/>
          <w:lang w:val="fr-FR"/>
        </w:rPr>
      </w:pPr>
      <w:r w:rsidRPr="0070292F">
        <w:rPr>
          <w:bCs/>
          <w:iCs/>
          <w:lang w:val="fr-FR"/>
        </w:rPr>
        <w:t>11.  Cela, en conséquence, plaide également contre le constat de la majorité selon lequel il n</w:t>
      </w:r>
      <w:r w:rsidR="0070292F" w:rsidRPr="0070292F">
        <w:rPr>
          <w:bCs/>
          <w:iCs/>
          <w:lang w:val="fr-FR"/>
        </w:rPr>
        <w:t>’</w:t>
      </w:r>
      <w:r w:rsidRPr="0070292F">
        <w:rPr>
          <w:bCs/>
          <w:iCs/>
          <w:lang w:val="fr-FR"/>
        </w:rPr>
        <w:t>y a pas eu violation de l</w:t>
      </w:r>
      <w:r w:rsidR="0070292F" w:rsidRPr="0070292F">
        <w:rPr>
          <w:bCs/>
          <w:iCs/>
          <w:lang w:val="fr-FR"/>
        </w:rPr>
        <w:t>’</w:t>
      </w:r>
      <w:r w:rsidRPr="0070292F">
        <w:rPr>
          <w:bCs/>
          <w:iCs/>
          <w:lang w:val="fr-FR"/>
        </w:rPr>
        <w:t>article 6 § 1 « quant au droit à un procès équitable » (point 7 du dispositif).</w:t>
      </w:r>
    </w:p>
    <w:p w:rsidR="0070292F" w:rsidRPr="0070292F" w:rsidRDefault="005103F7" w:rsidP="0070292F">
      <w:pPr>
        <w:pStyle w:val="OpiPara"/>
        <w:rPr>
          <w:bCs/>
          <w:iCs/>
          <w:lang w:val="fr-FR"/>
        </w:rPr>
      </w:pPr>
      <w:r w:rsidRPr="0070292F">
        <w:rPr>
          <w:bCs/>
          <w:iCs/>
          <w:lang w:val="fr-FR"/>
        </w:rPr>
        <w:t>Ainsi, on considère qu</w:t>
      </w:r>
      <w:r w:rsidR="0070292F" w:rsidRPr="0070292F">
        <w:rPr>
          <w:bCs/>
          <w:iCs/>
          <w:lang w:val="fr-FR"/>
        </w:rPr>
        <w:t>’</w:t>
      </w:r>
      <w:r w:rsidRPr="0070292F">
        <w:rPr>
          <w:bCs/>
          <w:iCs/>
          <w:lang w:val="fr-FR"/>
        </w:rPr>
        <w:t>il n</w:t>
      </w:r>
      <w:r w:rsidR="0070292F" w:rsidRPr="0070292F">
        <w:rPr>
          <w:bCs/>
          <w:iCs/>
          <w:lang w:val="fr-FR"/>
        </w:rPr>
        <w:t>’</w:t>
      </w:r>
      <w:r w:rsidRPr="0070292F">
        <w:rPr>
          <w:bCs/>
          <w:iCs/>
          <w:lang w:val="fr-FR"/>
        </w:rPr>
        <w:t>y a pas eu violation du droit à un procès équitable dans une situation où i) les autorités prennent la « mauvaise » personne et, à l</w:t>
      </w:r>
      <w:r w:rsidR="0070292F" w:rsidRPr="0070292F">
        <w:rPr>
          <w:bCs/>
          <w:iCs/>
          <w:lang w:val="fr-FR"/>
        </w:rPr>
        <w:t>’</w:t>
      </w:r>
      <w:r w:rsidRPr="0070292F">
        <w:rPr>
          <w:bCs/>
          <w:iCs/>
          <w:lang w:val="fr-FR"/>
        </w:rPr>
        <w:t>issue d</w:t>
      </w:r>
      <w:r w:rsidR="0070292F" w:rsidRPr="0070292F">
        <w:rPr>
          <w:bCs/>
          <w:iCs/>
          <w:lang w:val="fr-FR"/>
        </w:rPr>
        <w:t>’</w:t>
      </w:r>
      <w:r w:rsidRPr="0070292F">
        <w:rPr>
          <w:bCs/>
          <w:iCs/>
          <w:lang w:val="fr-FR"/>
        </w:rPr>
        <w:t>une procédure judiciaire non publique, lui imposent des mesures « préventives » sévères et de longue durée, alors que l</w:t>
      </w:r>
      <w:r w:rsidR="0070292F" w:rsidRPr="0070292F">
        <w:rPr>
          <w:bCs/>
          <w:iCs/>
          <w:lang w:val="fr-FR"/>
        </w:rPr>
        <w:t>’</w:t>
      </w:r>
      <w:r w:rsidRPr="0070292F">
        <w:rPr>
          <w:bCs/>
          <w:iCs/>
          <w:lang w:val="fr-FR"/>
        </w:rPr>
        <w:t>intéressé soutient ne pas être l</w:t>
      </w:r>
      <w:r w:rsidR="0070292F" w:rsidRPr="0070292F">
        <w:rPr>
          <w:bCs/>
          <w:iCs/>
          <w:lang w:val="fr-FR"/>
        </w:rPr>
        <w:t>’</w:t>
      </w:r>
      <w:r w:rsidRPr="0070292F">
        <w:rPr>
          <w:bCs/>
          <w:iCs/>
          <w:lang w:val="fr-FR"/>
        </w:rPr>
        <w:t>individu contre lequel les « éléments factuels » ont été recueillis ; ii) l</w:t>
      </w:r>
      <w:r w:rsidR="0070292F" w:rsidRPr="0070292F">
        <w:rPr>
          <w:bCs/>
          <w:iCs/>
          <w:lang w:val="fr-FR"/>
        </w:rPr>
        <w:t>’</w:t>
      </w:r>
      <w:r w:rsidRPr="0070292F">
        <w:rPr>
          <w:bCs/>
          <w:iCs/>
          <w:lang w:val="fr-FR"/>
        </w:rPr>
        <w:t>intéressé ne parvient pas à faire reconnaître cette circonstance évidente qu</w:t>
      </w:r>
      <w:r w:rsidR="0070292F" w:rsidRPr="0070292F">
        <w:rPr>
          <w:bCs/>
          <w:iCs/>
          <w:lang w:val="fr-FR"/>
        </w:rPr>
        <w:t>’</w:t>
      </w:r>
      <w:r w:rsidRPr="0070292F">
        <w:rPr>
          <w:bCs/>
          <w:iCs/>
          <w:lang w:val="fr-FR"/>
        </w:rPr>
        <w:t xml:space="preserve">il y a erreur sur la personne, ni </w:t>
      </w:r>
      <w:r w:rsidRPr="0070292F">
        <w:rPr>
          <w:bCs/>
          <w:i/>
          <w:iCs/>
          <w:lang w:val="fr-FR"/>
        </w:rPr>
        <w:t>a fortiori</w:t>
      </w:r>
      <w:r w:rsidRPr="0070292F">
        <w:rPr>
          <w:bCs/>
          <w:iCs/>
          <w:lang w:val="fr-FR"/>
        </w:rPr>
        <w:t xml:space="preserve"> à la faire examiner, par une juridiction supérieure, et ce pendant plus de sept mois, au mépris flagrant du délai légal de trente jours ; iii) lorsqu</w:t>
      </w:r>
      <w:r w:rsidR="0070292F" w:rsidRPr="0070292F">
        <w:rPr>
          <w:bCs/>
          <w:iCs/>
          <w:lang w:val="fr-FR"/>
        </w:rPr>
        <w:t>’</w:t>
      </w:r>
      <w:r w:rsidRPr="0070292F">
        <w:rPr>
          <w:bCs/>
          <w:iCs/>
          <w:lang w:val="fr-FR"/>
        </w:rPr>
        <w:t>enfin l</w:t>
      </w:r>
      <w:r w:rsidR="0070292F" w:rsidRPr="0070292F">
        <w:rPr>
          <w:bCs/>
          <w:iCs/>
          <w:lang w:val="fr-FR"/>
        </w:rPr>
        <w:t>’</w:t>
      </w:r>
      <w:r w:rsidRPr="0070292F">
        <w:rPr>
          <w:bCs/>
          <w:iCs/>
          <w:lang w:val="fr-FR"/>
        </w:rPr>
        <w:t>erreur est découverte, l</w:t>
      </w:r>
      <w:r w:rsidR="0070292F" w:rsidRPr="0070292F">
        <w:rPr>
          <w:bCs/>
          <w:iCs/>
          <w:lang w:val="fr-FR"/>
        </w:rPr>
        <w:t>’</w:t>
      </w:r>
      <w:r w:rsidRPr="0070292F">
        <w:rPr>
          <w:bCs/>
          <w:iCs/>
          <w:lang w:val="fr-FR"/>
        </w:rPr>
        <w:t>intéressé n</w:t>
      </w:r>
      <w:r w:rsidR="0070292F" w:rsidRPr="0070292F">
        <w:rPr>
          <w:bCs/>
          <w:iCs/>
          <w:lang w:val="fr-FR"/>
        </w:rPr>
        <w:t>’</w:t>
      </w:r>
      <w:r w:rsidRPr="0070292F">
        <w:rPr>
          <w:bCs/>
          <w:iCs/>
          <w:lang w:val="fr-FR"/>
        </w:rPr>
        <w:t>est pas indemnisé au titre de sa qualité de victime. On ne lui adresse même pas d</w:t>
      </w:r>
      <w:r w:rsidR="0070292F" w:rsidRPr="0070292F">
        <w:rPr>
          <w:bCs/>
          <w:iCs/>
          <w:lang w:val="fr-FR"/>
        </w:rPr>
        <w:t>’</w:t>
      </w:r>
      <w:r w:rsidRPr="0070292F">
        <w:rPr>
          <w:bCs/>
          <w:iCs/>
          <w:lang w:val="fr-FR"/>
        </w:rPr>
        <w:t>excuses.</w:t>
      </w:r>
    </w:p>
    <w:p w:rsidR="0070292F" w:rsidRPr="0070292F" w:rsidRDefault="005103F7" w:rsidP="0070292F">
      <w:pPr>
        <w:pStyle w:val="OpiPara"/>
        <w:rPr>
          <w:bCs/>
          <w:iCs/>
          <w:lang w:val="fr-FR"/>
        </w:rPr>
      </w:pPr>
      <w:r w:rsidRPr="0070292F">
        <w:rPr>
          <w:bCs/>
          <w:iCs/>
          <w:lang w:val="fr-FR"/>
        </w:rPr>
        <w:t>Absence totale de préjudice ?</w:t>
      </w:r>
    </w:p>
    <w:p w:rsidR="005103F7" w:rsidRPr="0070292F" w:rsidRDefault="005103F7" w:rsidP="0070292F">
      <w:pPr>
        <w:pStyle w:val="OpiPara"/>
        <w:rPr>
          <w:bCs/>
          <w:iCs/>
          <w:lang w:val="fr-FR"/>
        </w:rPr>
      </w:pPr>
      <w:r w:rsidRPr="0070292F">
        <w:rPr>
          <w:bCs/>
          <w:iCs/>
          <w:lang w:val="fr-FR"/>
        </w:rPr>
        <w:t>En d</w:t>
      </w:r>
      <w:r w:rsidR="0070292F" w:rsidRPr="0070292F">
        <w:rPr>
          <w:bCs/>
          <w:iCs/>
          <w:lang w:val="fr-FR"/>
        </w:rPr>
        <w:t>’</w:t>
      </w:r>
      <w:r w:rsidRPr="0070292F">
        <w:rPr>
          <w:bCs/>
          <w:iCs/>
          <w:lang w:val="fr-FR"/>
        </w:rPr>
        <w:t>autres termes, si le droit à un procès équitable n</w:t>
      </w:r>
      <w:r w:rsidR="0070292F" w:rsidRPr="0070292F">
        <w:rPr>
          <w:bCs/>
          <w:iCs/>
          <w:lang w:val="fr-FR"/>
        </w:rPr>
        <w:t>’</w:t>
      </w:r>
      <w:r w:rsidRPr="0070292F">
        <w:rPr>
          <w:bCs/>
          <w:iCs/>
          <w:lang w:val="fr-FR"/>
        </w:rPr>
        <w:t>a pas été violé dans cette situation, cela signifie que ce procès était équitable.</w:t>
      </w:r>
    </w:p>
    <w:p w:rsidR="005103F7" w:rsidRPr="0070292F" w:rsidRDefault="005103F7" w:rsidP="0070292F">
      <w:pPr>
        <w:pStyle w:val="OpiPara"/>
        <w:rPr>
          <w:bCs/>
          <w:iCs/>
          <w:lang w:val="fr-FR"/>
        </w:rPr>
      </w:pPr>
      <w:r w:rsidRPr="0070292F">
        <w:rPr>
          <w:bCs/>
          <w:i/>
          <w:iCs/>
          <w:lang w:val="fr-FR"/>
        </w:rPr>
        <w:t>Équitable ?!</w:t>
      </w:r>
    </w:p>
    <w:p w:rsidR="0070292F" w:rsidRPr="0070292F" w:rsidRDefault="005103F7" w:rsidP="0070292F">
      <w:pPr>
        <w:pStyle w:val="OpiPara"/>
        <w:rPr>
          <w:bCs/>
          <w:iCs/>
          <w:lang w:val="fr-FR"/>
        </w:rPr>
      </w:pPr>
      <w:r w:rsidRPr="0070292F">
        <w:rPr>
          <w:bCs/>
          <w:iCs/>
          <w:lang w:val="fr-FR"/>
        </w:rPr>
        <w:t>12.</w:t>
      </w:r>
      <w:bookmarkStart w:id="223" w:name="lt_pId326"/>
      <w:r w:rsidRPr="0070292F">
        <w:rPr>
          <w:bCs/>
          <w:iCs/>
          <w:lang w:val="fr-FR"/>
        </w:rPr>
        <w:t>  Le Gouvernement a soutenu que « le requérant [avait] disposé d</w:t>
      </w:r>
      <w:r w:rsidR="0070292F" w:rsidRPr="0070292F">
        <w:rPr>
          <w:bCs/>
          <w:iCs/>
          <w:lang w:val="fr-FR"/>
        </w:rPr>
        <w:t>’</w:t>
      </w:r>
      <w:r w:rsidRPr="0070292F">
        <w:rPr>
          <w:bCs/>
          <w:iCs/>
          <w:lang w:val="fr-FR"/>
        </w:rPr>
        <w:t>une voie de recours, qu</w:t>
      </w:r>
      <w:r w:rsidR="0070292F" w:rsidRPr="0070292F">
        <w:rPr>
          <w:bCs/>
          <w:iCs/>
          <w:lang w:val="fr-FR"/>
        </w:rPr>
        <w:t>’</w:t>
      </w:r>
      <w:r w:rsidRPr="0070292F">
        <w:rPr>
          <w:bCs/>
          <w:iCs/>
          <w:lang w:val="fr-FR"/>
        </w:rPr>
        <w:t>il [avait] utilisée et qui lui [avait] permis d</w:t>
      </w:r>
      <w:r w:rsidR="0070292F" w:rsidRPr="0070292F">
        <w:rPr>
          <w:bCs/>
          <w:iCs/>
          <w:lang w:val="fr-FR"/>
        </w:rPr>
        <w:t>’</w:t>
      </w:r>
      <w:r w:rsidRPr="0070292F">
        <w:rPr>
          <w:bCs/>
          <w:i/>
          <w:iCs/>
          <w:lang w:val="fr-FR"/>
        </w:rPr>
        <w:t>obtenir gain de cause</w:t>
      </w:r>
      <w:r w:rsidRPr="0070292F">
        <w:rPr>
          <w:bCs/>
          <w:iCs/>
          <w:lang w:val="fr-FR"/>
        </w:rPr>
        <w:t> » (paragraphe 162 de l</w:t>
      </w:r>
      <w:r w:rsidR="0070292F" w:rsidRPr="0070292F">
        <w:rPr>
          <w:bCs/>
          <w:iCs/>
          <w:lang w:val="fr-FR"/>
        </w:rPr>
        <w:t>’</w:t>
      </w:r>
      <w:r w:rsidRPr="0070292F">
        <w:rPr>
          <w:bCs/>
          <w:iCs/>
          <w:lang w:val="fr-FR"/>
        </w:rPr>
        <w:t>arrêt – italique ajouté ; voir aussi le paragraphe 103).</w:t>
      </w:r>
      <w:bookmarkEnd w:id="223"/>
    </w:p>
    <w:p w:rsidR="0070292F" w:rsidRPr="0070292F" w:rsidRDefault="005103F7" w:rsidP="0070292F">
      <w:pPr>
        <w:pStyle w:val="OpiPara"/>
        <w:rPr>
          <w:bCs/>
          <w:iCs/>
          <w:lang w:val="fr-FR"/>
        </w:rPr>
      </w:pPr>
      <w:r w:rsidRPr="0070292F">
        <w:rPr>
          <w:bCs/>
          <w:iCs/>
          <w:lang w:val="fr-FR"/>
        </w:rPr>
        <w:t>La majorité semble adhérer à cette approche.</w:t>
      </w:r>
    </w:p>
    <w:p w:rsidR="005103F7" w:rsidRPr="0070292F" w:rsidRDefault="005103F7" w:rsidP="0070292F">
      <w:pPr>
        <w:pStyle w:val="OpiPara"/>
        <w:rPr>
          <w:bCs/>
          <w:iCs/>
          <w:lang w:val="fr-FR"/>
        </w:rPr>
      </w:pPr>
      <w:r w:rsidRPr="0070292F">
        <w:rPr>
          <w:bCs/>
          <w:iCs/>
          <w:lang w:val="fr-FR"/>
        </w:rPr>
        <w:t>Certes, au final le requérant a « obtenu gain de cause</w:t>
      </w:r>
      <w:r w:rsidRPr="0070292F">
        <w:rPr>
          <w:bCs/>
          <w:i/>
          <w:iCs/>
          <w:lang w:val="fr-FR"/>
        </w:rPr>
        <w:t> </w:t>
      </w:r>
      <w:r w:rsidRPr="0070292F">
        <w:rPr>
          <w:bCs/>
          <w:iCs/>
          <w:lang w:val="fr-FR"/>
        </w:rPr>
        <w:t>» dans le sens où les mesures « préventives » ont été annulées. Mais la Cour peut-elle fermer les yeux sur toutes les tentatives de l</w:t>
      </w:r>
      <w:r w:rsidR="0070292F" w:rsidRPr="0070292F">
        <w:rPr>
          <w:bCs/>
          <w:iCs/>
          <w:lang w:val="fr-FR"/>
        </w:rPr>
        <w:t>’</w:t>
      </w:r>
      <w:r w:rsidRPr="0070292F">
        <w:rPr>
          <w:bCs/>
          <w:iCs/>
          <w:lang w:val="fr-FR"/>
        </w:rPr>
        <w:t xml:space="preserve">intéressé qui avaient échoué ? En </w:t>
      </w:r>
      <w:r w:rsidRPr="0070292F">
        <w:rPr>
          <w:bCs/>
          <w:iCs/>
          <w:lang w:val="fr-FR"/>
        </w:rPr>
        <w:lastRenderedPageBreak/>
        <w:t>première instance, il n</w:t>
      </w:r>
      <w:r w:rsidR="0070292F" w:rsidRPr="0070292F">
        <w:rPr>
          <w:bCs/>
          <w:iCs/>
          <w:lang w:val="fr-FR"/>
        </w:rPr>
        <w:t>’</w:t>
      </w:r>
      <w:r w:rsidRPr="0070292F">
        <w:rPr>
          <w:bCs/>
          <w:iCs/>
          <w:lang w:val="fr-FR"/>
        </w:rPr>
        <w:t>est pas parvenu à empêcher qu</w:t>
      </w:r>
      <w:r w:rsidR="0070292F" w:rsidRPr="0070292F">
        <w:rPr>
          <w:bCs/>
          <w:iCs/>
          <w:lang w:val="fr-FR"/>
        </w:rPr>
        <w:t>’</w:t>
      </w:r>
      <w:r w:rsidRPr="0070292F">
        <w:rPr>
          <w:bCs/>
          <w:iCs/>
          <w:lang w:val="fr-FR"/>
        </w:rPr>
        <w:t>on lui applique les mesures litigieuses. Puis, pendant une période sept fois plus longue que le délai légal, il n</w:t>
      </w:r>
      <w:r w:rsidR="0070292F" w:rsidRPr="0070292F">
        <w:rPr>
          <w:bCs/>
          <w:iCs/>
          <w:lang w:val="fr-FR"/>
        </w:rPr>
        <w:t>’</w:t>
      </w:r>
      <w:r w:rsidRPr="0070292F">
        <w:rPr>
          <w:bCs/>
          <w:iCs/>
          <w:lang w:val="fr-FR"/>
        </w:rPr>
        <w:t>a pas réussi à porter sa cause à l</w:t>
      </w:r>
      <w:r w:rsidR="0070292F" w:rsidRPr="0070292F">
        <w:rPr>
          <w:bCs/>
          <w:iCs/>
          <w:lang w:val="fr-FR"/>
        </w:rPr>
        <w:t>’</w:t>
      </w:r>
      <w:r w:rsidRPr="0070292F">
        <w:rPr>
          <w:bCs/>
          <w:iCs/>
          <w:lang w:val="fr-FR"/>
        </w:rPr>
        <w:t>attention de la juridiction supérieure. On ne peut pas dire qu</w:t>
      </w:r>
      <w:r w:rsidR="0070292F" w:rsidRPr="0070292F">
        <w:rPr>
          <w:bCs/>
          <w:iCs/>
          <w:lang w:val="fr-FR"/>
        </w:rPr>
        <w:t>’</w:t>
      </w:r>
      <w:r w:rsidRPr="0070292F">
        <w:rPr>
          <w:bCs/>
          <w:iCs/>
          <w:lang w:val="fr-FR"/>
        </w:rPr>
        <w:t>il ait obtenu gain de cause devant la juridiction d</w:t>
      </w:r>
      <w:r w:rsidR="0070292F" w:rsidRPr="0070292F">
        <w:rPr>
          <w:bCs/>
          <w:iCs/>
          <w:lang w:val="fr-FR"/>
        </w:rPr>
        <w:t>’</w:t>
      </w:r>
      <w:r w:rsidRPr="0070292F">
        <w:rPr>
          <w:bCs/>
          <w:iCs/>
          <w:lang w:val="fr-FR"/>
        </w:rPr>
        <w:t>appel, en ce sens qu</w:t>
      </w:r>
      <w:r w:rsidR="0070292F" w:rsidRPr="0070292F">
        <w:rPr>
          <w:bCs/>
          <w:iCs/>
          <w:lang w:val="fr-FR"/>
        </w:rPr>
        <w:t>’</w:t>
      </w:r>
      <w:r w:rsidRPr="0070292F">
        <w:rPr>
          <w:bCs/>
          <w:iCs/>
          <w:lang w:val="fr-FR"/>
        </w:rPr>
        <w:t>il n</w:t>
      </w:r>
      <w:r w:rsidR="0070292F" w:rsidRPr="0070292F">
        <w:rPr>
          <w:bCs/>
          <w:iCs/>
          <w:lang w:val="fr-FR"/>
        </w:rPr>
        <w:t>’</w:t>
      </w:r>
      <w:r w:rsidRPr="0070292F">
        <w:rPr>
          <w:bCs/>
          <w:iCs/>
          <w:lang w:val="fr-FR"/>
        </w:rPr>
        <w:t>a pas reçu de réparation ni même d</w:t>
      </w:r>
      <w:r w:rsidR="0070292F" w:rsidRPr="0070292F">
        <w:rPr>
          <w:bCs/>
          <w:iCs/>
          <w:lang w:val="fr-FR"/>
        </w:rPr>
        <w:t>’</w:t>
      </w:r>
      <w:r w:rsidRPr="0070292F">
        <w:rPr>
          <w:bCs/>
          <w:iCs/>
          <w:lang w:val="fr-FR"/>
        </w:rPr>
        <w:t>excuses de la part des autorités. En fait d</w:t>
      </w:r>
      <w:r w:rsidR="0070292F" w:rsidRPr="0070292F">
        <w:rPr>
          <w:bCs/>
          <w:iCs/>
          <w:lang w:val="fr-FR"/>
        </w:rPr>
        <w:t>’</w:t>
      </w:r>
      <w:r w:rsidRPr="0070292F">
        <w:rPr>
          <w:bCs/>
          <w:iCs/>
          <w:lang w:val="fr-FR"/>
        </w:rPr>
        <w:t>excuses, il a obtenu tout le contraire : le Gouvernement a déclaré que la cour d</w:t>
      </w:r>
      <w:r w:rsidR="0070292F" w:rsidRPr="0070292F">
        <w:rPr>
          <w:bCs/>
          <w:iCs/>
          <w:lang w:val="fr-FR"/>
        </w:rPr>
        <w:t>’</w:t>
      </w:r>
      <w:r w:rsidRPr="0070292F">
        <w:rPr>
          <w:bCs/>
          <w:iCs/>
          <w:lang w:val="fr-FR"/>
        </w:rPr>
        <w:t>appel de Bari « n</w:t>
      </w:r>
      <w:r w:rsidR="0070292F" w:rsidRPr="0070292F">
        <w:rPr>
          <w:bCs/>
          <w:iCs/>
          <w:lang w:val="fr-FR"/>
        </w:rPr>
        <w:t>’</w:t>
      </w:r>
      <w:r w:rsidRPr="0070292F">
        <w:rPr>
          <w:bCs/>
          <w:iCs/>
          <w:lang w:val="fr-FR"/>
        </w:rPr>
        <w:t xml:space="preserve">[avait] </w:t>
      </w:r>
      <w:r w:rsidRPr="0070292F">
        <w:rPr>
          <w:bCs/>
          <w:i/>
          <w:iCs/>
          <w:lang w:val="fr-FR"/>
        </w:rPr>
        <w:t>pas</w:t>
      </w:r>
      <w:r w:rsidRPr="0070292F">
        <w:rPr>
          <w:bCs/>
          <w:iCs/>
          <w:lang w:val="fr-FR"/>
        </w:rPr>
        <w:t xml:space="preserve"> reconnu d</w:t>
      </w:r>
      <w:r w:rsidR="0070292F" w:rsidRPr="0070292F">
        <w:rPr>
          <w:bCs/>
          <w:iCs/>
          <w:lang w:val="fr-FR"/>
        </w:rPr>
        <w:t>’</w:t>
      </w:r>
      <w:r w:rsidRPr="0070292F">
        <w:rPr>
          <w:bCs/>
          <w:iCs/>
          <w:lang w:val="fr-FR"/>
        </w:rPr>
        <w:t>erreur sur la personne » mais avait « simplement réévalué tous les éléments sur lesquels le tribunal s</w:t>
      </w:r>
      <w:r w:rsidR="0070292F" w:rsidRPr="0070292F">
        <w:rPr>
          <w:bCs/>
          <w:iCs/>
          <w:lang w:val="fr-FR"/>
        </w:rPr>
        <w:t>’</w:t>
      </w:r>
      <w:r w:rsidRPr="0070292F">
        <w:rPr>
          <w:bCs/>
          <w:iCs/>
          <w:lang w:val="fr-FR"/>
        </w:rPr>
        <w:t>était basé, pour exclure la dangerosité sociale du requérant » (paragraphe 103 ; italique ajouté).</w:t>
      </w:r>
    </w:p>
    <w:p w:rsidR="005103F7" w:rsidRPr="0070292F" w:rsidRDefault="005103F7" w:rsidP="0070292F">
      <w:pPr>
        <w:pStyle w:val="OpiPara"/>
        <w:rPr>
          <w:bCs/>
          <w:iCs/>
          <w:lang w:val="fr-FR"/>
        </w:rPr>
      </w:pPr>
      <w:r w:rsidRPr="0070292F">
        <w:rPr>
          <w:bCs/>
          <w:iCs/>
          <w:lang w:val="fr-FR"/>
        </w:rPr>
        <w:t>Est-ce cela que l</w:t>
      </w:r>
      <w:r w:rsidR="0070292F" w:rsidRPr="0070292F">
        <w:rPr>
          <w:bCs/>
          <w:iCs/>
          <w:lang w:val="fr-FR"/>
        </w:rPr>
        <w:t>’</w:t>
      </w:r>
      <w:r w:rsidRPr="0070292F">
        <w:rPr>
          <w:bCs/>
          <w:iCs/>
          <w:lang w:val="fr-FR"/>
        </w:rPr>
        <w:t>on appelle désormais « obtenir gain de cause » ?</w:t>
      </w:r>
    </w:p>
    <w:p w:rsidR="005103F7" w:rsidRPr="0070292F" w:rsidRDefault="005103F7" w:rsidP="0070292F">
      <w:pPr>
        <w:pStyle w:val="OpiPara"/>
        <w:rPr>
          <w:bCs/>
          <w:iCs/>
          <w:lang w:val="fr-FR"/>
        </w:rPr>
      </w:pPr>
      <w:r w:rsidRPr="0070292F">
        <w:rPr>
          <w:bCs/>
          <w:iCs/>
          <w:lang w:val="fr-FR"/>
        </w:rPr>
        <w:t>Peut-être dans la jurisprudence, mais pas dans la vie. Ce qui serait au détriment de la jurisprudence.</w:t>
      </w:r>
    </w:p>
    <w:p w:rsidR="005103F7" w:rsidRPr="0070292F" w:rsidRDefault="005103F7" w:rsidP="0070292F">
      <w:pPr>
        <w:pStyle w:val="OpiPara"/>
        <w:rPr>
          <w:bCs/>
          <w:iCs/>
          <w:lang w:val="fr-FR"/>
        </w:rPr>
      </w:pPr>
      <w:r w:rsidRPr="0070292F">
        <w:rPr>
          <w:bCs/>
          <w:iCs/>
          <w:lang w:val="fr-FR"/>
        </w:rPr>
        <w:t>13.  Concernant la violation alléguée de l</w:t>
      </w:r>
      <w:r w:rsidR="0070292F" w:rsidRPr="0070292F">
        <w:rPr>
          <w:bCs/>
          <w:iCs/>
          <w:lang w:val="fr-FR"/>
        </w:rPr>
        <w:t>’</w:t>
      </w:r>
      <w:r w:rsidRPr="0070292F">
        <w:rPr>
          <w:bCs/>
          <w:iCs/>
          <w:lang w:val="fr-FR"/>
        </w:rPr>
        <w:t>article 13, certains arguments favorables à un constat de violation ont déjà été exposés ci-dessus. Le fait que le délai associé au contrôle juridictionnel auquel le requérant avait droit selon la législation nationale ait été excédé à ce point se passe de commentaire. Mais le fait que le requérant ne se soit vu allouer aucune réparation pour les mesures « préventives » qui lui avaient été appliquées avant d</w:t>
      </w:r>
      <w:r w:rsidR="0070292F" w:rsidRPr="0070292F">
        <w:rPr>
          <w:bCs/>
          <w:iCs/>
          <w:lang w:val="fr-FR"/>
        </w:rPr>
        <w:t>’</w:t>
      </w:r>
      <w:r w:rsidRPr="0070292F">
        <w:rPr>
          <w:bCs/>
          <w:iCs/>
          <w:lang w:val="fr-FR"/>
        </w:rPr>
        <w:t xml:space="preserve">être annulées </w:t>
      </w:r>
      <w:r w:rsidRPr="0070292F">
        <w:rPr>
          <w:bCs/>
          <w:i/>
          <w:iCs/>
          <w:lang w:val="fr-FR"/>
        </w:rPr>
        <w:t>ex tunc</w:t>
      </w:r>
      <w:r w:rsidRPr="0070292F">
        <w:rPr>
          <w:bCs/>
          <w:iCs/>
          <w:lang w:val="fr-FR"/>
        </w:rPr>
        <w:t xml:space="preserve"> par la cour d</w:t>
      </w:r>
      <w:r w:rsidR="0070292F" w:rsidRPr="0070292F">
        <w:rPr>
          <w:bCs/>
          <w:iCs/>
          <w:lang w:val="fr-FR"/>
        </w:rPr>
        <w:t>’</w:t>
      </w:r>
      <w:r w:rsidRPr="0070292F">
        <w:rPr>
          <w:bCs/>
          <w:iCs/>
          <w:lang w:val="fr-FR"/>
        </w:rPr>
        <w:t>appel de Bari (paragraphe 20 de l</w:t>
      </w:r>
      <w:r w:rsidR="0070292F" w:rsidRPr="0070292F">
        <w:rPr>
          <w:bCs/>
          <w:iCs/>
          <w:lang w:val="fr-FR"/>
        </w:rPr>
        <w:t>’</w:t>
      </w:r>
      <w:r w:rsidRPr="0070292F">
        <w:rPr>
          <w:bCs/>
          <w:iCs/>
          <w:lang w:val="fr-FR"/>
        </w:rPr>
        <w:t>arrêt) plaide encore plus fortement en faveur d</w:t>
      </w:r>
      <w:r w:rsidR="0070292F" w:rsidRPr="0070292F">
        <w:rPr>
          <w:bCs/>
          <w:iCs/>
          <w:lang w:val="fr-FR"/>
        </w:rPr>
        <w:t>’</w:t>
      </w:r>
      <w:r w:rsidRPr="0070292F">
        <w:rPr>
          <w:bCs/>
          <w:iCs/>
          <w:lang w:val="fr-FR"/>
        </w:rPr>
        <w:t>une violation de l</w:t>
      </w:r>
      <w:r w:rsidR="0070292F" w:rsidRPr="0070292F">
        <w:rPr>
          <w:bCs/>
          <w:iCs/>
          <w:lang w:val="fr-FR"/>
        </w:rPr>
        <w:t>’</w:t>
      </w:r>
      <w:r w:rsidRPr="0070292F">
        <w:rPr>
          <w:bCs/>
          <w:iCs/>
          <w:lang w:val="fr-FR"/>
        </w:rPr>
        <w:t xml:space="preserve">article 13. Si ces mesures avaient eu une </w:t>
      </w:r>
      <w:r w:rsidRPr="0070292F">
        <w:rPr>
          <w:bCs/>
          <w:i/>
          <w:iCs/>
          <w:lang w:val="fr-FR"/>
        </w:rPr>
        <w:t>quelconque</w:t>
      </w:r>
      <w:r w:rsidRPr="0070292F">
        <w:rPr>
          <w:bCs/>
          <w:iCs/>
          <w:lang w:val="fr-FR"/>
        </w:rPr>
        <w:t xml:space="preserve"> base légale à l</w:t>
      </w:r>
      <w:r w:rsidR="0070292F" w:rsidRPr="0070292F">
        <w:rPr>
          <w:bCs/>
          <w:iCs/>
          <w:lang w:val="fr-FR"/>
        </w:rPr>
        <w:t>’</w:t>
      </w:r>
      <w:r w:rsidRPr="0070292F">
        <w:rPr>
          <w:bCs/>
          <w:iCs/>
          <w:lang w:val="fr-FR"/>
        </w:rPr>
        <w:t>époque de leur application, elles n</w:t>
      </w:r>
      <w:r w:rsidR="0070292F" w:rsidRPr="0070292F">
        <w:rPr>
          <w:bCs/>
          <w:iCs/>
          <w:lang w:val="fr-FR"/>
        </w:rPr>
        <w:t>’</w:t>
      </w:r>
      <w:r w:rsidRPr="0070292F">
        <w:rPr>
          <w:bCs/>
          <w:iCs/>
          <w:lang w:val="fr-FR"/>
        </w:rPr>
        <w:t xml:space="preserve">auraient probablement pas été annulées </w:t>
      </w:r>
      <w:r w:rsidRPr="0070292F">
        <w:rPr>
          <w:bCs/>
          <w:i/>
          <w:iCs/>
          <w:lang w:val="fr-FR"/>
        </w:rPr>
        <w:t>ex tunc</w:t>
      </w:r>
      <w:r w:rsidRPr="0070292F">
        <w:rPr>
          <w:bCs/>
          <w:iCs/>
          <w:lang w:val="fr-FR"/>
        </w:rPr>
        <w:t>.</w:t>
      </w:r>
    </w:p>
    <w:p w:rsidR="005103F7" w:rsidRPr="0070292F" w:rsidRDefault="005103F7" w:rsidP="0070292F">
      <w:pPr>
        <w:pStyle w:val="OpiPara"/>
        <w:rPr>
          <w:bCs/>
          <w:iCs/>
          <w:lang w:val="fr-FR"/>
        </w:rPr>
      </w:pPr>
      <w:r w:rsidRPr="0070292F">
        <w:rPr>
          <w:bCs/>
          <w:iCs/>
          <w:lang w:val="fr-FR"/>
        </w:rPr>
        <w:t>14.  J</w:t>
      </w:r>
      <w:r w:rsidR="0070292F" w:rsidRPr="0070292F">
        <w:rPr>
          <w:bCs/>
          <w:iCs/>
          <w:lang w:val="fr-FR"/>
        </w:rPr>
        <w:t>’</w:t>
      </w:r>
      <w:r w:rsidRPr="0070292F">
        <w:rPr>
          <w:bCs/>
          <w:iCs/>
          <w:lang w:val="fr-FR"/>
        </w:rPr>
        <w:t>en viens à présent à la divergence fondamentale entre l</w:t>
      </w:r>
      <w:r w:rsidR="0070292F" w:rsidRPr="0070292F">
        <w:rPr>
          <w:bCs/>
          <w:iCs/>
          <w:lang w:val="fr-FR"/>
        </w:rPr>
        <w:t>’</w:t>
      </w:r>
      <w:r w:rsidRPr="0070292F">
        <w:rPr>
          <w:bCs/>
          <w:iCs/>
          <w:lang w:val="fr-FR"/>
        </w:rPr>
        <w:t>approche de la majorité et la mienne, divergence qui a trait au raisonnement menant au constat de violation de l</w:t>
      </w:r>
      <w:r w:rsidR="0070292F" w:rsidRPr="0070292F">
        <w:rPr>
          <w:bCs/>
          <w:iCs/>
          <w:lang w:val="fr-FR"/>
        </w:rPr>
        <w:t>’</w:t>
      </w:r>
      <w:r w:rsidRPr="0070292F">
        <w:rPr>
          <w:bCs/>
          <w:iCs/>
          <w:lang w:val="fr-FR"/>
        </w:rPr>
        <w:t>article 2 du Protocole n</w:t>
      </w:r>
      <w:r w:rsidRPr="0070292F">
        <w:rPr>
          <w:bCs/>
          <w:iCs/>
          <w:vertAlign w:val="superscript"/>
          <w:lang w:val="fr-FR"/>
        </w:rPr>
        <w:t>o</w:t>
      </w:r>
      <w:r w:rsidRPr="0070292F">
        <w:rPr>
          <w:bCs/>
          <w:iCs/>
          <w:lang w:val="fr-FR"/>
        </w:rPr>
        <w:t xml:space="preserve"> 4 et a aussi beaucoup à voir avec l</w:t>
      </w:r>
      <w:r w:rsidR="0070292F" w:rsidRPr="0070292F">
        <w:rPr>
          <w:bCs/>
          <w:iCs/>
          <w:lang w:val="fr-FR"/>
        </w:rPr>
        <w:t>’</w:t>
      </w:r>
      <w:r w:rsidRPr="0070292F">
        <w:rPr>
          <w:bCs/>
          <w:iCs/>
          <w:lang w:val="fr-FR"/>
        </w:rPr>
        <w:t>emploi, dans la présente opinion, du mot « préventif » entre guillemets.</w:t>
      </w:r>
    </w:p>
    <w:p w:rsidR="0070292F" w:rsidRPr="0070292F" w:rsidRDefault="005103F7" w:rsidP="0070292F">
      <w:pPr>
        <w:pStyle w:val="OpiPara"/>
        <w:rPr>
          <w:bCs/>
          <w:iCs/>
          <w:lang w:val="fr-FR"/>
        </w:rPr>
      </w:pPr>
      <w:r w:rsidRPr="0070292F">
        <w:rPr>
          <w:bCs/>
          <w:iCs/>
          <w:lang w:val="fr-FR"/>
        </w:rPr>
        <w:t>15.  Au paragraphe 110 de l</w:t>
      </w:r>
      <w:r w:rsidR="0070292F" w:rsidRPr="0070292F">
        <w:rPr>
          <w:bCs/>
          <w:iCs/>
          <w:lang w:val="fr-FR"/>
        </w:rPr>
        <w:t>’</w:t>
      </w:r>
      <w:r w:rsidRPr="0070292F">
        <w:rPr>
          <w:bCs/>
          <w:iCs/>
          <w:lang w:val="fr-FR"/>
        </w:rPr>
        <w:t>arrêt il est dit que « la loi n</w:t>
      </w:r>
      <w:r w:rsidRPr="0070292F">
        <w:rPr>
          <w:bCs/>
          <w:iCs/>
          <w:vertAlign w:val="superscript"/>
          <w:lang w:val="fr-FR"/>
        </w:rPr>
        <w:t>o</w:t>
      </w:r>
      <w:r w:rsidRPr="0070292F">
        <w:rPr>
          <w:bCs/>
          <w:iCs/>
          <w:lang w:val="fr-FR"/>
        </w:rPr>
        <w:t xml:space="preserve"> 1423 de 1956, interprétée à la lumière des arrêts de la Cour constitutionnelle, est la disposition juridique qui a servi de fondement aux mesures de prévention personnelles appliquées au requérant » et que « donc (...) lesdites mesures de prévention </w:t>
      </w:r>
      <w:r w:rsidRPr="0070292F">
        <w:rPr>
          <w:bCs/>
          <w:i/>
          <w:iCs/>
          <w:lang w:val="fr-FR"/>
        </w:rPr>
        <w:t>avaient une base légale en droit interne</w:t>
      </w:r>
      <w:r w:rsidRPr="0070292F">
        <w:rPr>
          <w:bCs/>
          <w:iCs/>
          <w:lang w:val="fr-FR"/>
        </w:rPr>
        <w:t> » (italique ajouté).</w:t>
      </w:r>
    </w:p>
    <w:p w:rsidR="005103F7" w:rsidRPr="0070292F" w:rsidRDefault="005103F7" w:rsidP="0070292F">
      <w:pPr>
        <w:pStyle w:val="OpiPara"/>
        <w:rPr>
          <w:bCs/>
          <w:iCs/>
          <w:lang w:val="fr-FR"/>
        </w:rPr>
      </w:pPr>
      <w:r w:rsidRPr="0070292F">
        <w:rPr>
          <w:bCs/>
          <w:iCs/>
          <w:lang w:val="fr-FR"/>
        </w:rPr>
        <w:t>Non, non, non, et encore non.</w:t>
      </w:r>
    </w:p>
    <w:p w:rsidR="005103F7" w:rsidRPr="0070292F" w:rsidRDefault="005103F7" w:rsidP="0070292F">
      <w:pPr>
        <w:pStyle w:val="OpiPara"/>
        <w:rPr>
          <w:bCs/>
          <w:iCs/>
          <w:lang w:val="fr-FR"/>
        </w:rPr>
      </w:pPr>
      <w:r w:rsidRPr="0070292F">
        <w:rPr>
          <w:bCs/>
          <w:iCs/>
          <w:lang w:val="fr-FR"/>
        </w:rPr>
        <w:t>La loi en question, quelles que soient ses lacunes (nombre d</w:t>
      </w:r>
      <w:r w:rsidR="0070292F" w:rsidRPr="0070292F">
        <w:rPr>
          <w:bCs/>
          <w:iCs/>
          <w:lang w:val="fr-FR"/>
        </w:rPr>
        <w:t>’</w:t>
      </w:r>
      <w:r w:rsidRPr="0070292F">
        <w:rPr>
          <w:bCs/>
          <w:iCs/>
          <w:lang w:val="fr-FR"/>
        </w:rPr>
        <w:t>entre elles sont à juste titre relevées dans l</w:t>
      </w:r>
      <w:r w:rsidR="0070292F" w:rsidRPr="0070292F">
        <w:rPr>
          <w:bCs/>
          <w:iCs/>
          <w:lang w:val="fr-FR"/>
        </w:rPr>
        <w:t>’</w:t>
      </w:r>
      <w:r w:rsidRPr="0070292F">
        <w:rPr>
          <w:bCs/>
          <w:iCs/>
          <w:lang w:val="fr-FR"/>
        </w:rPr>
        <w:t xml:space="preserve">arrêt, et, par principe, je souscris à cette appréciation), traite des mesures « préventives » qui peuvent être appliquées à trois catégories de </w:t>
      </w:r>
      <w:r w:rsidRPr="0070292F">
        <w:rPr>
          <w:bCs/>
          <w:i/>
          <w:iCs/>
          <w:lang w:val="fr-FR"/>
        </w:rPr>
        <w:t>personnes</w:t>
      </w:r>
      <w:r w:rsidRPr="0070292F">
        <w:rPr>
          <w:bCs/>
          <w:iCs/>
          <w:lang w:val="fr-FR"/>
        </w:rPr>
        <w:t> : i) « [celles]</w:t>
      </w:r>
      <w:r w:rsidRPr="0070292F">
        <w:rPr>
          <w:lang w:val="fr-FR"/>
        </w:rPr>
        <w:t xml:space="preserve"> </w:t>
      </w:r>
      <w:r w:rsidRPr="0070292F">
        <w:rPr>
          <w:bCs/>
          <w:iCs/>
          <w:lang w:val="fr-FR"/>
        </w:rPr>
        <w:t xml:space="preserve">dont on peut estimer, </w:t>
      </w:r>
      <w:r w:rsidRPr="0070292F">
        <w:rPr>
          <w:bCs/>
          <w:i/>
          <w:iCs/>
          <w:lang w:val="fr-FR"/>
        </w:rPr>
        <w:t>sur la base d</w:t>
      </w:r>
      <w:r w:rsidR="0070292F" w:rsidRPr="0070292F">
        <w:rPr>
          <w:bCs/>
          <w:i/>
          <w:iCs/>
          <w:lang w:val="fr-FR"/>
        </w:rPr>
        <w:t>’</w:t>
      </w:r>
      <w:r w:rsidRPr="0070292F">
        <w:rPr>
          <w:bCs/>
          <w:i/>
          <w:iCs/>
          <w:lang w:val="fr-FR"/>
        </w:rPr>
        <w:t>éléments factuels</w:t>
      </w:r>
      <w:r w:rsidRPr="0070292F">
        <w:rPr>
          <w:bCs/>
          <w:iCs/>
          <w:lang w:val="fr-FR"/>
        </w:rPr>
        <w:t>, qu</w:t>
      </w:r>
      <w:r w:rsidR="0070292F" w:rsidRPr="0070292F">
        <w:rPr>
          <w:bCs/>
          <w:iCs/>
          <w:lang w:val="fr-FR"/>
        </w:rPr>
        <w:t>’</w:t>
      </w:r>
      <w:r w:rsidRPr="0070292F">
        <w:rPr>
          <w:bCs/>
          <w:iCs/>
          <w:lang w:val="fr-FR"/>
        </w:rPr>
        <w:t>elles se livrent habituellement à des activités délictueuses » ; ii) « [celles]</w:t>
      </w:r>
      <w:r w:rsidRPr="0070292F">
        <w:rPr>
          <w:lang w:val="fr-FR"/>
        </w:rPr>
        <w:t xml:space="preserve"> </w:t>
      </w:r>
      <w:r w:rsidRPr="0070292F">
        <w:rPr>
          <w:bCs/>
          <w:iCs/>
          <w:lang w:val="fr-FR"/>
        </w:rPr>
        <w:t xml:space="preserve">dont on peut estimer, compte tenu de leur conduite et de leur train de vie, et </w:t>
      </w:r>
      <w:r w:rsidRPr="0070292F">
        <w:rPr>
          <w:bCs/>
          <w:i/>
          <w:iCs/>
          <w:lang w:val="fr-FR"/>
        </w:rPr>
        <w:t>sur la base d</w:t>
      </w:r>
      <w:r w:rsidR="0070292F" w:rsidRPr="0070292F">
        <w:rPr>
          <w:bCs/>
          <w:i/>
          <w:iCs/>
          <w:lang w:val="fr-FR"/>
        </w:rPr>
        <w:t>’</w:t>
      </w:r>
      <w:r w:rsidRPr="0070292F">
        <w:rPr>
          <w:bCs/>
          <w:i/>
          <w:iCs/>
          <w:lang w:val="fr-FR"/>
        </w:rPr>
        <w:t>éléments factuels</w:t>
      </w:r>
      <w:r w:rsidRPr="0070292F">
        <w:rPr>
          <w:bCs/>
          <w:iCs/>
          <w:lang w:val="fr-FR"/>
        </w:rPr>
        <w:t>, qu</w:t>
      </w:r>
      <w:r w:rsidR="0070292F" w:rsidRPr="0070292F">
        <w:rPr>
          <w:bCs/>
          <w:iCs/>
          <w:lang w:val="fr-FR"/>
        </w:rPr>
        <w:t>’</w:t>
      </w:r>
      <w:r w:rsidRPr="0070292F">
        <w:rPr>
          <w:bCs/>
          <w:iCs/>
          <w:lang w:val="fr-FR"/>
        </w:rPr>
        <w:t>elles vivent habituellement, fût-ce en partie, de gains d</w:t>
      </w:r>
      <w:r w:rsidR="0070292F" w:rsidRPr="0070292F">
        <w:rPr>
          <w:bCs/>
          <w:iCs/>
          <w:lang w:val="fr-FR"/>
        </w:rPr>
        <w:t>’</w:t>
      </w:r>
      <w:r w:rsidRPr="0070292F">
        <w:rPr>
          <w:bCs/>
          <w:iCs/>
          <w:lang w:val="fr-FR"/>
        </w:rPr>
        <w:t xml:space="preserve">origine délictueuse » ; iii) « [celles] dont on peut estimer, </w:t>
      </w:r>
      <w:r w:rsidRPr="0070292F">
        <w:rPr>
          <w:bCs/>
          <w:i/>
          <w:iCs/>
          <w:lang w:val="fr-FR"/>
        </w:rPr>
        <w:t>sur la base d</w:t>
      </w:r>
      <w:r w:rsidR="0070292F" w:rsidRPr="0070292F">
        <w:rPr>
          <w:bCs/>
          <w:i/>
          <w:iCs/>
          <w:lang w:val="fr-FR"/>
        </w:rPr>
        <w:t>’</w:t>
      </w:r>
      <w:r w:rsidRPr="0070292F">
        <w:rPr>
          <w:bCs/>
          <w:i/>
          <w:iCs/>
          <w:lang w:val="fr-FR"/>
        </w:rPr>
        <w:t>éléments factuels</w:t>
      </w:r>
      <w:r w:rsidRPr="0070292F">
        <w:rPr>
          <w:bCs/>
          <w:iCs/>
          <w:lang w:val="fr-FR"/>
        </w:rPr>
        <w:t>, qu</w:t>
      </w:r>
      <w:r w:rsidR="0070292F" w:rsidRPr="0070292F">
        <w:rPr>
          <w:bCs/>
          <w:iCs/>
          <w:lang w:val="fr-FR"/>
        </w:rPr>
        <w:t>’</w:t>
      </w:r>
      <w:r w:rsidRPr="0070292F">
        <w:rPr>
          <w:bCs/>
          <w:iCs/>
          <w:lang w:val="fr-FR"/>
        </w:rPr>
        <w:t xml:space="preserve">elles commettent des infractions pénales qui offensent ou mettent en danger </w:t>
      </w:r>
      <w:r w:rsidRPr="0070292F">
        <w:rPr>
          <w:bCs/>
          <w:iCs/>
          <w:lang w:val="fr-FR"/>
        </w:rPr>
        <w:lastRenderedPageBreak/>
        <w:t>l</w:t>
      </w:r>
      <w:r w:rsidR="0070292F" w:rsidRPr="0070292F">
        <w:rPr>
          <w:bCs/>
          <w:iCs/>
          <w:lang w:val="fr-FR"/>
        </w:rPr>
        <w:t>’</w:t>
      </w:r>
      <w:r w:rsidRPr="0070292F">
        <w:rPr>
          <w:bCs/>
          <w:iCs/>
          <w:lang w:val="fr-FR"/>
        </w:rPr>
        <w:t>intégrité physique ou morale des mineurs, la santé, la sécurité ou la tranquillité publique » (italique ajouté). Le nom générique de ces trois catégories d</w:t>
      </w:r>
      <w:r w:rsidR="0070292F" w:rsidRPr="0070292F">
        <w:rPr>
          <w:bCs/>
          <w:iCs/>
          <w:lang w:val="fr-FR"/>
        </w:rPr>
        <w:t>’</w:t>
      </w:r>
      <w:r w:rsidRPr="0070292F">
        <w:rPr>
          <w:bCs/>
          <w:iCs/>
          <w:lang w:val="fr-FR"/>
        </w:rPr>
        <w:t>individus est celui de « personnes dangereuses pour la sécurité et pour la moralité publique » (paragraphes 33 et 34 de l</w:t>
      </w:r>
      <w:r w:rsidR="0070292F" w:rsidRPr="0070292F">
        <w:rPr>
          <w:bCs/>
          <w:iCs/>
          <w:lang w:val="fr-FR"/>
        </w:rPr>
        <w:t>’</w:t>
      </w:r>
      <w:r w:rsidRPr="0070292F">
        <w:rPr>
          <w:bCs/>
          <w:iCs/>
          <w:lang w:val="fr-FR"/>
        </w:rPr>
        <w:t>arrêt).</w:t>
      </w:r>
    </w:p>
    <w:p w:rsidR="0070292F" w:rsidRPr="0070292F" w:rsidRDefault="005103F7" w:rsidP="0070292F">
      <w:pPr>
        <w:pStyle w:val="OpiPara"/>
        <w:rPr>
          <w:bCs/>
          <w:iCs/>
          <w:lang w:val="fr-FR"/>
        </w:rPr>
      </w:pPr>
      <w:r w:rsidRPr="0070292F">
        <w:rPr>
          <w:bCs/>
          <w:iCs/>
          <w:lang w:val="fr-FR"/>
        </w:rPr>
        <w:t>Ni cette catégorie générique ni aucune de ses trois sous-catégories n</w:t>
      </w:r>
      <w:r w:rsidR="0070292F" w:rsidRPr="0070292F">
        <w:rPr>
          <w:bCs/>
          <w:iCs/>
          <w:lang w:val="fr-FR"/>
        </w:rPr>
        <w:t>’</w:t>
      </w:r>
      <w:r w:rsidRPr="0070292F">
        <w:rPr>
          <w:bCs/>
          <w:iCs/>
          <w:lang w:val="fr-FR"/>
        </w:rPr>
        <w:t xml:space="preserve">englobent, fût-ce indirectement, une personne que les autorités ont </w:t>
      </w:r>
      <w:r w:rsidRPr="0070292F">
        <w:rPr>
          <w:bCs/>
          <w:i/>
          <w:iCs/>
          <w:lang w:val="fr-FR"/>
        </w:rPr>
        <w:t>prise par erreur</w:t>
      </w:r>
      <w:r w:rsidRPr="0070292F">
        <w:rPr>
          <w:bCs/>
          <w:iCs/>
          <w:lang w:val="fr-FR"/>
        </w:rPr>
        <w:t xml:space="preserve"> </w:t>
      </w:r>
      <w:r w:rsidRPr="0070292F">
        <w:rPr>
          <w:bCs/>
          <w:i/>
          <w:iCs/>
          <w:lang w:val="fr-FR"/>
        </w:rPr>
        <w:t xml:space="preserve">pour une autre </w:t>
      </w:r>
      <w:r w:rsidRPr="0070292F">
        <w:rPr>
          <w:bCs/>
          <w:iCs/>
          <w:lang w:val="fr-FR"/>
        </w:rPr>
        <w:t>et qu</w:t>
      </w:r>
      <w:r w:rsidR="0070292F" w:rsidRPr="0070292F">
        <w:rPr>
          <w:bCs/>
          <w:iCs/>
          <w:lang w:val="fr-FR"/>
        </w:rPr>
        <w:t>’</w:t>
      </w:r>
      <w:r w:rsidRPr="0070292F">
        <w:rPr>
          <w:bCs/>
          <w:iCs/>
          <w:lang w:val="fr-FR"/>
        </w:rPr>
        <w:t xml:space="preserve">elles considèrent à tort ou à raison comme « dangereus[e] pour la sécurité et pour la moralité publique ». Au regard de la loi, les « éléments factuels » recueillis contre M. Dupont ne peuvent pas mécaniquement être considérés comme ayant été recueillis contre M. Durand, </w:t>
      </w:r>
      <w:r w:rsidRPr="0070292F">
        <w:rPr>
          <w:bCs/>
          <w:i/>
          <w:iCs/>
          <w:lang w:val="fr-FR"/>
        </w:rPr>
        <w:t>pris par erreur</w:t>
      </w:r>
      <w:r w:rsidRPr="0070292F">
        <w:rPr>
          <w:bCs/>
          <w:iCs/>
          <w:lang w:val="fr-FR"/>
        </w:rPr>
        <w:t xml:space="preserve"> pour M. Dupont. Peu importe que M. Durand ait ou non un casier judiciaire ou qu</w:t>
      </w:r>
      <w:r w:rsidR="0070292F" w:rsidRPr="0070292F">
        <w:rPr>
          <w:bCs/>
          <w:iCs/>
          <w:lang w:val="fr-FR"/>
        </w:rPr>
        <w:t>’</w:t>
      </w:r>
      <w:r w:rsidRPr="0070292F">
        <w:rPr>
          <w:bCs/>
          <w:iCs/>
          <w:lang w:val="fr-FR"/>
        </w:rPr>
        <w:t>il ait ou non commis des infractions par le passé. Bien sûr, il se peut qu</w:t>
      </w:r>
      <w:r w:rsidR="0070292F" w:rsidRPr="0070292F">
        <w:rPr>
          <w:bCs/>
          <w:iCs/>
          <w:lang w:val="fr-FR"/>
        </w:rPr>
        <w:t>’</w:t>
      </w:r>
      <w:r w:rsidRPr="0070292F">
        <w:rPr>
          <w:bCs/>
          <w:iCs/>
          <w:lang w:val="fr-FR"/>
        </w:rPr>
        <w:t>en recueillant des éléments factuels contre M. Dupont les autorités tombent sur quelque chose qui est aussi de nature à incriminer M. Durand ; toutefois, même dans ce cas, non seulement ce dernier doit être identifié directement et correctement, mais de plus les éléments recueillis contre M. Dupont ne peuvent pas automatiquement et inconsidérément être retenus contre M. Durand.</w:t>
      </w:r>
    </w:p>
    <w:p w:rsidR="005103F7" w:rsidRPr="0070292F" w:rsidRDefault="005103F7" w:rsidP="0070292F">
      <w:pPr>
        <w:pStyle w:val="OpiPara"/>
        <w:rPr>
          <w:bCs/>
          <w:iCs/>
          <w:lang w:val="fr-FR"/>
        </w:rPr>
      </w:pPr>
      <w:r w:rsidRPr="0070292F">
        <w:rPr>
          <w:bCs/>
          <w:iCs/>
          <w:lang w:val="fr-FR"/>
        </w:rPr>
        <w:t>En outre, la Cour constitutionnelle n</w:t>
      </w:r>
      <w:r w:rsidR="0070292F" w:rsidRPr="0070292F">
        <w:rPr>
          <w:bCs/>
          <w:iCs/>
          <w:lang w:val="fr-FR"/>
        </w:rPr>
        <w:t>’</w:t>
      </w:r>
      <w:r w:rsidRPr="0070292F">
        <w:rPr>
          <w:bCs/>
          <w:iCs/>
          <w:lang w:val="fr-FR"/>
        </w:rPr>
        <w:t>a jamais interprété la loi (du moins pas directement, ni même, semble-t-il, implicitement) de telle sorte qu</w:t>
      </w:r>
      <w:r w:rsidR="0070292F" w:rsidRPr="0070292F">
        <w:rPr>
          <w:bCs/>
          <w:iCs/>
          <w:lang w:val="fr-FR"/>
        </w:rPr>
        <w:t>’</w:t>
      </w:r>
      <w:r w:rsidRPr="0070292F">
        <w:rPr>
          <w:bCs/>
          <w:iCs/>
          <w:lang w:val="fr-FR"/>
        </w:rPr>
        <w:t>elle permettrait de traiter la « mauvaise » personne comme quelqu</w:t>
      </w:r>
      <w:r w:rsidR="0070292F" w:rsidRPr="0070292F">
        <w:rPr>
          <w:bCs/>
          <w:iCs/>
          <w:lang w:val="fr-FR"/>
        </w:rPr>
        <w:t>’</w:t>
      </w:r>
      <w:r w:rsidRPr="0070292F">
        <w:rPr>
          <w:bCs/>
          <w:iCs/>
          <w:lang w:val="fr-FR"/>
        </w:rPr>
        <w:t>un de « dangereu[x] pour la sécurité et pour la moralité publique », au sens de l</w:t>
      </w:r>
      <w:r w:rsidR="0070292F" w:rsidRPr="0070292F">
        <w:rPr>
          <w:bCs/>
          <w:iCs/>
          <w:lang w:val="fr-FR"/>
        </w:rPr>
        <w:t>’</w:t>
      </w:r>
      <w:r w:rsidRPr="0070292F">
        <w:rPr>
          <w:bCs/>
          <w:iCs/>
          <w:lang w:val="fr-FR"/>
        </w:rPr>
        <w:t>article 1 de la loi.</w:t>
      </w:r>
    </w:p>
    <w:p w:rsidR="005103F7" w:rsidRPr="0070292F" w:rsidRDefault="005103F7" w:rsidP="0070292F">
      <w:pPr>
        <w:pStyle w:val="OpiPara"/>
        <w:rPr>
          <w:bCs/>
          <w:iCs/>
          <w:lang w:val="fr-FR"/>
        </w:rPr>
      </w:pPr>
      <w:r w:rsidRPr="0070292F">
        <w:rPr>
          <w:bCs/>
          <w:iCs/>
          <w:lang w:val="fr-FR"/>
        </w:rPr>
        <w:t>16.  Ainsi,</w:t>
      </w:r>
      <w:r w:rsidRPr="0070292F">
        <w:rPr>
          <w:bCs/>
          <w:i/>
          <w:iCs/>
          <w:lang w:val="fr-FR"/>
        </w:rPr>
        <w:t xml:space="preserve"> la loi n</w:t>
      </w:r>
      <w:r w:rsidR="0070292F" w:rsidRPr="0070292F">
        <w:rPr>
          <w:bCs/>
          <w:i/>
          <w:iCs/>
          <w:lang w:val="fr-FR"/>
        </w:rPr>
        <w:t>’</w:t>
      </w:r>
      <w:r w:rsidRPr="0070292F">
        <w:rPr>
          <w:bCs/>
          <w:i/>
          <w:iCs/>
          <w:lang w:val="fr-FR"/>
        </w:rPr>
        <w:t>était aucunement applicable au requérant</w:t>
      </w:r>
      <w:r w:rsidRPr="0070292F">
        <w:rPr>
          <w:bCs/>
          <w:iCs/>
          <w:lang w:val="fr-FR"/>
        </w:rPr>
        <w:t>.</w:t>
      </w:r>
    </w:p>
    <w:p w:rsidR="005103F7" w:rsidRPr="0070292F" w:rsidRDefault="005103F7" w:rsidP="0070292F">
      <w:pPr>
        <w:pStyle w:val="OpiPara"/>
        <w:rPr>
          <w:bCs/>
          <w:iCs/>
          <w:lang w:val="fr-FR"/>
        </w:rPr>
      </w:pPr>
      <w:r w:rsidRPr="0070292F">
        <w:rPr>
          <w:bCs/>
          <w:iCs/>
          <w:lang w:val="fr-FR"/>
        </w:rPr>
        <w:t>Les mesures « préventives » appliquées au requérant ont résulté d</w:t>
      </w:r>
      <w:r w:rsidR="0070292F" w:rsidRPr="0070292F">
        <w:rPr>
          <w:bCs/>
          <w:iCs/>
          <w:lang w:val="fr-FR"/>
        </w:rPr>
        <w:t>’</w:t>
      </w:r>
      <w:r w:rsidRPr="0070292F">
        <w:rPr>
          <w:bCs/>
          <w:iCs/>
          <w:lang w:val="fr-FR"/>
        </w:rPr>
        <w:t>une erreur. Cela été reconnu par la cour d</w:t>
      </w:r>
      <w:r w:rsidR="0070292F" w:rsidRPr="0070292F">
        <w:rPr>
          <w:bCs/>
          <w:iCs/>
          <w:lang w:val="fr-FR"/>
        </w:rPr>
        <w:t>’</w:t>
      </w:r>
      <w:r w:rsidRPr="0070292F">
        <w:rPr>
          <w:bCs/>
          <w:iCs/>
          <w:lang w:val="fr-FR"/>
        </w:rPr>
        <w:t xml:space="preserve">appel de Bari, qui les a annulées </w:t>
      </w:r>
      <w:r w:rsidRPr="0070292F">
        <w:rPr>
          <w:bCs/>
          <w:i/>
          <w:iCs/>
          <w:lang w:val="fr-FR"/>
        </w:rPr>
        <w:t>ex tunc</w:t>
      </w:r>
      <w:r w:rsidRPr="0070292F">
        <w:rPr>
          <w:bCs/>
          <w:iCs/>
          <w:lang w:val="fr-FR"/>
        </w:rPr>
        <w:t xml:space="preserve"> (paragraphes 20 et 26 de l</w:t>
      </w:r>
      <w:r w:rsidR="0070292F" w:rsidRPr="0070292F">
        <w:rPr>
          <w:bCs/>
          <w:iCs/>
          <w:lang w:val="fr-FR"/>
        </w:rPr>
        <w:t>’</w:t>
      </w:r>
      <w:r w:rsidRPr="0070292F">
        <w:rPr>
          <w:bCs/>
          <w:iCs/>
          <w:lang w:val="fr-FR"/>
        </w:rPr>
        <w:t>arrêt).</w:t>
      </w:r>
    </w:p>
    <w:p w:rsidR="005103F7" w:rsidRPr="0070292F" w:rsidRDefault="005103F7" w:rsidP="0070292F">
      <w:pPr>
        <w:pStyle w:val="OpiPara"/>
        <w:rPr>
          <w:bCs/>
          <w:iCs/>
          <w:lang w:val="fr-FR"/>
        </w:rPr>
      </w:pPr>
      <w:r w:rsidRPr="0070292F">
        <w:rPr>
          <w:bCs/>
          <w:iCs/>
          <w:lang w:val="fr-FR"/>
        </w:rPr>
        <w:t>C</w:t>
      </w:r>
      <w:r w:rsidR="0070292F" w:rsidRPr="0070292F">
        <w:rPr>
          <w:bCs/>
          <w:iCs/>
          <w:lang w:val="fr-FR"/>
        </w:rPr>
        <w:t>’</w:t>
      </w:r>
      <w:r w:rsidRPr="0070292F">
        <w:rPr>
          <w:bCs/>
          <w:iCs/>
          <w:lang w:val="fr-FR"/>
        </w:rPr>
        <w:t>est aussi simple que cela. Ils ont pris la mauvaise personne.</w:t>
      </w:r>
    </w:p>
    <w:p w:rsidR="005103F7" w:rsidRPr="0070292F" w:rsidRDefault="005103F7" w:rsidP="0070292F">
      <w:pPr>
        <w:pStyle w:val="OpiPara"/>
        <w:rPr>
          <w:bCs/>
          <w:iCs/>
          <w:lang w:val="fr-FR"/>
        </w:rPr>
      </w:pPr>
      <w:r w:rsidRPr="0070292F">
        <w:rPr>
          <w:bCs/>
          <w:i/>
          <w:iCs/>
          <w:lang w:val="fr-FR"/>
        </w:rPr>
        <w:t>Une erreur sur la personne est une erreur sur la personne</w:t>
      </w:r>
      <w:r w:rsidRPr="0070292F">
        <w:rPr>
          <w:bCs/>
          <w:iCs/>
          <w:lang w:val="fr-FR"/>
        </w:rPr>
        <w:t>, un point c</w:t>
      </w:r>
      <w:r w:rsidR="0070292F" w:rsidRPr="0070292F">
        <w:rPr>
          <w:bCs/>
          <w:iCs/>
          <w:lang w:val="fr-FR"/>
        </w:rPr>
        <w:t>’</w:t>
      </w:r>
      <w:r w:rsidRPr="0070292F">
        <w:rPr>
          <w:bCs/>
          <w:iCs/>
          <w:lang w:val="fr-FR"/>
        </w:rPr>
        <w:t>est tout.</w:t>
      </w:r>
    </w:p>
    <w:p w:rsidR="005103F7" w:rsidRPr="0070292F" w:rsidRDefault="005103F7" w:rsidP="0070292F">
      <w:pPr>
        <w:pStyle w:val="OpiPara"/>
        <w:rPr>
          <w:bCs/>
          <w:iCs/>
          <w:lang w:val="fr-FR"/>
        </w:rPr>
      </w:pPr>
      <w:r w:rsidRPr="0070292F">
        <w:rPr>
          <w:bCs/>
          <w:iCs/>
          <w:lang w:val="fr-FR"/>
        </w:rPr>
        <w:t>17.  Là encore, je dois me répéter (paragraphe 1 ci-dessus). Des mesures « </w:t>
      </w:r>
      <w:r w:rsidRPr="0070292F">
        <w:rPr>
          <w:bCs/>
          <w:i/>
          <w:iCs/>
          <w:lang w:val="fr-FR"/>
        </w:rPr>
        <w:t>préventives </w:t>
      </w:r>
      <w:r w:rsidRPr="0070292F">
        <w:rPr>
          <w:bCs/>
          <w:iCs/>
          <w:lang w:val="fr-FR"/>
        </w:rPr>
        <w:t>»</w:t>
      </w:r>
      <w:r w:rsidRPr="0070292F">
        <w:rPr>
          <w:bCs/>
          <w:i/>
          <w:iCs/>
          <w:lang w:val="fr-FR"/>
        </w:rPr>
        <w:t xml:space="preserve"> proprement dites</w:t>
      </w:r>
      <w:r w:rsidRPr="0070292F">
        <w:rPr>
          <w:bCs/>
          <w:iCs/>
          <w:lang w:val="fr-FR"/>
        </w:rPr>
        <w:t xml:space="preserve"> ne peuvent être appliquées légalement qu</w:t>
      </w:r>
      <w:r w:rsidR="0070292F" w:rsidRPr="0070292F">
        <w:rPr>
          <w:bCs/>
          <w:iCs/>
          <w:lang w:val="fr-FR"/>
        </w:rPr>
        <w:t>’</w:t>
      </w:r>
      <w:r w:rsidRPr="0070292F">
        <w:rPr>
          <w:bCs/>
          <w:iCs/>
          <w:lang w:val="fr-FR"/>
        </w:rPr>
        <w:t>à une personne devant être « empêchée » de faire quelque chose. En l</w:t>
      </w:r>
      <w:r w:rsidR="0070292F" w:rsidRPr="0070292F">
        <w:rPr>
          <w:bCs/>
          <w:iCs/>
          <w:lang w:val="fr-FR"/>
        </w:rPr>
        <w:t>’</w:t>
      </w:r>
      <w:r w:rsidRPr="0070292F">
        <w:rPr>
          <w:bCs/>
          <w:iCs/>
          <w:lang w:val="fr-FR"/>
        </w:rPr>
        <w:t>absence de base factuelle justifiant la nécessité d</w:t>
      </w:r>
      <w:r w:rsidR="0070292F" w:rsidRPr="0070292F">
        <w:rPr>
          <w:bCs/>
          <w:iCs/>
          <w:lang w:val="fr-FR"/>
        </w:rPr>
        <w:t>’</w:t>
      </w:r>
      <w:r w:rsidRPr="0070292F">
        <w:rPr>
          <w:bCs/>
          <w:iCs/>
          <w:lang w:val="fr-FR"/>
        </w:rPr>
        <w:t>une « prévention » à l</w:t>
      </w:r>
      <w:r w:rsidR="0070292F" w:rsidRPr="0070292F">
        <w:rPr>
          <w:bCs/>
          <w:iCs/>
          <w:lang w:val="fr-FR"/>
        </w:rPr>
        <w:t>’</w:t>
      </w:r>
      <w:r w:rsidRPr="0070292F">
        <w:rPr>
          <w:bCs/>
          <w:iCs/>
          <w:lang w:val="fr-FR"/>
        </w:rPr>
        <w:t>égard d</w:t>
      </w:r>
      <w:r w:rsidR="0070292F" w:rsidRPr="0070292F">
        <w:rPr>
          <w:bCs/>
          <w:iCs/>
          <w:lang w:val="fr-FR"/>
        </w:rPr>
        <w:t>’</w:t>
      </w:r>
      <w:r w:rsidRPr="0070292F">
        <w:rPr>
          <w:bCs/>
          <w:iCs/>
          <w:lang w:val="fr-FR"/>
        </w:rPr>
        <w:t>une personne donnée, les mesures restrictives imposées à celle-ci ne peuvent guère passer pour « préventives » au véritable sens de ce terme.</w:t>
      </w:r>
    </w:p>
    <w:p w:rsidR="0070292F" w:rsidRPr="0070292F" w:rsidRDefault="005103F7" w:rsidP="0070292F">
      <w:pPr>
        <w:pStyle w:val="OpiPara"/>
        <w:rPr>
          <w:bCs/>
          <w:iCs/>
          <w:lang w:val="fr-FR"/>
        </w:rPr>
      </w:pPr>
      <w:r w:rsidRPr="0070292F">
        <w:rPr>
          <w:bCs/>
          <w:iCs/>
          <w:lang w:val="fr-FR"/>
        </w:rPr>
        <w:t>18.  La règle de droit mais aussi la décence la plus élémentaire exigent que lorsque l</w:t>
      </w:r>
      <w:r w:rsidR="0070292F" w:rsidRPr="0070292F">
        <w:rPr>
          <w:bCs/>
          <w:iCs/>
          <w:lang w:val="fr-FR"/>
        </w:rPr>
        <w:t>’</w:t>
      </w:r>
      <w:r w:rsidRPr="0070292F">
        <w:rPr>
          <w:bCs/>
          <w:iCs/>
          <w:lang w:val="fr-FR"/>
        </w:rPr>
        <w:t>on découvre une erreur entraînant l</w:t>
      </w:r>
      <w:r w:rsidR="0070292F" w:rsidRPr="0070292F">
        <w:rPr>
          <w:bCs/>
          <w:iCs/>
          <w:lang w:val="fr-FR"/>
        </w:rPr>
        <w:t>’</w:t>
      </w:r>
      <w:r w:rsidRPr="0070292F">
        <w:rPr>
          <w:bCs/>
          <w:iCs/>
          <w:lang w:val="fr-FR"/>
        </w:rPr>
        <w:t>imposition de sérieuses restrictions à une personne, prise pour un autre individu contre lequel des « éléments factuels » avaient été recueillis, les autorités disent « oups ! », présentent des excuses, referment le dossier aussi vite que possible et indemnisent la « mauvaise » personne pour tout dommage qu</w:t>
      </w:r>
      <w:r w:rsidR="0070292F" w:rsidRPr="0070292F">
        <w:rPr>
          <w:bCs/>
          <w:iCs/>
          <w:lang w:val="fr-FR"/>
        </w:rPr>
        <w:t>’</w:t>
      </w:r>
      <w:r w:rsidRPr="0070292F">
        <w:rPr>
          <w:bCs/>
          <w:iCs/>
          <w:lang w:val="fr-FR"/>
        </w:rPr>
        <w:t>elle a pu subir. C</w:t>
      </w:r>
      <w:r w:rsidR="0070292F" w:rsidRPr="0070292F">
        <w:rPr>
          <w:bCs/>
          <w:iCs/>
          <w:lang w:val="fr-FR"/>
        </w:rPr>
        <w:t>’</w:t>
      </w:r>
      <w:r w:rsidRPr="0070292F">
        <w:rPr>
          <w:bCs/>
          <w:iCs/>
          <w:lang w:val="fr-FR"/>
        </w:rPr>
        <w:t>est ainsi que les choses doivent se passer, à moins que l</w:t>
      </w:r>
      <w:r w:rsidR="0070292F" w:rsidRPr="0070292F">
        <w:rPr>
          <w:bCs/>
          <w:iCs/>
          <w:lang w:val="fr-FR"/>
        </w:rPr>
        <w:t>’</w:t>
      </w:r>
      <w:r w:rsidRPr="0070292F">
        <w:rPr>
          <w:bCs/>
          <w:iCs/>
          <w:lang w:val="fr-FR"/>
        </w:rPr>
        <w:t xml:space="preserve">on vive </w:t>
      </w:r>
      <w:r w:rsidRPr="0070292F">
        <w:rPr>
          <w:bCs/>
          <w:iCs/>
          <w:lang w:val="fr-FR"/>
        </w:rPr>
        <w:lastRenderedPageBreak/>
        <w:t>dans une autre réalité, où le droit appliqué n</w:t>
      </w:r>
      <w:r w:rsidR="0070292F" w:rsidRPr="0070292F">
        <w:rPr>
          <w:bCs/>
          <w:iCs/>
          <w:lang w:val="fr-FR"/>
        </w:rPr>
        <w:t>’</w:t>
      </w:r>
      <w:r w:rsidRPr="0070292F">
        <w:rPr>
          <w:bCs/>
          <w:iCs/>
          <w:lang w:val="fr-FR"/>
        </w:rPr>
        <w:t>a rien à voir avec les faits auxquels on l</w:t>
      </w:r>
      <w:r w:rsidR="0070292F" w:rsidRPr="0070292F">
        <w:rPr>
          <w:bCs/>
          <w:iCs/>
          <w:lang w:val="fr-FR"/>
        </w:rPr>
        <w:t>’</w:t>
      </w:r>
      <w:r w:rsidRPr="0070292F">
        <w:rPr>
          <w:bCs/>
          <w:iCs/>
          <w:lang w:val="fr-FR"/>
        </w:rPr>
        <w:t>applique.</w:t>
      </w:r>
    </w:p>
    <w:p w:rsidR="0070292F" w:rsidRPr="0070292F" w:rsidRDefault="005103F7" w:rsidP="0070292F">
      <w:pPr>
        <w:pStyle w:val="OpiPara"/>
        <w:rPr>
          <w:bCs/>
          <w:iCs/>
          <w:lang w:val="fr-FR"/>
        </w:rPr>
      </w:pPr>
      <w:r w:rsidRPr="0070292F">
        <w:rPr>
          <w:bCs/>
          <w:iCs/>
          <w:lang w:val="fr-FR"/>
        </w:rPr>
        <w:t>Inutile de dire qu</w:t>
      </w:r>
      <w:r w:rsidR="0070292F" w:rsidRPr="0070292F">
        <w:rPr>
          <w:bCs/>
          <w:iCs/>
          <w:lang w:val="fr-FR"/>
        </w:rPr>
        <w:t>’</w:t>
      </w:r>
      <w:r w:rsidRPr="0070292F">
        <w:rPr>
          <w:bCs/>
          <w:iCs/>
          <w:lang w:val="fr-FR"/>
        </w:rPr>
        <w:t>un monde parallèle ne serait pas un monde régi par la règle de droit.</w:t>
      </w:r>
    </w:p>
    <w:p w:rsidR="0070292F" w:rsidRPr="0070292F" w:rsidRDefault="005103F7" w:rsidP="0070292F">
      <w:pPr>
        <w:pStyle w:val="OpiPara"/>
        <w:rPr>
          <w:bCs/>
          <w:iCs/>
          <w:lang w:val="fr-FR"/>
        </w:rPr>
      </w:pPr>
      <w:r w:rsidRPr="0070292F">
        <w:rPr>
          <w:bCs/>
          <w:iCs/>
          <w:lang w:val="fr-FR"/>
        </w:rPr>
        <w:t>19.  Cependant (comme nous l</w:t>
      </w:r>
      <w:r w:rsidR="0070292F" w:rsidRPr="0070292F">
        <w:rPr>
          <w:bCs/>
          <w:iCs/>
          <w:lang w:val="fr-FR"/>
        </w:rPr>
        <w:t>’</w:t>
      </w:r>
      <w:r w:rsidRPr="0070292F">
        <w:rPr>
          <w:bCs/>
          <w:iCs/>
          <w:lang w:val="fr-FR"/>
        </w:rPr>
        <w:t>avons indiqué au paragraphe 12 ci</w:t>
      </w:r>
      <w:r w:rsidRPr="0070292F">
        <w:rPr>
          <w:bCs/>
          <w:iCs/>
          <w:lang w:val="fr-FR"/>
        </w:rPr>
        <w:noBreakHyphen/>
        <w:t>dessus), le Gouvernement a affirmé que la cour d</w:t>
      </w:r>
      <w:r w:rsidR="0070292F" w:rsidRPr="0070292F">
        <w:rPr>
          <w:bCs/>
          <w:iCs/>
          <w:lang w:val="fr-FR"/>
        </w:rPr>
        <w:t>’</w:t>
      </w:r>
      <w:r w:rsidRPr="0070292F">
        <w:rPr>
          <w:bCs/>
          <w:iCs/>
          <w:lang w:val="fr-FR"/>
        </w:rPr>
        <w:t>appel de Bari « n</w:t>
      </w:r>
      <w:r w:rsidR="0070292F" w:rsidRPr="0070292F">
        <w:rPr>
          <w:bCs/>
          <w:iCs/>
          <w:lang w:val="fr-FR"/>
        </w:rPr>
        <w:t>’</w:t>
      </w:r>
      <w:r w:rsidRPr="0070292F">
        <w:rPr>
          <w:bCs/>
          <w:iCs/>
          <w:lang w:val="fr-FR"/>
        </w:rPr>
        <w:t>[avait] pas reconnu d</w:t>
      </w:r>
      <w:r w:rsidR="0070292F" w:rsidRPr="0070292F">
        <w:rPr>
          <w:bCs/>
          <w:iCs/>
          <w:lang w:val="fr-FR"/>
        </w:rPr>
        <w:t>’</w:t>
      </w:r>
      <w:r w:rsidRPr="0070292F">
        <w:rPr>
          <w:bCs/>
          <w:iCs/>
          <w:lang w:val="fr-FR"/>
        </w:rPr>
        <w:t>erreur sur la personne » mais avait « simplement réévalué tous les éléments sur lesquels le tribunal s</w:t>
      </w:r>
      <w:r w:rsidR="0070292F" w:rsidRPr="0070292F">
        <w:rPr>
          <w:bCs/>
          <w:iCs/>
          <w:lang w:val="fr-FR"/>
        </w:rPr>
        <w:t>’</w:t>
      </w:r>
      <w:r w:rsidRPr="0070292F">
        <w:rPr>
          <w:bCs/>
          <w:iCs/>
          <w:lang w:val="fr-FR"/>
        </w:rPr>
        <w:t>était basé, pour exclure la dangerosité sociale du requérant » (paragraphe 103 de l</w:t>
      </w:r>
      <w:r w:rsidR="0070292F" w:rsidRPr="0070292F">
        <w:rPr>
          <w:bCs/>
          <w:iCs/>
          <w:lang w:val="fr-FR"/>
        </w:rPr>
        <w:t>’</w:t>
      </w:r>
      <w:r w:rsidRPr="0070292F">
        <w:rPr>
          <w:bCs/>
          <w:iCs/>
          <w:lang w:val="fr-FR"/>
        </w:rPr>
        <w:t xml:space="preserve">arrêt), comme si </w:t>
      </w:r>
      <w:r w:rsidRPr="0070292F">
        <w:rPr>
          <w:bCs/>
          <w:i/>
          <w:iCs/>
          <w:lang w:val="fr-FR"/>
        </w:rPr>
        <w:t>ces</w:t>
      </w:r>
      <w:r w:rsidRPr="0070292F">
        <w:rPr>
          <w:bCs/>
          <w:iCs/>
          <w:lang w:val="fr-FR"/>
        </w:rPr>
        <w:t xml:space="preserve"> éléments pouvaient avoir un quelconque rapport avec le requérant. Cette déclaration montre bien que le gouvernement défendeur a encore du chemin à parcourir pour se rendre compte par lui-même des vérités simples qui commandent la conduite des autorités en cas d</w:t>
      </w:r>
      <w:r w:rsidR="0070292F" w:rsidRPr="0070292F">
        <w:rPr>
          <w:bCs/>
          <w:iCs/>
          <w:lang w:val="fr-FR"/>
        </w:rPr>
        <w:t>’</w:t>
      </w:r>
      <w:r w:rsidRPr="0070292F">
        <w:rPr>
          <w:bCs/>
          <w:iCs/>
          <w:lang w:val="fr-FR"/>
        </w:rPr>
        <w:t>erreur sur la personne.</w:t>
      </w:r>
    </w:p>
    <w:p w:rsidR="0070292F" w:rsidRPr="0070292F" w:rsidRDefault="005103F7" w:rsidP="0070292F">
      <w:pPr>
        <w:pStyle w:val="OpiPara"/>
        <w:rPr>
          <w:bCs/>
          <w:iCs/>
          <w:lang w:val="fr-FR"/>
        </w:rPr>
      </w:pPr>
      <w:r w:rsidRPr="0070292F">
        <w:rPr>
          <w:bCs/>
          <w:iCs/>
          <w:lang w:val="fr-FR"/>
        </w:rPr>
        <w:t>20.  Compte tenu de la grave erreur qui a eu tant de répercussions sur la situation du requérant, les considérations jurisprudentielles sur les points de savoir si la loi était « accessible » ou suffisamment « prévisible » pour le requérant, si elle était ou non « vague », « précise » ou « claire », et si les indications sur la conduite que devait adopter le requérant étaient « suffisantes », sont totalement dénuées de pertinence. Nul besoin de ces considérations pour pouvoir affirmer</w:t>
      </w:r>
      <w:r w:rsidRPr="0070292F">
        <w:rPr>
          <w:b/>
          <w:bCs/>
          <w:iCs/>
          <w:lang w:val="fr-FR"/>
        </w:rPr>
        <w:t xml:space="preserve"> </w:t>
      </w:r>
      <w:r w:rsidRPr="0070292F">
        <w:rPr>
          <w:bCs/>
          <w:iCs/>
          <w:lang w:val="fr-FR"/>
        </w:rPr>
        <w:t>que les mesures « préventives » litigieuses ont été imposées au requérant en l</w:t>
      </w:r>
      <w:r w:rsidR="0070292F" w:rsidRPr="0070292F">
        <w:rPr>
          <w:bCs/>
          <w:iCs/>
          <w:lang w:val="fr-FR"/>
        </w:rPr>
        <w:t>’</w:t>
      </w:r>
      <w:r w:rsidRPr="0070292F">
        <w:rPr>
          <w:bCs/>
          <w:iCs/>
          <w:lang w:val="fr-FR"/>
        </w:rPr>
        <w:t>absence de toute base légale.</w:t>
      </w:r>
    </w:p>
    <w:p w:rsidR="005103F7" w:rsidRPr="0070292F" w:rsidRDefault="005103F7" w:rsidP="0070292F">
      <w:pPr>
        <w:pStyle w:val="OpiPara"/>
        <w:rPr>
          <w:bCs/>
          <w:iCs/>
          <w:lang w:val="fr-FR"/>
        </w:rPr>
      </w:pPr>
      <w:r w:rsidRPr="0070292F">
        <w:rPr>
          <w:bCs/>
          <w:iCs/>
          <w:lang w:val="fr-FR"/>
        </w:rPr>
        <w:t>21.  Ainsi, bien que je partage l</w:t>
      </w:r>
      <w:r w:rsidR="0070292F" w:rsidRPr="0070292F">
        <w:rPr>
          <w:bCs/>
          <w:iCs/>
          <w:lang w:val="fr-FR"/>
        </w:rPr>
        <w:t>’</w:t>
      </w:r>
      <w:r w:rsidRPr="0070292F">
        <w:rPr>
          <w:bCs/>
          <w:iCs/>
          <w:lang w:val="fr-FR"/>
        </w:rPr>
        <w:t>avis de la majorité selon lequel il y a eu violation de l</w:t>
      </w:r>
      <w:r w:rsidR="0070292F" w:rsidRPr="0070292F">
        <w:rPr>
          <w:bCs/>
          <w:iCs/>
          <w:lang w:val="fr-FR"/>
        </w:rPr>
        <w:t>’</w:t>
      </w:r>
      <w:r w:rsidRPr="0070292F">
        <w:rPr>
          <w:bCs/>
          <w:iCs/>
          <w:lang w:val="fr-FR"/>
        </w:rPr>
        <w:t>article 2 du Protocole n</w:t>
      </w:r>
      <w:r w:rsidRPr="0070292F">
        <w:rPr>
          <w:bCs/>
          <w:iCs/>
          <w:vertAlign w:val="superscript"/>
          <w:lang w:val="fr-FR"/>
        </w:rPr>
        <w:t>o</w:t>
      </w:r>
      <w:r w:rsidRPr="0070292F">
        <w:rPr>
          <w:bCs/>
          <w:iCs/>
          <w:lang w:val="fr-FR"/>
        </w:rPr>
        <w:t xml:space="preserve"> 4, je suis en profond désaccord avec le raisonnement qui mène à ce constat. Ce raisonnement remplace la question de l</w:t>
      </w:r>
      <w:r w:rsidR="0070292F" w:rsidRPr="0070292F">
        <w:rPr>
          <w:bCs/>
          <w:iCs/>
          <w:lang w:val="fr-FR"/>
        </w:rPr>
        <w:t>’</w:t>
      </w:r>
      <w:r w:rsidRPr="0070292F">
        <w:rPr>
          <w:bCs/>
          <w:iCs/>
          <w:lang w:val="fr-FR"/>
        </w:rPr>
        <w:t xml:space="preserve">application de la loi </w:t>
      </w:r>
      <w:r w:rsidRPr="0070292F">
        <w:rPr>
          <w:bCs/>
          <w:i/>
          <w:iCs/>
          <w:lang w:val="fr-FR"/>
        </w:rPr>
        <w:t>à la situation concrète du requérant</w:t>
      </w:r>
      <w:r w:rsidRPr="0070292F">
        <w:rPr>
          <w:bCs/>
          <w:iCs/>
          <w:lang w:val="fr-FR"/>
        </w:rPr>
        <w:t xml:space="preserve"> par la question de la « qualité de la loi », problème qui est ensuite « résolu » comme si la Cour était une juridiction constitutionnelle ayant pour tâche d</w:t>
      </w:r>
      <w:r w:rsidR="0070292F" w:rsidRPr="0070292F">
        <w:rPr>
          <w:bCs/>
          <w:iCs/>
          <w:lang w:val="fr-FR"/>
        </w:rPr>
        <w:t>’</w:t>
      </w:r>
      <w:r w:rsidRPr="0070292F">
        <w:rPr>
          <w:bCs/>
          <w:iCs/>
          <w:lang w:val="fr-FR"/>
        </w:rPr>
        <w:t xml:space="preserve">examiner la conformité des lois à quelque droit supérieur, indépendamment des points de savoir à qui et comment ces lois sont appliquées, et même si elles sont appliquées ou non. Autrement dit, ce raisonnement remplace le </w:t>
      </w:r>
      <w:r w:rsidRPr="0070292F">
        <w:rPr>
          <w:bCs/>
          <w:i/>
          <w:iCs/>
          <w:lang w:val="fr-FR"/>
        </w:rPr>
        <w:t>véritable</w:t>
      </w:r>
      <w:r w:rsidRPr="0070292F">
        <w:rPr>
          <w:bCs/>
          <w:iCs/>
          <w:lang w:val="fr-FR"/>
        </w:rPr>
        <w:t xml:space="preserve"> problème que </w:t>
      </w:r>
      <w:r w:rsidRPr="0070292F">
        <w:rPr>
          <w:bCs/>
          <w:i/>
          <w:iCs/>
          <w:lang w:val="fr-FR"/>
        </w:rPr>
        <w:t>ce</w:t>
      </w:r>
      <w:r w:rsidRPr="0070292F">
        <w:rPr>
          <w:bCs/>
          <w:iCs/>
          <w:lang w:val="fr-FR"/>
        </w:rPr>
        <w:t xml:space="preserve"> requérant a</w:t>
      </w:r>
      <w:r w:rsidRPr="0070292F">
        <w:rPr>
          <w:bCs/>
          <w:i/>
          <w:iCs/>
          <w:lang w:val="fr-FR"/>
        </w:rPr>
        <w:t xml:space="preserve"> bel et bien</w:t>
      </w:r>
      <w:r w:rsidRPr="0070292F">
        <w:rPr>
          <w:bCs/>
          <w:iCs/>
          <w:lang w:val="fr-FR"/>
        </w:rPr>
        <w:t xml:space="preserve"> rencontré, et qui a été soumis à la Cour, par la question générale des avantages et inconvénients des normes légales elles-mêmes. Si (là encore) je ne peux que souscrire à l</w:t>
      </w:r>
      <w:r w:rsidR="0070292F" w:rsidRPr="0070292F">
        <w:rPr>
          <w:bCs/>
          <w:iCs/>
          <w:lang w:val="fr-FR"/>
        </w:rPr>
        <w:t>’</w:t>
      </w:r>
      <w:r w:rsidRPr="0070292F">
        <w:rPr>
          <w:bCs/>
          <w:iCs/>
          <w:lang w:val="fr-FR"/>
        </w:rPr>
        <w:t>appréciation critique que fait la majorité de l</w:t>
      </w:r>
      <w:r w:rsidR="0070292F" w:rsidRPr="0070292F">
        <w:rPr>
          <w:bCs/>
          <w:iCs/>
          <w:lang w:val="fr-FR"/>
        </w:rPr>
        <w:t>’</w:t>
      </w:r>
      <w:r w:rsidRPr="0070292F">
        <w:rPr>
          <w:bCs/>
          <w:iCs/>
          <w:lang w:val="fr-FR"/>
        </w:rPr>
        <w:t>insuffisante prévisibilité des dispositions appliquées (constat pouvant être utile pour statuer sur d</w:t>
      </w:r>
      <w:r w:rsidR="0070292F" w:rsidRPr="0070292F">
        <w:rPr>
          <w:bCs/>
          <w:iCs/>
          <w:lang w:val="fr-FR"/>
        </w:rPr>
        <w:t>’</w:t>
      </w:r>
      <w:r w:rsidRPr="0070292F">
        <w:rPr>
          <w:bCs/>
          <w:iCs/>
          <w:lang w:val="fr-FR"/>
        </w:rPr>
        <w:t>éventuelles actions d</w:t>
      </w:r>
      <w:r w:rsidR="0070292F" w:rsidRPr="0070292F">
        <w:rPr>
          <w:bCs/>
          <w:iCs/>
          <w:lang w:val="fr-FR"/>
        </w:rPr>
        <w:t>’</w:t>
      </w:r>
      <w:r w:rsidRPr="0070292F">
        <w:rPr>
          <w:bCs/>
          <w:iCs/>
          <w:lang w:val="fr-FR"/>
        </w:rPr>
        <w:t xml:space="preserve">autres personnes auxquelles cette loi pourrait être appliquée), tout cela a bien peu à voir avec le cas de </w:t>
      </w:r>
      <w:r w:rsidRPr="0070292F">
        <w:rPr>
          <w:bCs/>
          <w:i/>
          <w:iCs/>
          <w:lang w:val="fr-FR"/>
        </w:rPr>
        <w:t>ce</w:t>
      </w:r>
      <w:r w:rsidRPr="0070292F">
        <w:rPr>
          <w:bCs/>
          <w:iCs/>
          <w:lang w:val="fr-FR"/>
        </w:rPr>
        <w:t xml:space="preserve"> requérant. S</w:t>
      </w:r>
      <w:r w:rsidR="0070292F" w:rsidRPr="0070292F">
        <w:rPr>
          <w:bCs/>
          <w:iCs/>
          <w:lang w:val="fr-FR"/>
        </w:rPr>
        <w:t>’</w:t>
      </w:r>
      <w:r w:rsidRPr="0070292F">
        <w:rPr>
          <w:bCs/>
          <w:iCs/>
          <w:lang w:val="fr-FR"/>
        </w:rPr>
        <w:t xml:space="preserve">il y a eu violation de la liberté de circulation de </w:t>
      </w:r>
      <w:r w:rsidRPr="0070292F">
        <w:rPr>
          <w:bCs/>
          <w:i/>
          <w:iCs/>
          <w:lang w:val="fr-FR"/>
        </w:rPr>
        <w:t>ce</w:t>
      </w:r>
      <w:r w:rsidRPr="0070292F">
        <w:rPr>
          <w:bCs/>
          <w:iCs/>
          <w:lang w:val="fr-FR"/>
        </w:rPr>
        <w:t xml:space="preserve"> requérant, ce n</w:t>
      </w:r>
      <w:r w:rsidR="0070292F" w:rsidRPr="0070292F">
        <w:rPr>
          <w:bCs/>
          <w:iCs/>
          <w:lang w:val="fr-FR"/>
        </w:rPr>
        <w:t>’</w:t>
      </w:r>
      <w:r w:rsidRPr="0070292F">
        <w:rPr>
          <w:bCs/>
          <w:iCs/>
          <w:lang w:val="fr-FR"/>
        </w:rPr>
        <w:t>est pas parce qu</w:t>
      </w:r>
      <w:r w:rsidR="0070292F" w:rsidRPr="0070292F">
        <w:rPr>
          <w:bCs/>
          <w:iCs/>
          <w:lang w:val="fr-FR"/>
        </w:rPr>
        <w:t>’</w:t>
      </w:r>
      <w:r w:rsidRPr="0070292F">
        <w:rPr>
          <w:bCs/>
          <w:iCs/>
          <w:lang w:val="fr-FR"/>
        </w:rPr>
        <w:t>une loi « pas suffisamment prévisible</w:t>
      </w:r>
      <w:r w:rsidRPr="0070292F">
        <w:rPr>
          <w:b/>
          <w:bCs/>
          <w:iCs/>
          <w:lang w:val="fr-FR"/>
        </w:rPr>
        <w:t> </w:t>
      </w:r>
      <w:r w:rsidRPr="0070292F">
        <w:rPr>
          <w:bCs/>
          <w:iCs/>
          <w:lang w:val="fr-FR"/>
        </w:rPr>
        <w:t>» ou « pas suffisamment claire</w:t>
      </w:r>
      <w:r w:rsidRPr="0070292F">
        <w:rPr>
          <w:b/>
          <w:bCs/>
          <w:iCs/>
          <w:lang w:val="fr-FR"/>
        </w:rPr>
        <w:t> </w:t>
      </w:r>
      <w:r w:rsidRPr="0070292F">
        <w:rPr>
          <w:bCs/>
          <w:iCs/>
          <w:lang w:val="fr-FR"/>
        </w:rPr>
        <w:t>», « libellée en des termes vagues et excessivement généraux</w:t>
      </w:r>
      <w:r w:rsidRPr="0070292F">
        <w:rPr>
          <w:b/>
          <w:bCs/>
          <w:iCs/>
          <w:lang w:val="fr-FR"/>
        </w:rPr>
        <w:t> </w:t>
      </w:r>
      <w:r w:rsidRPr="0070292F">
        <w:rPr>
          <w:bCs/>
          <w:iCs/>
          <w:lang w:val="fr-FR"/>
        </w:rPr>
        <w:t xml:space="preserve">», a été appliqué à sa situation, mais en raison du fait même que cette loi, qui permettait des restrictions à la liberté de circulation (sans parler de la privation de liberté elle-même), </w:t>
      </w:r>
      <w:r w:rsidRPr="0070292F">
        <w:rPr>
          <w:bCs/>
          <w:i/>
          <w:iCs/>
          <w:lang w:val="fr-FR"/>
        </w:rPr>
        <w:t>a été appliquée à cette</w:t>
      </w:r>
      <w:r w:rsidRPr="0070292F">
        <w:rPr>
          <w:bCs/>
          <w:iCs/>
          <w:lang w:val="fr-FR"/>
        </w:rPr>
        <w:t xml:space="preserve"> personne alors qu</w:t>
      </w:r>
      <w:r w:rsidR="0070292F" w:rsidRPr="0070292F">
        <w:rPr>
          <w:bCs/>
          <w:iCs/>
          <w:lang w:val="fr-FR"/>
        </w:rPr>
        <w:t>’</w:t>
      </w:r>
      <w:r w:rsidRPr="0070292F">
        <w:rPr>
          <w:bCs/>
          <w:iCs/>
          <w:lang w:val="fr-FR"/>
        </w:rPr>
        <w:t>au regard de son propre contenu elle n</w:t>
      </w:r>
      <w:r w:rsidR="0070292F" w:rsidRPr="0070292F">
        <w:rPr>
          <w:bCs/>
          <w:iCs/>
          <w:lang w:val="fr-FR"/>
        </w:rPr>
        <w:t>’</w:t>
      </w:r>
      <w:r w:rsidRPr="0070292F">
        <w:rPr>
          <w:bCs/>
          <w:iCs/>
          <w:lang w:val="fr-FR"/>
        </w:rPr>
        <w:t>aurait pas dû l</w:t>
      </w:r>
      <w:r w:rsidR="0070292F" w:rsidRPr="0070292F">
        <w:rPr>
          <w:bCs/>
          <w:iCs/>
          <w:lang w:val="fr-FR"/>
        </w:rPr>
        <w:t>’</w:t>
      </w:r>
      <w:r w:rsidRPr="0070292F">
        <w:rPr>
          <w:bCs/>
          <w:iCs/>
          <w:lang w:val="fr-FR"/>
        </w:rPr>
        <w:t>être.</w:t>
      </w:r>
    </w:p>
    <w:p w:rsidR="005103F7" w:rsidRPr="0070292F" w:rsidRDefault="005103F7" w:rsidP="0070292F">
      <w:pPr>
        <w:pStyle w:val="OpiPara"/>
        <w:rPr>
          <w:bCs/>
          <w:iCs/>
          <w:lang w:val="fr-FR"/>
        </w:rPr>
      </w:pPr>
      <w:r w:rsidRPr="0070292F">
        <w:rPr>
          <w:bCs/>
          <w:iCs/>
          <w:lang w:val="fr-FR"/>
        </w:rPr>
        <w:lastRenderedPageBreak/>
        <w:t>22.  Au paragraphe 125 de l</w:t>
      </w:r>
      <w:r w:rsidR="0070292F" w:rsidRPr="0070292F">
        <w:rPr>
          <w:bCs/>
          <w:iCs/>
          <w:lang w:val="fr-FR"/>
        </w:rPr>
        <w:t>’</w:t>
      </w:r>
      <w:r w:rsidRPr="0070292F">
        <w:rPr>
          <w:bCs/>
          <w:iCs/>
          <w:lang w:val="fr-FR"/>
        </w:rPr>
        <w:t>arrêt, la majorité déclare que la loi en question n</w:t>
      </w:r>
      <w:r w:rsidR="0070292F" w:rsidRPr="0070292F">
        <w:rPr>
          <w:bCs/>
          <w:iCs/>
          <w:lang w:val="fr-FR"/>
        </w:rPr>
        <w:t>’</w:t>
      </w:r>
      <w:r w:rsidRPr="0070292F">
        <w:rPr>
          <w:bCs/>
          <w:iCs/>
          <w:lang w:val="fr-FR"/>
        </w:rPr>
        <w:t>était pas suffisamment claire et prévisible pour les « </w:t>
      </w:r>
      <w:r w:rsidRPr="0070292F">
        <w:rPr>
          <w:bCs/>
          <w:i/>
          <w:iCs/>
          <w:lang w:val="fr-FR"/>
        </w:rPr>
        <w:t>personnes auxquelles les mesures de prévention pouvaient être appliquées </w:t>
      </w:r>
      <w:r w:rsidRPr="0070292F">
        <w:rPr>
          <w:bCs/>
          <w:iCs/>
          <w:lang w:val="fr-FR"/>
        </w:rPr>
        <w:t>» (italique ajouté).</w:t>
      </w:r>
    </w:p>
    <w:p w:rsidR="005103F7" w:rsidRPr="0070292F" w:rsidRDefault="005103F7" w:rsidP="0070292F">
      <w:pPr>
        <w:pStyle w:val="OpiPara"/>
        <w:rPr>
          <w:bCs/>
          <w:iCs/>
          <w:lang w:val="fr-FR"/>
        </w:rPr>
      </w:pPr>
      <w:r w:rsidRPr="0070292F">
        <w:rPr>
          <w:bCs/>
          <w:iCs/>
          <w:lang w:val="fr-FR"/>
        </w:rPr>
        <w:t xml:space="preserve">On pourrait poser cette question : en disant « pouvaient être appliquées », veut-elle </w:t>
      </w:r>
      <w:r w:rsidRPr="0070292F">
        <w:rPr>
          <w:bCs/>
          <w:i/>
          <w:iCs/>
          <w:lang w:val="fr-FR"/>
        </w:rPr>
        <w:t>aussi</w:t>
      </w:r>
      <w:r w:rsidRPr="0070292F">
        <w:rPr>
          <w:bCs/>
          <w:iCs/>
          <w:lang w:val="fr-FR"/>
        </w:rPr>
        <w:t xml:space="preserve"> dire </w:t>
      </w:r>
      <w:r w:rsidRPr="0070292F">
        <w:rPr>
          <w:bCs/>
          <w:i/>
          <w:iCs/>
          <w:lang w:val="fr-FR"/>
        </w:rPr>
        <w:t>au requérant </w:t>
      </w:r>
      <w:r w:rsidRPr="0070292F">
        <w:rPr>
          <w:bCs/>
          <w:iCs/>
          <w:lang w:val="fr-FR"/>
        </w:rPr>
        <w:t>?!</w:t>
      </w:r>
    </w:p>
    <w:p w:rsidR="005103F7" w:rsidRPr="0070292F" w:rsidRDefault="005103F7" w:rsidP="0070292F">
      <w:pPr>
        <w:pStyle w:val="OpiPara"/>
        <w:rPr>
          <w:bCs/>
          <w:iCs/>
          <w:lang w:val="fr-FR"/>
        </w:rPr>
      </w:pPr>
      <w:r w:rsidRPr="0070292F">
        <w:rPr>
          <w:bCs/>
          <w:iCs/>
          <w:lang w:val="fr-FR"/>
        </w:rPr>
        <w:t>Je crains que la réponse à cette question, comme le donne à penser le raisonnement de la majorité, soit tout sauf optimiste.</w:t>
      </w:r>
    </w:p>
    <w:p w:rsidR="00E33800" w:rsidRPr="0070292F" w:rsidRDefault="00E33800" w:rsidP="0070292F">
      <w:pPr>
        <w:ind w:firstLine="284"/>
        <w:rPr>
          <w:lang w:val="fr-FR"/>
        </w:rPr>
      </w:pPr>
    </w:p>
    <w:sectPr w:rsidR="00E33800" w:rsidRPr="0070292F">
      <w:headerReference w:type="even" r:id="rId42"/>
      <w:headerReference w:type="default" r:id="rId43"/>
      <w:footerReference w:type="even" r:id="rId44"/>
      <w:footerReference w:type="default" r:id="rId45"/>
      <w:headerReference w:type="first" r:id="rId46"/>
      <w:footerReference w:type="first" r:id="rId47"/>
      <w:footnotePr>
        <w:numRestart w:val="eachSect"/>
      </w:footnotePr>
      <w:pgSz w:w="11906" w:h="16838" w:code="9"/>
      <w:pgMar w:top="2274" w:right="2274" w:bottom="2274" w:left="2274" w:header="1701"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AAF" w:rsidRDefault="00D94AAF" w:rsidP="00E77CB3">
      <w:r>
        <w:separator/>
      </w:r>
    </w:p>
  </w:endnote>
  <w:endnote w:type="continuationSeparator" w:id="0">
    <w:p w:rsidR="00D94AAF" w:rsidRDefault="00D94AAF" w:rsidP="00E7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74" w:rsidRPr="00150BFA" w:rsidRDefault="00227D74" w:rsidP="00227D74">
    <w:pPr>
      <w:jc w:val="center"/>
    </w:pPr>
    <w:r>
      <w:rPr>
        <w:noProof/>
        <w:lang w:val="it-IT" w:eastAsia="it-IT"/>
      </w:rPr>
      <w:drawing>
        <wp:inline distT="0" distB="0" distL="0" distR="0" wp14:anchorId="18B09E6D" wp14:editId="4ABA7AE9">
          <wp:extent cx="771525" cy="619125"/>
          <wp:effectExtent l="0" t="0" r="9525" b="9525"/>
          <wp:docPr id="4" name="Picture 4"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227D74" w:rsidRPr="00F27D13" w:rsidRDefault="00227D74" w:rsidP="00227D74">
    <w:pPr>
      <w:pStyle w:val="Pidipagina"/>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74" w:rsidRDefault="00227D7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74" w:rsidRDefault="00227D74">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74" w:rsidRDefault="00227D74">
    <w:pPr>
      <w:pStyle w:val="Pidipa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74" w:rsidRDefault="00227D74">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74" w:rsidRDefault="00227D74">
    <w:pPr>
      <w:pStyle w:val="Pidipa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74" w:rsidRDefault="00227D7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AAF" w:rsidRDefault="00D94AAF" w:rsidP="00E77CB3">
      <w:r>
        <w:separator/>
      </w:r>
    </w:p>
  </w:footnote>
  <w:footnote w:type="continuationSeparator" w:id="0">
    <w:p w:rsidR="00D94AAF" w:rsidRDefault="00D94AAF" w:rsidP="00E77CB3">
      <w:r>
        <w:continuationSeparator/>
      </w:r>
    </w:p>
  </w:footnote>
  <w:footnote w:id="1">
    <w:p w:rsidR="00227D74" w:rsidRPr="0012540E" w:rsidRDefault="00227D74" w:rsidP="000A0183">
      <w:pPr>
        <w:pStyle w:val="Testonotaapidipagina"/>
        <w:rPr>
          <w:lang w:val="fr-FR"/>
        </w:rPr>
      </w:pPr>
      <w:r w:rsidRPr="002E0B78">
        <w:footnoteRef/>
      </w:r>
      <w:r>
        <w:rPr>
          <w:lang w:val="fr-FR"/>
        </w:rPr>
        <w:t>.  </w:t>
      </w:r>
      <w:r w:rsidRPr="0012540E">
        <w:rPr>
          <w:rFonts w:ascii="Times New Roman" w:eastAsia="MS Mincho" w:hAnsi="Times New Roman" w:cs="Times New Roman"/>
          <w:lang w:val="fr-FR" w:eastAsia="ja-JP"/>
        </w:rPr>
        <w:t>Allemagne, Arménie, Azerbaïdjan, Belgique, Bosnie</w:t>
      </w:r>
      <w:r>
        <w:rPr>
          <w:rFonts w:ascii="Times New Roman" w:eastAsia="MS Mincho" w:hAnsi="Times New Roman" w:cs="Times New Roman"/>
          <w:lang w:val="fr-FR" w:eastAsia="ja-JP"/>
        </w:rPr>
        <w:t>-</w:t>
      </w:r>
      <w:r w:rsidRPr="0012540E">
        <w:rPr>
          <w:rFonts w:ascii="Times New Roman" w:eastAsia="MS Mincho" w:hAnsi="Times New Roman" w:cs="Times New Roman"/>
          <w:lang w:val="fr-FR" w:eastAsia="ja-JP"/>
        </w:rPr>
        <w:t>Herzégovine, Bulgarie, Croatie, Espagne, Estonie, Finlande, Géorgie, Hongrie, Irlande, Lettonie, Lituanie, Luxembourg, ex-République yougoslave de Macédoine, Malte, Moldova, Monténégro, Pologne, Portugal, République tchèque, Roumanie, Serbie, Slovaquie, Slovénie, Turquie et Ukraine.</w:t>
      </w:r>
    </w:p>
  </w:footnote>
  <w:footnote w:id="2">
    <w:p w:rsidR="00227D74" w:rsidRPr="00183927" w:rsidRDefault="00227D74" w:rsidP="003D30C1">
      <w:pPr>
        <w:pStyle w:val="Testonotaapidipagina"/>
        <w:rPr>
          <w:lang w:val="fr-FR"/>
        </w:rPr>
      </w:pPr>
      <w:r w:rsidRPr="00183927">
        <w:footnoteRef/>
      </w:r>
      <w:r w:rsidR="00183927">
        <w:rPr>
          <w:lang w:val="fr-FR"/>
        </w:rPr>
        <w:t>.</w:t>
      </w:r>
      <w:r w:rsidRPr="00183927">
        <w:rPr>
          <w:lang w:val="fr-FR"/>
        </w:rPr>
        <w:t>  En 2011 est entré en vigueur le nouveau « code antimafia », qui rassemble la législation relative à la lutte contre la mafia et les mesures de prévention personnelles et patrimoniales, et qui a abrogé la loi nº 1423/1956.</w:t>
      </w:r>
    </w:p>
  </w:footnote>
  <w:footnote w:id="3">
    <w:p w:rsidR="00227D74" w:rsidRPr="00BF0058" w:rsidRDefault="00227D74" w:rsidP="003D30C1">
      <w:pPr>
        <w:pStyle w:val="Testonotaapidipagina"/>
        <w:tabs>
          <w:tab w:val="left" w:pos="5529"/>
        </w:tabs>
        <w:rPr>
          <w:lang w:val="fr-FR"/>
        </w:rPr>
      </w:pPr>
      <w:r w:rsidRPr="006D76A5">
        <w:rPr>
          <w:rStyle w:val="Rimandonotaapidipagina"/>
          <w:vertAlign w:val="baseline"/>
        </w:rPr>
        <w:footnoteRef/>
      </w:r>
      <w:r w:rsidRPr="006D76A5">
        <w:rPr>
          <w:lang w:val="fr-FR"/>
        </w:rPr>
        <w:t>.</w:t>
      </w:r>
      <w:r w:rsidRPr="00060EDC">
        <w:rPr>
          <w:lang w:val="fr-FR"/>
        </w:rPr>
        <w:t>  </w:t>
      </w:r>
      <w:r w:rsidRPr="00BF0058">
        <w:rPr>
          <w:lang w:val="fr-FR"/>
        </w:rPr>
        <w:t xml:space="preserve">Le silence des pères fondateurs de la République italienne était </w:t>
      </w:r>
      <w:r>
        <w:rPr>
          <w:lang w:val="fr-FR"/>
        </w:rPr>
        <w:t>intentionnel.</w:t>
      </w:r>
      <w:r w:rsidRPr="00BF0058">
        <w:rPr>
          <w:lang w:val="fr-FR"/>
        </w:rPr>
        <w:t xml:space="preserve"> Ils avaient </w:t>
      </w:r>
      <w:r>
        <w:rPr>
          <w:lang w:val="fr-FR"/>
        </w:rPr>
        <w:t xml:space="preserve">en mémoire l’usage que le régime </w:t>
      </w:r>
      <w:r w:rsidRPr="00BF0058">
        <w:rPr>
          <w:lang w:val="fr-FR"/>
        </w:rPr>
        <w:t xml:space="preserve">fasciste </w:t>
      </w:r>
      <w:r>
        <w:rPr>
          <w:lang w:val="fr-FR"/>
        </w:rPr>
        <w:t>avait fait de ces mesures comme</w:t>
      </w:r>
      <w:r w:rsidRPr="00BF0058">
        <w:rPr>
          <w:lang w:val="fr-FR"/>
        </w:rPr>
        <w:t xml:space="preserve"> instrument </w:t>
      </w:r>
      <w:r>
        <w:rPr>
          <w:lang w:val="fr-FR"/>
        </w:rPr>
        <w:t>de répression politique</w:t>
      </w:r>
      <w:r w:rsidRPr="00BF0058">
        <w:rPr>
          <w:lang w:val="fr-FR"/>
        </w:rPr>
        <w:t xml:space="preserve"> (Fiandaca, </w:t>
      </w:r>
      <w:r w:rsidRPr="00130D4B">
        <w:rPr>
          <w:lang w:val="fr-FR"/>
        </w:rPr>
        <w:t>« Misure di prevenzione (fondamenti costituzionali)</w:t>
      </w:r>
      <w:r w:rsidRPr="00BF0058">
        <w:rPr>
          <w:lang w:val="fr-FR"/>
        </w:rPr>
        <w:t xml:space="preserve"> », </w:t>
      </w:r>
      <w:r w:rsidRPr="00BF0058">
        <w:rPr>
          <w:i/>
          <w:lang w:val="fr-FR"/>
        </w:rPr>
        <w:t>Dig. Pub</w:t>
      </w:r>
      <w:r w:rsidRPr="00BF0058">
        <w:rPr>
          <w:lang w:val="fr-FR"/>
        </w:rPr>
        <w:t xml:space="preserve">., IX, 1994, </w:t>
      </w:r>
      <w:r w:rsidRPr="00130D4B">
        <w:rPr>
          <w:lang w:val="fr-FR"/>
        </w:rPr>
        <w:t xml:space="preserve">et </w:t>
      </w:r>
      <w:r w:rsidRPr="00752ED1">
        <w:rPr>
          <w:i/>
          <w:lang w:val="fr-FR"/>
        </w:rPr>
        <w:t>voce</w:t>
      </w:r>
      <w:r w:rsidRPr="00BF0058">
        <w:rPr>
          <w:lang w:val="fr-FR"/>
        </w:rPr>
        <w:t xml:space="preserve"> </w:t>
      </w:r>
      <w:r w:rsidRPr="00130D4B">
        <w:rPr>
          <w:lang w:val="fr-FR"/>
        </w:rPr>
        <w:t>« Misure di prevenzione</w:t>
      </w:r>
      <w:r w:rsidRPr="00BF0058">
        <w:rPr>
          <w:i/>
          <w:lang w:val="fr-FR"/>
        </w:rPr>
        <w:t> »</w:t>
      </w:r>
      <w:r w:rsidRPr="00BF0058">
        <w:rPr>
          <w:lang w:val="fr-FR"/>
        </w:rPr>
        <w:t xml:space="preserve">, </w:t>
      </w:r>
      <w:r w:rsidRPr="00BF0058">
        <w:rPr>
          <w:i/>
          <w:lang w:val="fr-FR"/>
        </w:rPr>
        <w:t>Digesto delle Discipline Penalistiche</w:t>
      </w:r>
      <w:r w:rsidRPr="00BF0058">
        <w:rPr>
          <w:lang w:val="fr-FR"/>
        </w:rPr>
        <w:t xml:space="preserve">, </w:t>
      </w:r>
      <w:r w:rsidRPr="005A602E">
        <w:rPr>
          <w:lang w:val="fr-FR"/>
        </w:rPr>
        <w:t>Turin, 1994</w:t>
      </w:r>
      <w:r>
        <w:rPr>
          <w:lang w:val="fr-FR"/>
        </w:rPr>
        <w:t> ;</w:t>
      </w:r>
      <w:r w:rsidRPr="005A602E">
        <w:rPr>
          <w:lang w:val="fr-FR"/>
        </w:rPr>
        <w:t xml:space="preserve"> Barile, </w:t>
      </w:r>
      <w:r w:rsidRPr="005A602E">
        <w:rPr>
          <w:i/>
          <w:lang w:val="fr-FR"/>
        </w:rPr>
        <w:t>Diritto dell’uomo e libertà fondamentali</w:t>
      </w:r>
      <w:r w:rsidRPr="005A602E">
        <w:rPr>
          <w:lang w:val="fr-FR"/>
        </w:rPr>
        <w:t xml:space="preserve">, Bologne, </w:t>
      </w:r>
      <w:r w:rsidRPr="00630A62">
        <w:rPr>
          <w:lang w:val="fr-FR"/>
        </w:rPr>
        <w:t xml:space="preserve">1984 ; Amato, « Commento all’ art.13 », Branca (éd.), </w:t>
      </w:r>
      <w:r w:rsidRPr="00630A62">
        <w:rPr>
          <w:i/>
          <w:lang w:val="fr-FR"/>
        </w:rPr>
        <w:t>Commentario della Costituzione</w:t>
      </w:r>
      <w:r w:rsidRPr="00630A62">
        <w:rPr>
          <w:lang w:val="fr-FR"/>
        </w:rPr>
        <w:t>,</w:t>
      </w:r>
      <w:r w:rsidRPr="005A602E">
        <w:rPr>
          <w:lang w:val="fr-FR"/>
        </w:rPr>
        <w:t xml:space="preserve"> Bologne</w:t>
      </w:r>
      <w:r w:rsidRPr="00BF0058">
        <w:rPr>
          <w:lang w:val="fr-FR"/>
        </w:rPr>
        <w:t>, 1977).</w:t>
      </w:r>
    </w:p>
  </w:footnote>
  <w:footnote w:id="4">
    <w:p w:rsidR="00227D74" w:rsidRPr="00D5051E" w:rsidRDefault="00227D74" w:rsidP="003D30C1">
      <w:pPr>
        <w:pStyle w:val="Testonotaapidipagina"/>
        <w:rPr>
          <w:lang w:val="fr-FR"/>
        </w:rPr>
      </w:pPr>
      <w:r w:rsidRPr="006D76A5">
        <w:rPr>
          <w:rStyle w:val="Rimandonotaapidipagina"/>
          <w:vertAlign w:val="baseline"/>
        </w:rPr>
        <w:footnoteRef/>
      </w:r>
      <w:r w:rsidRPr="00843343">
        <w:rPr>
          <w:lang w:val="fr-FR"/>
        </w:rPr>
        <w:t>.  </w:t>
      </w:r>
      <w:r>
        <w:rPr>
          <w:lang w:val="fr-FR"/>
        </w:rPr>
        <w:t>Voir l’arrêt de la Cour c</w:t>
      </w:r>
      <w:r w:rsidRPr="00D5051E">
        <w:rPr>
          <w:lang w:val="fr-FR"/>
        </w:rPr>
        <w:t>onstitutionnelle italienne n</w:t>
      </w:r>
      <w:r w:rsidRPr="00D5051E">
        <w:rPr>
          <w:vertAlign w:val="superscript"/>
          <w:lang w:val="fr-FR"/>
        </w:rPr>
        <w:t>o</w:t>
      </w:r>
      <w:r w:rsidRPr="00D5051E">
        <w:rPr>
          <w:lang w:val="fr-FR"/>
        </w:rPr>
        <w:t xml:space="preserve"> 23 de 1964</w:t>
      </w:r>
      <w:r>
        <w:rPr>
          <w:lang w:val="fr-FR"/>
        </w:rPr>
        <w:t xml:space="preserve">, qui a rejeté la question de la légitimité constitutionnelle de l’article </w:t>
      </w:r>
      <w:r w:rsidRPr="00D5051E">
        <w:rPr>
          <w:lang w:val="fr-FR"/>
        </w:rPr>
        <w:t xml:space="preserve">1 de la loi de 1956 </w:t>
      </w:r>
      <w:r w:rsidRPr="00E85FD9">
        <w:rPr>
          <w:lang w:val="fr-FR"/>
        </w:rPr>
        <w:t xml:space="preserve">en </w:t>
      </w:r>
      <w:r>
        <w:rPr>
          <w:lang w:val="fr-FR"/>
        </w:rPr>
        <w:t xml:space="preserve">se </w:t>
      </w:r>
      <w:r w:rsidRPr="00E85FD9">
        <w:rPr>
          <w:lang w:val="fr-FR"/>
        </w:rPr>
        <w:t>référ</w:t>
      </w:r>
      <w:r>
        <w:rPr>
          <w:lang w:val="fr-FR"/>
        </w:rPr>
        <w:t xml:space="preserve">ant </w:t>
      </w:r>
      <w:r w:rsidRPr="00E85FD9">
        <w:rPr>
          <w:lang w:val="fr-FR"/>
        </w:rPr>
        <w:t>aux</w:t>
      </w:r>
      <w:r>
        <w:rPr>
          <w:lang w:val="fr-FR"/>
        </w:rPr>
        <w:t xml:space="preserve"> </w:t>
      </w:r>
      <w:r w:rsidRPr="00D5051E">
        <w:rPr>
          <w:lang w:val="fr-FR"/>
        </w:rPr>
        <w:t xml:space="preserve">articles 13, 25 </w:t>
      </w:r>
      <w:r>
        <w:rPr>
          <w:lang w:val="fr-FR"/>
        </w:rPr>
        <w:t xml:space="preserve">et </w:t>
      </w:r>
      <w:r w:rsidRPr="00D5051E">
        <w:rPr>
          <w:lang w:val="fr-FR"/>
        </w:rPr>
        <w:t xml:space="preserve">27 </w:t>
      </w:r>
      <w:r>
        <w:rPr>
          <w:lang w:val="fr-FR"/>
        </w:rPr>
        <w:t xml:space="preserve">de la </w:t>
      </w:r>
      <w:r w:rsidRPr="00D5051E">
        <w:rPr>
          <w:lang w:val="fr-FR"/>
        </w:rPr>
        <w:t>Constitution</w:t>
      </w:r>
      <w:r>
        <w:rPr>
          <w:lang w:val="fr-FR"/>
        </w:rPr>
        <w:t xml:space="preserve"> italienne</w:t>
      </w:r>
      <w:r w:rsidRPr="00D5051E">
        <w:rPr>
          <w:lang w:val="fr-FR"/>
        </w:rPr>
        <w:t>.</w:t>
      </w:r>
    </w:p>
  </w:footnote>
  <w:footnote w:id="5">
    <w:p w:rsidR="00227D74" w:rsidRPr="00BB5D45" w:rsidRDefault="00227D74" w:rsidP="003D30C1">
      <w:pPr>
        <w:pStyle w:val="Testonotaapidipagina"/>
        <w:rPr>
          <w:lang w:val="it-IT"/>
        </w:rPr>
      </w:pPr>
      <w:r w:rsidRPr="006D76A5">
        <w:rPr>
          <w:rStyle w:val="Rimandonotaapidipagina"/>
          <w:vertAlign w:val="baseline"/>
        </w:rPr>
        <w:footnoteRef/>
      </w:r>
      <w:r w:rsidRPr="006D76A5">
        <w:rPr>
          <w:lang w:val="it-IT"/>
        </w:rPr>
        <w:t>.  L’intégralité du passage pertinent de l’arrêt de 1964 se lit ainsi : « </w:t>
      </w:r>
      <w:r w:rsidRPr="006D76A5">
        <w:rPr>
          <w:i/>
          <w:lang w:val="it-IT"/>
        </w:rPr>
        <w:t>nella descrizione delle</w:t>
      </w:r>
      <w:r w:rsidRPr="00BB5D45">
        <w:rPr>
          <w:i/>
          <w:lang w:val="it-IT"/>
        </w:rPr>
        <w:t xml:space="preserve"> fattispecie (di prevenzione) il legislatore debba normalmente procedere con diversi criteri da quelli con cui procede nella determinazione degli elementi costitutivi di una figura criminosa, e possa far riferimento anche a elementi presuntivi, corrispondenti, per</w:t>
      </w:r>
      <w:r w:rsidRPr="00BB5D45">
        <w:rPr>
          <w:rFonts w:cstheme="minorHAnsi"/>
          <w:i/>
          <w:lang w:val="it-IT"/>
        </w:rPr>
        <w:t>ò</w:t>
      </w:r>
      <w:r w:rsidRPr="00BB5D45">
        <w:rPr>
          <w:i/>
          <w:lang w:val="it-IT"/>
        </w:rPr>
        <w:t>, sempre, a comportamenti obiettivamente identificabili. Il che non vuol dire minor rigore, ma diverso rigore nella previsione e nella adozione delle misure di prevenzione rispetto alla previsione dei reati e dalla irrogazione delle pene</w:t>
      </w:r>
      <w:r w:rsidRPr="00BB5D45">
        <w:rPr>
          <w:lang w:val="it-IT"/>
        </w:rPr>
        <w:t>. »</w:t>
      </w:r>
    </w:p>
  </w:footnote>
  <w:footnote w:id="6">
    <w:p w:rsidR="00227D74" w:rsidRPr="007C5587" w:rsidRDefault="00227D74" w:rsidP="003D30C1">
      <w:pPr>
        <w:pStyle w:val="Testonotaapidipagina"/>
        <w:rPr>
          <w:b/>
          <w:lang w:val="it-IT"/>
        </w:rPr>
      </w:pPr>
      <w:r w:rsidRPr="006D76A5">
        <w:rPr>
          <w:rStyle w:val="Rimandonotaapidipagina"/>
          <w:vertAlign w:val="baseline"/>
        </w:rPr>
        <w:footnoteRef/>
      </w:r>
      <w:r w:rsidRPr="006D76A5">
        <w:rPr>
          <w:lang w:val="it-IT"/>
        </w:rPr>
        <w:t>.  Concernant les alinéas 2, 3 et 4 de l’article 1 de la loi de 1956, l’arrêt de la Cour</w:t>
      </w:r>
      <w:r w:rsidRPr="00BB5D45">
        <w:rPr>
          <w:lang w:val="it-IT"/>
        </w:rPr>
        <w:t xml:space="preserve"> constitutionnelle n</w:t>
      </w:r>
      <w:r w:rsidRPr="00BB5D45">
        <w:rPr>
          <w:vertAlign w:val="superscript"/>
          <w:lang w:val="it-IT"/>
        </w:rPr>
        <w:t>o</w:t>
      </w:r>
      <w:r w:rsidRPr="00BB5D45">
        <w:rPr>
          <w:lang w:val="it-IT"/>
        </w:rPr>
        <w:t xml:space="preserve"> 23 de 1964 a exclu la possibilité que « </w:t>
      </w:r>
      <w:r w:rsidRPr="00BB5D45">
        <w:rPr>
          <w:i/>
          <w:lang w:val="it-IT"/>
        </w:rPr>
        <w:t>le misure di prevenzione possano essere adottate sul fondamento di semplici sospetti</w:t>
      </w:r>
      <w:r w:rsidRPr="00BB5D45">
        <w:rPr>
          <w:lang w:val="it-IT"/>
        </w:rPr>
        <w:t> »,</w:t>
      </w:r>
      <w:r w:rsidRPr="00BB5D45">
        <w:rPr>
          <w:i/>
          <w:lang w:val="it-IT"/>
        </w:rPr>
        <w:t xml:space="preserve"> </w:t>
      </w:r>
      <w:r w:rsidRPr="00BB5D45">
        <w:rPr>
          <w:lang w:val="it-IT"/>
        </w:rPr>
        <w:t>exigeant que</w:t>
      </w:r>
      <w:r w:rsidRPr="00BB5D45">
        <w:rPr>
          <w:i/>
          <w:lang w:val="it-IT"/>
        </w:rPr>
        <w:t xml:space="preserve"> </w:t>
      </w:r>
      <w:r w:rsidRPr="00BB5D45">
        <w:rPr>
          <w:lang w:val="it-IT"/>
        </w:rPr>
        <w:t>« </w:t>
      </w:r>
      <w:r w:rsidRPr="00BB5D45">
        <w:rPr>
          <w:i/>
          <w:lang w:val="it-IT"/>
        </w:rPr>
        <w:t>una oggettiva valutazione di fatti da cui risulti la condotta abituale e il tenore di vita della persona o che siano manifestazioni concrete della sua proclività al delitto, e siano state accertate in modo da escludere valutazioni puramente soggettive e incontrollabili da parte di chi promuove o applica le misure di prevenzione</w:t>
      </w:r>
      <w:r w:rsidRPr="00BB5D45">
        <w:rPr>
          <w:lang w:val="it-IT"/>
        </w:rPr>
        <w:t>. »</w:t>
      </w:r>
    </w:p>
  </w:footnote>
  <w:footnote w:id="7">
    <w:p w:rsidR="00227D74" w:rsidRPr="006D76A5" w:rsidRDefault="00227D74" w:rsidP="003D30C1">
      <w:pPr>
        <w:pStyle w:val="Testonotaapidipagina"/>
        <w:rPr>
          <w:lang w:val="fr-FR"/>
        </w:rPr>
      </w:pPr>
      <w:r w:rsidRPr="006D76A5">
        <w:rPr>
          <w:rStyle w:val="Rimandonotaapidipagina"/>
          <w:vertAlign w:val="baseline"/>
        </w:rPr>
        <w:footnoteRef/>
      </w:r>
      <w:r w:rsidRPr="006D76A5">
        <w:rPr>
          <w:lang w:val="fr-FR"/>
        </w:rPr>
        <w:t xml:space="preserve">.  Paragraphes 53-56 de l’arrêt. </w:t>
      </w:r>
    </w:p>
  </w:footnote>
  <w:footnote w:id="8">
    <w:p w:rsidR="00227D74" w:rsidRPr="00F46FEB" w:rsidRDefault="00227D74" w:rsidP="003D30C1">
      <w:pPr>
        <w:pStyle w:val="Testonotaapidipagina"/>
        <w:rPr>
          <w:lang w:val="fr-FR"/>
        </w:rPr>
      </w:pPr>
      <w:r w:rsidRPr="006D76A5">
        <w:rPr>
          <w:rStyle w:val="Rimandonotaapidipagina"/>
          <w:vertAlign w:val="baseline"/>
        </w:rPr>
        <w:footnoteRef/>
      </w:r>
      <w:r w:rsidRPr="006D76A5">
        <w:rPr>
          <w:lang w:val="fr-FR"/>
        </w:rPr>
        <w:t>.  </w:t>
      </w:r>
      <w:bookmarkStart w:id="94" w:name="File0"/>
      <w:r w:rsidRPr="006D76A5">
        <w:rPr>
          <w:i/>
          <w:lang w:val="fr-FR"/>
        </w:rPr>
        <w:t>Labita</w:t>
      </w:r>
      <w:bookmarkEnd w:id="94"/>
      <w:r w:rsidRPr="006D76A5">
        <w:rPr>
          <w:i/>
          <w:lang w:val="fr-FR"/>
        </w:rPr>
        <w:t xml:space="preserve"> c. Italie</w:t>
      </w:r>
      <w:r w:rsidRPr="006D76A5">
        <w:rPr>
          <w:lang w:val="fr-FR"/>
        </w:rPr>
        <w:t xml:space="preserve"> [GC], no 26772/95, § 195, CEDH 2000</w:t>
      </w:r>
      <w:r w:rsidRPr="006D76A5">
        <w:rPr>
          <w:lang w:val="fr-FR"/>
        </w:rPr>
        <w:noBreakHyphen/>
        <w:t xml:space="preserve">IV, </w:t>
      </w:r>
      <w:r w:rsidRPr="006D76A5">
        <w:rPr>
          <w:i/>
          <w:lang w:val="fr-FR"/>
        </w:rPr>
        <w:t>Raimondo c. Italie</w:t>
      </w:r>
      <w:r w:rsidRPr="006D76A5">
        <w:rPr>
          <w:lang w:val="fr-FR"/>
        </w:rPr>
        <w:t>, 22 février</w:t>
      </w:r>
      <w:r w:rsidRPr="008F161E">
        <w:rPr>
          <w:lang w:val="fr-FR"/>
        </w:rPr>
        <w:t xml:space="preserve"> 1994, § 39, série A n</w:t>
      </w:r>
      <w:r w:rsidRPr="008F161E">
        <w:rPr>
          <w:vertAlign w:val="superscript"/>
          <w:lang w:val="fr-FR"/>
        </w:rPr>
        <w:t>o</w:t>
      </w:r>
      <w:r w:rsidRPr="008F161E">
        <w:rPr>
          <w:lang w:val="fr-FR"/>
        </w:rPr>
        <w:t xml:space="preserve"> 281</w:t>
      </w:r>
      <w:r w:rsidRPr="008F161E">
        <w:rPr>
          <w:lang w:val="fr-FR"/>
        </w:rPr>
        <w:noBreakHyphen/>
        <w:t xml:space="preserve">A, et </w:t>
      </w:r>
      <w:r w:rsidRPr="008F161E">
        <w:rPr>
          <w:i/>
          <w:lang w:val="fr-FR"/>
        </w:rPr>
        <w:t>Ciancimino c. Italie</w:t>
      </w:r>
      <w:r w:rsidRPr="008F161E">
        <w:rPr>
          <w:lang w:val="fr-FR"/>
        </w:rPr>
        <w:t>, n</w:t>
      </w:r>
      <w:r w:rsidRPr="008F161E">
        <w:rPr>
          <w:vertAlign w:val="superscript"/>
          <w:lang w:val="fr-FR"/>
        </w:rPr>
        <w:t>o</w:t>
      </w:r>
      <w:r w:rsidRPr="008F161E">
        <w:rPr>
          <w:lang w:val="fr-FR"/>
        </w:rPr>
        <w:t> 12541/86, d</w:t>
      </w:r>
      <w:r>
        <w:rPr>
          <w:lang w:val="fr-FR"/>
        </w:rPr>
        <w:t>é</w:t>
      </w:r>
      <w:r w:rsidRPr="008F161E">
        <w:rPr>
          <w:lang w:val="fr-FR"/>
        </w:rPr>
        <w:t>cision de la Commission du 27 m</w:t>
      </w:r>
      <w:r>
        <w:rPr>
          <w:lang w:val="fr-FR"/>
        </w:rPr>
        <w:t>ai 1991, Dé</w:t>
      </w:r>
      <w:r w:rsidRPr="008F161E">
        <w:rPr>
          <w:lang w:val="fr-FR"/>
        </w:rPr>
        <w:t xml:space="preserve">cisions </w:t>
      </w:r>
      <w:r>
        <w:rPr>
          <w:lang w:val="fr-FR"/>
        </w:rPr>
        <w:t>et rap</w:t>
      </w:r>
      <w:r w:rsidRPr="008F161E">
        <w:rPr>
          <w:lang w:val="fr-FR"/>
        </w:rPr>
        <w:t xml:space="preserve">ports 70. Dans la jurisprudence interne, voir, </w:t>
      </w:r>
      <w:r w:rsidRPr="008C7515">
        <w:rPr>
          <w:lang w:val="fr-FR"/>
        </w:rPr>
        <w:t xml:space="preserve">par exemple, Cour de cassation, chambres réunies, 3 juillet 1996, </w:t>
      </w:r>
      <w:r w:rsidRPr="008C7515">
        <w:rPr>
          <w:i/>
          <w:lang w:val="fr-FR"/>
        </w:rPr>
        <w:t>Simonelli</w:t>
      </w:r>
      <w:r w:rsidRPr="008C7515">
        <w:rPr>
          <w:lang w:val="fr-FR"/>
        </w:rPr>
        <w:t>, et Cour de</w:t>
      </w:r>
      <w:r>
        <w:rPr>
          <w:lang w:val="fr-FR"/>
        </w:rPr>
        <w:t xml:space="preserve"> c</w:t>
      </w:r>
      <w:r w:rsidRPr="008F161E">
        <w:rPr>
          <w:lang w:val="fr-FR"/>
        </w:rPr>
        <w:t xml:space="preserve">assation, </w:t>
      </w:r>
      <w:r w:rsidRPr="00F46FEB">
        <w:rPr>
          <w:lang w:val="fr-FR"/>
        </w:rPr>
        <w:t>section I, 17 janvier 2008, n</w:t>
      </w:r>
      <w:r w:rsidRPr="00F46FEB">
        <w:rPr>
          <w:vertAlign w:val="superscript"/>
          <w:lang w:val="fr-FR"/>
        </w:rPr>
        <w:t>o</w:t>
      </w:r>
      <w:r w:rsidRPr="00F46FEB">
        <w:rPr>
          <w:lang w:val="fr-FR"/>
        </w:rPr>
        <w:t xml:space="preserve"> 6613. De 2005 à 2013, ces mesures de prévention ont été appliquées à 30 511 personnes, selon des statistiques figurant dans le dossier. Bien qu’il lui ait été demandé de fournir des informations sur le nombre de personnes de ce groupe qui avaient été acquittées à l’issue d’une procédure pénale, le Gouvernement n’a pas fourni les données requises.</w:t>
      </w:r>
    </w:p>
  </w:footnote>
  <w:footnote w:id="9">
    <w:p w:rsidR="00227D74" w:rsidRPr="006D76A5" w:rsidRDefault="00227D74" w:rsidP="003D30C1">
      <w:pPr>
        <w:pStyle w:val="Testonotaapidipagina"/>
        <w:rPr>
          <w:lang w:val="fr-FR"/>
        </w:rPr>
      </w:pPr>
      <w:r w:rsidRPr="006D76A5">
        <w:rPr>
          <w:rStyle w:val="Rimandonotaapidipagina"/>
          <w:vertAlign w:val="baseline"/>
        </w:rPr>
        <w:footnoteRef/>
      </w:r>
      <w:r w:rsidRPr="006D76A5">
        <w:rPr>
          <w:lang w:val="fr-FR"/>
        </w:rPr>
        <w:t xml:space="preserve">.  Cour de Cassation, section I, 28 avril 1995, </w:t>
      </w:r>
      <w:r w:rsidRPr="006D76A5">
        <w:rPr>
          <w:i/>
          <w:lang w:val="fr-FR"/>
        </w:rPr>
        <w:t>Lupo</w:t>
      </w:r>
      <w:r w:rsidRPr="006D76A5">
        <w:rPr>
          <w:lang w:val="fr-FR"/>
        </w:rPr>
        <w:t>.</w:t>
      </w:r>
    </w:p>
  </w:footnote>
  <w:footnote w:id="10">
    <w:p w:rsidR="00227D74" w:rsidRPr="008F161E" w:rsidRDefault="00227D74" w:rsidP="003D30C1">
      <w:pPr>
        <w:pStyle w:val="Testonotaapidipagina"/>
        <w:rPr>
          <w:lang w:val="fr-FR"/>
        </w:rPr>
      </w:pPr>
      <w:r w:rsidRPr="006D76A5">
        <w:rPr>
          <w:rStyle w:val="Rimandonotaapidipagina"/>
          <w:vertAlign w:val="baseline"/>
        </w:rPr>
        <w:footnoteRef/>
      </w:r>
      <w:r w:rsidRPr="006D76A5">
        <w:rPr>
          <w:lang w:val="fr-FR"/>
        </w:rPr>
        <w:t>.  </w:t>
      </w:r>
      <w:r w:rsidRPr="006D76A5">
        <w:rPr>
          <w:rFonts w:ascii="Times New Roman" w:hAnsi="Times New Roman" w:cs="Times New Roman"/>
          <w:i/>
          <w:color w:val="000000"/>
          <w:lang w:val="fr-FR"/>
        </w:rPr>
        <w:t>Labita</w:t>
      </w:r>
      <w:r w:rsidRPr="006D76A5">
        <w:rPr>
          <w:rFonts w:ascii="Times New Roman" w:hAnsi="Times New Roman" w:cs="Times New Roman"/>
          <w:color w:val="000000"/>
          <w:lang w:val="fr-FR"/>
        </w:rPr>
        <w:t xml:space="preserve">, précité, § 196, et </w:t>
      </w:r>
      <w:r w:rsidRPr="006D76A5">
        <w:rPr>
          <w:rFonts w:ascii="Times New Roman" w:hAnsi="Times New Roman" w:cs="Times New Roman"/>
          <w:i/>
          <w:color w:val="000000"/>
          <w:lang w:val="fr-FR"/>
        </w:rPr>
        <w:t>Ciancimino</w:t>
      </w:r>
      <w:r w:rsidRPr="006D76A5">
        <w:rPr>
          <w:rFonts w:ascii="Times New Roman" w:hAnsi="Times New Roman" w:cs="Times New Roman"/>
          <w:color w:val="000000"/>
          <w:lang w:val="fr-FR"/>
        </w:rPr>
        <w:t>, décision précitée.</w:t>
      </w:r>
      <w:r w:rsidRPr="006D76A5">
        <w:rPr>
          <w:sz w:val="24"/>
          <w:szCs w:val="22"/>
          <w:lang w:val="fr-FR"/>
        </w:rPr>
        <w:t xml:space="preserve"> </w:t>
      </w:r>
      <w:r w:rsidRPr="006D76A5">
        <w:rPr>
          <w:rFonts w:ascii="Times New Roman" w:hAnsi="Times New Roman" w:cs="Times New Roman"/>
          <w:color w:val="000000"/>
          <w:lang w:val="fr-FR"/>
        </w:rPr>
        <w:t>Dans la jurisprudence interne,</w:t>
      </w:r>
      <w:r w:rsidRPr="00F46FEB">
        <w:rPr>
          <w:rFonts w:ascii="Times New Roman" w:hAnsi="Times New Roman" w:cs="Times New Roman"/>
          <w:color w:val="000000"/>
          <w:lang w:val="fr-FR"/>
        </w:rPr>
        <w:t xml:space="preserve"> voir, par exemple, Cour de cassation, section II,</w:t>
      </w:r>
      <w:r w:rsidRPr="008F161E">
        <w:rPr>
          <w:rFonts w:ascii="Times New Roman" w:hAnsi="Times New Roman" w:cs="Times New Roman"/>
          <w:color w:val="000000"/>
          <w:lang w:val="fr-FR"/>
        </w:rPr>
        <w:t xml:space="preserve"> 20 </w:t>
      </w:r>
      <w:r>
        <w:rPr>
          <w:rFonts w:ascii="Times New Roman" w:hAnsi="Times New Roman" w:cs="Times New Roman"/>
          <w:color w:val="000000"/>
          <w:lang w:val="fr-FR"/>
        </w:rPr>
        <w:t>av</w:t>
      </w:r>
      <w:r w:rsidRPr="008F161E">
        <w:rPr>
          <w:rFonts w:ascii="Times New Roman" w:hAnsi="Times New Roman" w:cs="Times New Roman"/>
          <w:color w:val="000000"/>
          <w:lang w:val="fr-FR"/>
        </w:rPr>
        <w:t>ril 2013, n</w:t>
      </w:r>
      <w:r w:rsidRPr="008F161E">
        <w:rPr>
          <w:rFonts w:ascii="Times New Roman" w:hAnsi="Times New Roman" w:cs="Times New Roman"/>
          <w:color w:val="000000"/>
          <w:vertAlign w:val="superscript"/>
          <w:lang w:val="fr-FR"/>
        </w:rPr>
        <w:t>o</w:t>
      </w:r>
      <w:r w:rsidRPr="008F161E">
        <w:rPr>
          <w:rFonts w:ascii="Times New Roman" w:hAnsi="Times New Roman" w:cs="Times New Roman"/>
          <w:color w:val="000000"/>
          <w:lang w:val="fr-FR"/>
        </w:rPr>
        <w:t xml:space="preserve"> 26774.</w:t>
      </w:r>
    </w:p>
  </w:footnote>
  <w:footnote w:id="11">
    <w:p w:rsidR="00227D74" w:rsidRPr="00BB5D45" w:rsidRDefault="00227D74" w:rsidP="003D30C1">
      <w:pPr>
        <w:pStyle w:val="Testonotaapidipagina"/>
        <w:rPr>
          <w:lang w:val="it-IT"/>
        </w:rPr>
      </w:pPr>
      <w:r w:rsidRPr="006D76A5">
        <w:rPr>
          <w:rStyle w:val="Rimandonotaapidipagina"/>
          <w:vertAlign w:val="baseline"/>
        </w:rPr>
        <w:footnoteRef/>
      </w:r>
      <w:r w:rsidRPr="00BB5D45">
        <w:rPr>
          <w:lang w:val="it-IT"/>
        </w:rPr>
        <w:t xml:space="preserve">.  Corso, « Profili costituzionale delle misure di prevenzione: aspetti teorici e prospettivi di riforma », AA.VV., </w:t>
      </w:r>
      <w:r w:rsidRPr="00BB5D45">
        <w:rPr>
          <w:i/>
          <w:lang w:val="it-IT"/>
        </w:rPr>
        <w:t>La legge antimafia tre anni dopo</w:t>
      </w:r>
      <w:r w:rsidRPr="00BB5D45">
        <w:rPr>
          <w:lang w:val="it-IT"/>
        </w:rPr>
        <w:t>, Milan, 1986.</w:t>
      </w:r>
    </w:p>
  </w:footnote>
  <w:footnote w:id="12">
    <w:p w:rsidR="00227D74" w:rsidRPr="00F46FEB" w:rsidRDefault="00227D74" w:rsidP="003D30C1">
      <w:pPr>
        <w:pStyle w:val="Testonotaapidipagina"/>
        <w:rPr>
          <w:b/>
          <w:lang w:val="fr-FR"/>
        </w:rPr>
      </w:pPr>
      <w:r w:rsidRPr="006D76A5">
        <w:rPr>
          <w:rStyle w:val="Rimandonotaapidipagina"/>
          <w:vertAlign w:val="baseline"/>
        </w:rPr>
        <w:footnoteRef/>
      </w:r>
      <w:r w:rsidRPr="006D76A5">
        <w:rPr>
          <w:lang w:val="fr-FR"/>
        </w:rPr>
        <w:t>.</w:t>
      </w:r>
      <w:r w:rsidRPr="0035272E">
        <w:rPr>
          <w:lang w:val="fr-FR"/>
        </w:rPr>
        <w:t>  </w:t>
      </w:r>
      <w:r w:rsidRPr="002C0B76">
        <w:rPr>
          <w:lang w:val="fr-FR"/>
        </w:rPr>
        <w:t xml:space="preserve">Voir, parmi beaucoup d’autres, Cour de </w:t>
      </w:r>
      <w:r>
        <w:rPr>
          <w:lang w:val="fr-FR"/>
        </w:rPr>
        <w:t>c</w:t>
      </w:r>
      <w:r w:rsidRPr="002C0B76">
        <w:rPr>
          <w:lang w:val="fr-FR"/>
        </w:rPr>
        <w:t xml:space="preserve">assation, </w:t>
      </w:r>
      <w:r>
        <w:rPr>
          <w:lang w:val="fr-FR"/>
        </w:rPr>
        <w:t>s</w:t>
      </w:r>
      <w:r w:rsidRPr="002C0B76">
        <w:rPr>
          <w:lang w:val="fr-FR"/>
        </w:rPr>
        <w:t xml:space="preserve">ection VI, 19 janvier 1999, </w:t>
      </w:r>
      <w:r w:rsidRPr="002C0B76">
        <w:rPr>
          <w:i/>
          <w:lang w:val="fr-FR"/>
        </w:rPr>
        <w:t>Consolato</w:t>
      </w:r>
      <w:r w:rsidRPr="002C0B76">
        <w:rPr>
          <w:lang w:val="fr-FR"/>
        </w:rPr>
        <w:t xml:space="preserve">, </w:t>
      </w:r>
      <w:r w:rsidRPr="00941EC3">
        <w:rPr>
          <w:lang w:val="fr-FR"/>
        </w:rPr>
        <w:t>qui précise que l’exigence de preuve de l’article</w:t>
      </w:r>
      <w:r w:rsidRPr="002C0B76">
        <w:rPr>
          <w:lang w:val="fr-FR"/>
        </w:rPr>
        <w:t xml:space="preserve"> 192 § 2 du code de procédure pénale</w:t>
      </w:r>
      <w:r>
        <w:rPr>
          <w:lang w:val="fr-FR"/>
        </w:rPr>
        <w:t xml:space="preserve"> </w:t>
      </w:r>
      <w:r w:rsidRPr="00F46FEB">
        <w:rPr>
          <w:lang w:val="fr-FR"/>
        </w:rPr>
        <w:t>ne s’applique</w:t>
      </w:r>
      <w:r>
        <w:rPr>
          <w:lang w:val="fr-FR"/>
        </w:rPr>
        <w:t xml:space="preserve"> pas dans </w:t>
      </w:r>
      <w:r w:rsidRPr="00F46FEB">
        <w:rPr>
          <w:lang w:val="fr-FR"/>
        </w:rPr>
        <w:t xml:space="preserve">une procédure </w:t>
      </w:r>
      <w:r>
        <w:rPr>
          <w:lang w:val="fr-FR"/>
        </w:rPr>
        <w:t>relative à l’</w:t>
      </w:r>
      <w:r w:rsidRPr="00F46FEB">
        <w:rPr>
          <w:lang w:val="fr-FR"/>
        </w:rPr>
        <w:t>application de mesures de prévention.</w:t>
      </w:r>
    </w:p>
  </w:footnote>
  <w:footnote w:id="13">
    <w:p w:rsidR="00227D74" w:rsidRPr="00BB5D45" w:rsidRDefault="00227D74" w:rsidP="003D30C1">
      <w:pPr>
        <w:pStyle w:val="Testonotaapidipagina"/>
        <w:rPr>
          <w:lang w:val="it-IT"/>
        </w:rPr>
      </w:pPr>
      <w:r w:rsidRPr="006D76A5">
        <w:rPr>
          <w:rStyle w:val="Rimandonotaapidipagina"/>
          <w:vertAlign w:val="baseline"/>
        </w:rPr>
        <w:footnoteRef/>
      </w:r>
      <w:r w:rsidRPr="00BB5D45">
        <w:rPr>
          <w:lang w:val="it-IT"/>
        </w:rPr>
        <w:t>.  Bricola, « </w:t>
      </w:r>
      <w:r w:rsidRPr="00BB5D45">
        <w:rPr>
          <w:iCs/>
          <w:lang w:val="it-IT"/>
        </w:rPr>
        <w:t>Forme di tutela « ante delictum » e profili costituzionali della prevenzione »</w:t>
      </w:r>
      <w:r w:rsidRPr="00BB5D45">
        <w:rPr>
          <w:lang w:val="it-IT"/>
        </w:rPr>
        <w:t xml:space="preserve">, AA.VV., </w:t>
      </w:r>
      <w:r w:rsidRPr="00BB5D45">
        <w:rPr>
          <w:i/>
          <w:iCs/>
          <w:lang w:val="it-IT"/>
        </w:rPr>
        <w:t>Le misure di prevenzione</w:t>
      </w:r>
      <w:r w:rsidRPr="00BB5D45">
        <w:rPr>
          <w:lang w:val="it-IT"/>
        </w:rPr>
        <w:t>, Atti del Convegno C.N.P.D.S., 26-28 avril 1974, Milan, 1975.</w:t>
      </w:r>
    </w:p>
  </w:footnote>
  <w:footnote w:id="14">
    <w:p w:rsidR="00227D74" w:rsidRPr="00BB5D45" w:rsidRDefault="00227D74" w:rsidP="003D30C1">
      <w:pPr>
        <w:pStyle w:val="Testonotaapidipagina"/>
        <w:rPr>
          <w:lang w:val="it-IT"/>
        </w:rPr>
      </w:pPr>
      <w:r w:rsidRPr="006D76A5">
        <w:rPr>
          <w:rStyle w:val="Rimandonotaapidipagina"/>
          <w:vertAlign w:val="baseline"/>
        </w:rPr>
        <w:footnoteRef/>
      </w:r>
      <w:r w:rsidRPr="00905F4B">
        <w:rPr>
          <w:lang w:val="fr-FR"/>
        </w:rPr>
        <w:t>.  </w:t>
      </w:r>
      <w:r w:rsidRPr="005A602E">
        <w:rPr>
          <w:lang w:val="fr-FR"/>
        </w:rPr>
        <w:t>Balbi, « Le Misure di Prevenzione Personali</w:t>
      </w:r>
      <w:r w:rsidRPr="005A602E">
        <w:rPr>
          <w:i/>
          <w:lang w:val="fr-FR"/>
        </w:rPr>
        <w:t> </w:t>
      </w:r>
      <w:r w:rsidRPr="005A602E">
        <w:rPr>
          <w:iCs/>
          <w:lang w:val="fr-FR"/>
        </w:rPr>
        <w:t>»</w:t>
      </w:r>
      <w:r w:rsidRPr="005A602E">
        <w:rPr>
          <w:lang w:val="fr-FR"/>
        </w:rPr>
        <w:t xml:space="preserve">, contribution </w:t>
      </w:r>
      <w:r w:rsidRPr="00287883">
        <w:rPr>
          <w:lang w:val="fr-FR"/>
        </w:rPr>
        <w:t>lors de la réunion</w:t>
      </w:r>
      <w:r w:rsidRPr="005A602E">
        <w:rPr>
          <w:lang w:val="fr-FR"/>
        </w:rPr>
        <w:t xml:space="preserve"> annuelle de l’Association italienne des professeurs de droit pénal, 18 novembre 2016, Milan, p. 5. </w:t>
      </w:r>
      <w:r w:rsidRPr="00BB5D45">
        <w:rPr>
          <w:lang w:val="it-IT"/>
        </w:rPr>
        <w:t xml:space="preserve">Voir aussi Gallo, « Misure di prevenzione », </w:t>
      </w:r>
      <w:r w:rsidRPr="00BB5D45">
        <w:rPr>
          <w:i/>
          <w:lang w:val="it-IT"/>
        </w:rPr>
        <w:t>Enc. Giur. Treccani</w:t>
      </w:r>
      <w:r w:rsidRPr="00BB5D45">
        <w:rPr>
          <w:lang w:val="it-IT"/>
        </w:rPr>
        <w:t xml:space="preserve">, Rome, 1990, vol. XX, et Guerrini </w:t>
      </w:r>
      <w:r w:rsidRPr="00BB5D45">
        <w:rPr>
          <w:i/>
          <w:lang w:val="it-IT"/>
        </w:rPr>
        <w:t>et al.</w:t>
      </w:r>
      <w:r w:rsidRPr="00BB5D45">
        <w:rPr>
          <w:lang w:val="it-IT"/>
        </w:rPr>
        <w:t xml:space="preserve">, </w:t>
      </w:r>
      <w:r w:rsidRPr="00BB5D45">
        <w:rPr>
          <w:i/>
          <w:lang w:val="it-IT"/>
        </w:rPr>
        <w:t>Le misure di prevenzione</w:t>
      </w:r>
      <w:r w:rsidRPr="00BB5D45">
        <w:rPr>
          <w:lang w:val="it-IT"/>
        </w:rPr>
        <w:t>, Padoue, 2004.</w:t>
      </w:r>
    </w:p>
  </w:footnote>
  <w:footnote w:id="15">
    <w:p w:rsidR="00227D74" w:rsidRPr="00BB5D45" w:rsidRDefault="00227D74" w:rsidP="003D30C1">
      <w:pPr>
        <w:rPr>
          <w:lang w:val="it-IT"/>
        </w:rPr>
      </w:pPr>
      <w:r w:rsidRPr="006D76A5">
        <w:rPr>
          <w:rStyle w:val="Rimandonotaapidipagina"/>
          <w:sz w:val="20"/>
          <w:szCs w:val="20"/>
          <w:vertAlign w:val="baseline"/>
        </w:rPr>
        <w:footnoteRef/>
      </w:r>
      <w:r w:rsidRPr="006D76A5">
        <w:rPr>
          <w:sz w:val="20"/>
          <w:szCs w:val="20"/>
          <w:lang w:val="it-IT"/>
        </w:rPr>
        <w:t>.</w:t>
      </w:r>
      <w:r w:rsidRPr="00BB5D45">
        <w:rPr>
          <w:sz w:val="20"/>
          <w:szCs w:val="20"/>
          <w:lang w:val="it-IT"/>
        </w:rPr>
        <w:t>  Voir, par exemple, l’article 644 du code pénal : « </w:t>
      </w:r>
      <w:r w:rsidRPr="00BB5D45">
        <w:rPr>
          <w:rFonts w:ascii="Times New Roman" w:hAnsi="Times New Roman" w:cs="Times New Roman"/>
          <w:i/>
          <w:sz w:val="20"/>
          <w:szCs w:val="20"/>
          <w:lang w:val="it-IT" w:eastAsia="fr-FR"/>
        </w:rPr>
        <w:t>Le pene per i fatti di cui al primo e secondo comma sono aumentate da un terzo alla metà: (…) se il reato è commesso da persona sottoposta con provvedimento definitivo alla misura di prevenzione della sorveglianza speciale durante il periodo previsto di applicazione e fino a tre anni dal momento in cui è cessata l’esecuzione</w:t>
      </w:r>
      <w:r w:rsidRPr="00BB5D45">
        <w:rPr>
          <w:rFonts w:ascii="Times New Roman" w:hAnsi="Times New Roman" w:cs="Times New Roman"/>
          <w:sz w:val="20"/>
          <w:szCs w:val="20"/>
          <w:lang w:val="it-IT" w:eastAsia="fr-FR"/>
        </w:rPr>
        <w:t>. »</w:t>
      </w:r>
    </w:p>
  </w:footnote>
  <w:footnote w:id="16">
    <w:p w:rsidR="00227D74" w:rsidRPr="0035272E" w:rsidRDefault="00227D74" w:rsidP="003D30C1">
      <w:pPr>
        <w:pStyle w:val="Testonotaapidipagina"/>
        <w:rPr>
          <w:lang w:val="fr-FR"/>
        </w:rPr>
      </w:pPr>
      <w:r w:rsidRPr="006D76A5">
        <w:rPr>
          <w:rStyle w:val="Rimandonotaapidipagina"/>
          <w:vertAlign w:val="baseline"/>
        </w:rPr>
        <w:footnoteRef/>
      </w:r>
      <w:r w:rsidRPr="006D76A5">
        <w:rPr>
          <w:lang w:val="fr-FR"/>
        </w:rPr>
        <w:t>. </w:t>
      </w:r>
      <w:r w:rsidRPr="0035272E">
        <w:rPr>
          <w:lang w:val="fr-FR"/>
        </w:rPr>
        <w:t> Balbi, précité, p. 12.</w:t>
      </w:r>
    </w:p>
  </w:footnote>
  <w:footnote w:id="17">
    <w:p w:rsidR="00227D74" w:rsidRPr="006D76A5" w:rsidRDefault="00227D74" w:rsidP="003D30C1">
      <w:pPr>
        <w:pStyle w:val="Testonotaapidipagina"/>
        <w:rPr>
          <w:lang w:val="fr-FR"/>
        </w:rPr>
      </w:pPr>
      <w:r w:rsidRPr="006D76A5">
        <w:rPr>
          <w:rStyle w:val="Rimandonotaapidipagina"/>
          <w:vertAlign w:val="baseline"/>
        </w:rPr>
        <w:footnoteRef/>
      </w:r>
      <w:r w:rsidRPr="006D76A5">
        <w:rPr>
          <w:lang w:val="fr-FR"/>
        </w:rPr>
        <w:t xml:space="preserve">.  Cour de cassation, section I, 10 février 2009, </w:t>
      </w:r>
      <w:r w:rsidRPr="006D76A5">
        <w:rPr>
          <w:i/>
          <w:lang w:val="fr-FR"/>
        </w:rPr>
        <w:t>M.M.</w:t>
      </w:r>
    </w:p>
  </w:footnote>
  <w:footnote w:id="18">
    <w:p w:rsidR="00227D74" w:rsidRPr="006D76A5" w:rsidRDefault="00227D74" w:rsidP="003D30C1">
      <w:pPr>
        <w:pStyle w:val="Testonotaapidipagina"/>
        <w:rPr>
          <w:lang w:val="fr-FR"/>
        </w:rPr>
      </w:pPr>
      <w:r w:rsidRPr="006D76A5">
        <w:rPr>
          <w:rStyle w:val="Rimandonotaapidipagina"/>
          <w:vertAlign w:val="baseline"/>
        </w:rPr>
        <w:footnoteRef/>
      </w:r>
      <w:r w:rsidRPr="006D76A5">
        <w:rPr>
          <w:lang w:val="fr-FR"/>
        </w:rPr>
        <w:t xml:space="preserve">.  Cour de cassation, section I, no 6285/97, </w:t>
      </w:r>
      <w:r w:rsidRPr="006D76A5">
        <w:rPr>
          <w:i/>
          <w:lang w:val="fr-FR"/>
        </w:rPr>
        <w:t>Capizzi</w:t>
      </w:r>
      <w:r w:rsidRPr="006D76A5">
        <w:rPr>
          <w:lang w:val="fr-FR"/>
        </w:rPr>
        <w:t>.</w:t>
      </w:r>
    </w:p>
  </w:footnote>
  <w:footnote w:id="19">
    <w:p w:rsidR="00227D74" w:rsidRPr="006D76A5" w:rsidRDefault="00227D74" w:rsidP="003D30C1">
      <w:pPr>
        <w:pStyle w:val="Testonotaapidipagina"/>
        <w:rPr>
          <w:lang w:val="fr-FR"/>
        </w:rPr>
      </w:pPr>
      <w:r w:rsidRPr="006D76A5">
        <w:rPr>
          <w:rStyle w:val="Rimandonotaapidipagina"/>
          <w:vertAlign w:val="baseline"/>
        </w:rPr>
        <w:footnoteRef/>
      </w:r>
      <w:r w:rsidRPr="006D76A5">
        <w:rPr>
          <w:lang w:val="fr-FR"/>
        </w:rPr>
        <w:t xml:space="preserve">.  Cour de cassation, section I, 16 avril 1998, </w:t>
      </w:r>
      <w:r w:rsidRPr="006D76A5">
        <w:rPr>
          <w:i/>
          <w:lang w:val="fr-FR"/>
        </w:rPr>
        <w:t>Castellano</w:t>
      </w:r>
      <w:r w:rsidRPr="006D76A5">
        <w:rPr>
          <w:lang w:val="fr-FR"/>
        </w:rPr>
        <w:t>.</w:t>
      </w:r>
    </w:p>
  </w:footnote>
  <w:footnote w:id="20">
    <w:p w:rsidR="00227D74" w:rsidRPr="006D76A5" w:rsidRDefault="00227D74" w:rsidP="003D30C1">
      <w:pPr>
        <w:pStyle w:val="Testonotaapidipagina"/>
        <w:rPr>
          <w:lang w:val="fr-FR"/>
        </w:rPr>
      </w:pPr>
      <w:r w:rsidRPr="006D76A5">
        <w:rPr>
          <w:rStyle w:val="Rimandonotaapidipagina"/>
          <w:vertAlign w:val="baseline"/>
        </w:rPr>
        <w:footnoteRef/>
      </w:r>
      <w:r w:rsidRPr="006D76A5">
        <w:rPr>
          <w:lang w:val="fr-FR"/>
        </w:rPr>
        <w:t xml:space="preserve">.  Cour de cassation, chambres réunies, 25 mars 1993, no 6, dep. 14 juillet 1993, imp. </w:t>
      </w:r>
      <w:r w:rsidRPr="006D76A5">
        <w:rPr>
          <w:i/>
          <w:lang w:val="fr-FR"/>
        </w:rPr>
        <w:t>Tumminelli</w:t>
      </w:r>
      <w:r w:rsidRPr="006D76A5">
        <w:rPr>
          <w:lang w:val="fr-FR"/>
        </w:rPr>
        <w:t>, Rv. 194062.</w:t>
      </w:r>
    </w:p>
  </w:footnote>
  <w:footnote w:id="21">
    <w:p w:rsidR="00227D74" w:rsidRPr="006D76A5" w:rsidRDefault="00227D74" w:rsidP="003D30C1">
      <w:pPr>
        <w:pStyle w:val="Testonotaapidipagina"/>
        <w:rPr>
          <w:lang w:val="fr-FR"/>
        </w:rPr>
      </w:pPr>
      <w:r w:rsidRPr="006D76A5">
        <w:rPr>
          <w:rStyle w:val="Rimandonotaapidipagina"/>
          <w:vertAlign w:val="baseline"/>
        </w:rPr>
        <w:footnoteRef/>
      </w:r>
      <w:r w:rsidRPr="006D76A5">
        <w:rPr>
          <w:lang w:val="fr-FR"/>
        </w:rPr>
        <w:t xml:space="preserve">.  La révocation de </w:t>
      </w:r>
      <w:r w:rsidRPr="006D76A5">
        <w:rPr>
          <w:i/>
          <w:lang w:val="fr-FR"/>
        </w:rPr>
        <w:t>misure cautelari</w:t>
      </w:r>
      <w:r w:rsidRPr="006D76A5">
        <w:rPr>
          <w:lang w:val="fr-FR"/>
        </w:rPr>
        <w:t xml:space="preserve"> pour absence des </w:t>
      </w:r>
      <w:r w:rsidRPr="006D76A5">
        <w:rPr>
          <w:i/>
          <w:lang w:val="fr-FR"/>
        </w:rPr>
        <w:t>gravi indizi</w:t>
      </w:r>
      <w:r w:rsidRPr="006D76A5">
        <w:rPr>
          <w:lang w:val="fr-FR"/>
        </w:rPr>
        <w:t xml:space="preserve"> de culpabilité requis par l’article 273 du code de procédure pénale ne s’oppose pas à l’application de </w:t>
      </w:r>
      <w:r w:rsidRPr="006D76A5">
        <w:rPr>
          <w:i/>
          <w:lang w:val="fr-FR"/>
        </w:rPr>
        <w:t>misure di prevenzione personali</w:t>
      </w:r>
      <w:r w:rsidRPr="006D76A5">
        <w:rPr>
          <w:lang w:val="fr-FR"/>
        </w:rPr>
        <w:t xml:space="preserve"> (Cour de cassation, section I, no 5760/99, </w:t>
      </w:r>
      <w:r w:rsidRPr="006D76A5">
        <w:rPr>
          <w:i/>
          <w:lang w:val="fr-FR"/>
        </w:rPr>
        <w:t>Iorio</w:t>
      </w:r>
      <w:r w:rsidRPr="006D76A5">
        <w:rPr>
          <w:lang w:val="fr-FR"/>
        </w:rPr>
        <w:t xml:space="preserve">). </w:t>
      </w:r>
    </w:p>
  </w:footnote>
  <w:footnote w:id="22">
    <w:p w:rsidR="00227D74" w:rsidRPr="006D76A5" w:rsidRDefault="00227D74" w:rsidP="003D30C1">
      <w:pPr>
        <w:pStyle w:val="Testonotaapidipagina"/>
        <w:rPr>
          <w:lang w:val="it-IT"/>
        </w:rPr>
      </w:pPr>
      <w:r w:rsidRPr="006D76A5">
        <w:rPr>
          <w:rStyle w:val="Rimandonotaapidipagina"/>
          <w:vertAlign w:val="baseline"/>
        </w:rPr>
        <w:footnoteRef/>
      </w:r>
      <w:r w:rsidRPr="006D76A5">
        <w:rPr>
          <w:lang w:val="it-IT"/>
        </w:rPr>
        <w:t>.  Balbi, précité, p. 17.</w:t>
      </w:r>
    </w:p>
  </w:footnote>
  <w:footnote w:id="23">
    <w:p w:rsidR="00227D74" w:rsidRPr="00BB5D45" w:rsidRDefault="00227D74" w:rsidP="003D30C1">
      <w:pPr>
        <w:pStyle w:val="Testonotaapidipagina"/>
        <w:rPr>
          <w:lang w:val="it-IT"/>
        </w:rPr>
      </w:pPr>
      <w:r w:rsidRPr="006D76A5">
        <w:rPr>
          <w:rStyle w:val="Rimandonotaapidipagina"/>
          <w:vertAlign w:val="baseline"/>
        </w:rPr>
        <w:footnoteRef/>
      </w:r>
      <w:r w:rsidRPr="006D76A5">
        <w:rPr>
          <w:lang w:val="it-IT"/>
        </w:rPr>
        <w:t>. </w:t>
      </w:r>
      <w:r w:rsidRPr="00BB5D45">
        <w:rPr>
          <w:lang w:val="it-IT"/>
        </w:rPr>
        <w:t xml:space="preserve"> Elia, </w:t>
      </w:r>
      <w:r w:rsidRPr="00BB5D45">
        <w:rPr>
          <w:i/>
          <w:lang w:val="it-IT"/>
        </w:rPr>
        <w:t>Libertà personale e misure di prevenzione</w:t>
      </w:r>
      <w:r w:rsidRPr="00BB5D45">
        <w:rPr>
          <w:lang w:val="it-IT"/>
        </w:rPr>
        <w:t xml:space="preserve">, Milan, 1962, et « Libertà personale tra l’articolo 13 e l’articolo 25 della Costituzione », </w:t>
      </w:r>
      <w:r w:rsidRPr="00BB5D45">
        <w:rPr>
          <w:i/>
          <w:lang w:val="it-IT"/>
        </w:rPr>
        <w:t>Giur. Cost</w:t>
      </w:r>
      <w:r w:rsidRPr="00BB5D45">
        <w:rPr>
          <w:lang w:val="it-IT"/>
        </w:rPr>
        <w:t xml:space="preserve">. 1964, Petrini, </w:t>
      </w:r>
      <w:r w:rsidRPr="00BB5D45">
        <w:rPr>
          <w:i/>
          <w:lang w:val="it-IT"/>
        </w:rPr>
        <w:t>La prevenzione inutilie. Illegittimità delle misure praeter delictum</w:t>
      </w:r>
      <w:r w:rsidRPr="00BB5D45">
        <w:rPr>
          <w:lang w:val="it-IT"/>
        </w:rPr>
        <w:t>, Naples, 1996, et Moccia, « La lotta alla criminalitá organizzata</w:t>
      </w:r>
      <w:r w:rsidRPr="00BB5D45">
        <w:rPr>
          <w:i/>
          <w:lang w:val="it-IT"/>
        </w:rPr>
        <w:t> </w:t>
      </w:r>
      <w:r w:rsidRPr="00BB5D45">
        <w:rPr>
          <w:lang w:val="it-IT"/>
        </w:rPr>
        <w:t xml:space="preserve">», Vallefuoco et Gialanella (éd.), </w:t>
      </w:r>
      <w:r w:rsidRPr="00BB5D45">
        <w:rPr>
          <w:i/>
          <w:lang w:val="it-IT"/>
        </w:rPr>
        <w:t>La difficile antimafia</w:t>
      </w:r>
      <w:r w:rsidRPr="00BB5D45">
        <w:rPr>
          <w:lang w:val="it-IT"/>
        </w:rPr>
        <w:t>, Rome, 2002.</w:t>
      </w:r>
    </w:p>
  </w:footnote>
  <w:footnote w:id="24">
    <w:p w:rsidR="00227D74" w:rsidRPr="0063078D" w:rsidRDefault="00227D74" w:rsidP="003D30C1">
      <w:pPr>
        <w:pStyle w:val="Testonotaapidipagina"/>
        <w:rPr>
          <w:lang w:val="it-IT"/>
        </w:rPr>
      </w:pPr>
      <w:r w:rsidRPr="006D76A5">
        <w:rPr>
          <w:rStyle w:val="Rimandonotaapidipagina"/>
          <w:vertAlign w:val="baseline"/>
        </w:rPr>
        <w:footnoteRef/>
      </w:r>
      <w:r w:rsidRPr="006D76A5">
        <w:rPr>
          <w:lang w:val="fr-FR"/>
        </w:rPr>
        <w:t>.</w:t>
      </w:r>
      <w:r w:rsidRPr="003C6974">
        <w:rPr>
          <w:lang w:val="fr-FR"/>
        </w:rPr>
        <w:t>  </w:t>
      </w:r>
      <w:r w:rsidRPr="00060EBD">
        <w:rPr>
          <w:lang w:val="fr-FR"/>
        </w:rPr>
        <w:t xml:space="preserve">Traduction : « Au commencement </w:t>
      </w:r>
      <w:r>
        <w:rPr>
          <w:lang w:val="fr-FR"/>
        </w:rPr>
        <w:t xml:space="preserve">était </w:t>
      </w:r>
      <w:r w:rsidRPr="00060EBD">
        <w:rPr>
          <w:lang w:val="fr-FR"/>
        </w:rPr>
        <w:t>le soupçon</w:t>
      </w:r>
      <w:r>
        <w:rPr>
          <w:lang w:val="fr-FR"/>
        </w:rPr>
        <w:t> </w:t>
      </w:r>
      <w:r w:rsidRPr="00060EBD">
        <w:rPr>
          <w:lang w:val="fr-FR"/>
        </w:rPr>
        <w:t xml:space="preserve">». L’expression </w:t>
      </w:r>
      <w:r>
        <w:rPr>
          <w:lang w:val="fr-FR"/>
        </w:rPr>
        <w:t>est issue</w:t>
      </w:r>
      <w:r w:rsidRPr="00060EBD">
        <w:rPr>
          <w:lang w:val="fr-FR"/>
        </w:rPr>
        <w:t xml:space="preserve"> de la proc</w:t>
      </w:r>
      <w:r>
        <w:rPr>
          <w:lang w:val="fr-FR"/>
        </w:rPr>
        <w:t>é</w:t>
      </w:r>
      <w:r w:rsidRPr="00060EBD">
        <w:rPr>
          <w:lang w:val="fr-FR"/>
        </w:rPr>
        <w:t xml:space="preserve">dure pénale médiévale. </w:t>
      </w:r>
      <w:r w:rsidRPr="0063078D">
        <w:rPr>
          <w:lang w:val="it-IT"/>
        </w:rPr>
        <w:t>Balbi, précité, p. 17.</w:t>
      </w:r>
    </w:p>
  </w:footnote>
  <w:footnote w:id="25">
    <w:p w:rsidR="00227D74" w:rsidRPr="00BB5D45" w:rsidRDefault="00227D74" w:rsidP="003D30C1">
      <w:pPr>
        <w:pStyle w:val="Testonotaapidipagina"/>
        <w:rPr>
          <w:lang w:val="it-IT"/>
        </w:rPr>
      </w:pPr>
      <w:r w:rsidRPr="006D76A5">
        <w:rPr>
          <w:rStyle w:val="Rimandonotaapidipagina"/>
          <w:vertAlign w:val="baseline"/>
        </w:rPr>
        <w:footnoteRef/>
      </w:r>
      <w:r w:rsidRPr="006D76A5">
        <w:rPr>
          <w:lang w:val="it-IT"/>
        </w:rPr>
        <w:t>.</w:t>
      </w:r>
      <w:r w:rsidRPr="00BB5D45">
        <w:rPr>
          <w:lang w:val="it-IT"/>
        </w:rPr>
        <w:t xml:space="preserve">  Amodio, « Il processo di prevenzione: l’illusione della giurisdizionalità », </w:t>
      </w:r>
      <w:r w:rsidRPr="00BB5D45">
        <w:rPr>
          <w:i/>
          <w:lang w:val="it-IT"/>
        </w:rPr>
        <w:t>Giust. pen</w:t>
      </w:r>
      <w:r w:rsidRPr="00BB5D45">
        <w:rPr>
          <w:lang w:val="it-IT"/>
        </w:rPr>
        <w:t>., 1975, III.</w:t>
      </w:r>
    </w:p>
  </w:footnote>
  <w:footnote w:id="26">
    <w:p w:rsidR="00227D74" w:rsidRPr="00BB5D45" w:rsidRDefault="00227D74" w:rsidP="003D30C1">
      <w:pPr>
        <w:pStyle w:val="Testonotaapidipagina"/>
        <w:rPr>
          <w:lang w:val="it-IT"/>
        </w:rPr>
      </w:pPr>
      <w:r w:rsidRPr="006D76A5">
        <w:rPr>
          <w:rStyle w:val="Rimandonotaapidipagina"/>
          <w:vertAlign w:val="baseline"/>
        </w:rPr>
        <w:footnoteRef/>
      </w:r>
      <w:r w:rsidRPr="006D76A5">
        <w:rPr>
          <w:lang w:val="fr-FR"/>
        </w:rPr>
        <w:t>.</w:t>
      </w:r>
      <w:r w:rsidRPr="003C6974">
        <w:rPr>
          <w:lang w:val="fr-FR"/>
        </w:rPr>
        <w:t>  </w:t>
      </w:r>
      <w:r w:rsidRPr="00620CFD">
        <w:rPr>
          <w:lang w:val="fr-FR"/>
        </w:rPr>
        <w:t xml:space="preserve">Traduction : « Au commencement </w:t>
      </w:r>
      <w:r>
        <w:rPr>
          <w:lang w:val="fr-FR"/>
        </w:rPr>
        <w:t>était l’acte</w:t>
      </w:r>
      <w:r w:rsidRPr="00620CFD">
        <w:rPr>
          <w:lang w:val="fr-FR"/>
        </w:rPr>
        <w:t xml:space="preserve"> ». </w:t>
      </w:r>
      <w:r w:rsidRPr="00BB5D45">
        <w:rPr>
          <w:lang w:val="it-IT"/>
        </w:rPr>
        <w:t xml:space="preserve">Bettiol, « Il problema penale », 1945, </w:t>
      </w:r>
      <w:r w:rsidRPr="00BB5D45">
        <w:rPr>
          <w:i/>
          <w:lang w:val="it-IT"/>
        </w:rPr>
        <w:t>Scritti giuridici</w:t>
      </w:r>
      <w:r w:rsidRPr="00BB5D45">
        <w:rPr>
          <w:lang w:val="it-IT"/>
        </w:rPr>
        <w:t>, I, p. 678.</w:t>
      </w:r>
    </w:p>
  </w:footnote>
  <w:footnote w:id="27">
    <w:p w:rsidR="00227D74" w:rsidRPr="00BB5D45" w:rsidRDefault="00227D74" w:rsidP="003D30C1">
      <w:pPr>
        <w:pStyle w:val="Testonotaapidipagina"/>
        <w:rPr>
          <w:lang w:val="it-IT"/>
        </w:rPr>
      </w:pPr>
      <w:r w:rsidRPr="006D76A5">
        <w:footnoteRef/>
      </w:r>
      <w:r w:rsidRPr="006D76A5">
        <w:rPr>
          <w:lang w:val="it-IT"/>
        </w:rPr>
        <w:t>.</w:t>
      </w:r>
      <w:r w:rsidRPr="00BB5D45">
        <w:rPr>
          <w:lang w:val="it-IT"/>
        </w:rPr>
        <w:t>  </w:t>
      </w:r>
      <w:r w:rsidRPr="00BB5D45">
        <w:rPr>
          <w:i/>
          <w:lang w:val="it-IT"/>
        </w:rPr>
        <w:t>Raimondo</w:t>
      </w:r>
      <w:r w:rsidRPr="00BB5D45">
        <w:rPr>
          <w:lang w:val="it-IT"/>
        </w:rPr>
        <w:t xml:space="preserve">, </w:t>
      </w:r>
      <w:r w:rsidRPr="00BB5D45">
        <w:rPr>
          <w:i/>
          <w:lang w:val="it-IT"/>
        </w:rPr>
        <w:t>Labita</w:t>
      </w:r>
      <w:r w:rsidRPr="00BB5D45">
        <w:rPr>
          <w:lang w:val="it-IT"/>
        </w:rPr>
        <w:t xml:space="preserve">, tous deux précités, et </w:t>
      </w:r>
      <w:r w:rsidRPr="00BB5D45">
        <w:rPr>
          <w:i/>
          <w:lang w:val="it-IT"/>
        </w:rPr>
        <w:t>Vito Sante</w:t>
      </w:r>
      <w:r w:rsidRPr="00BB5D45">
        <w:rPr>
          <w:lang w:val="it-IT"/>
        </w:rPr>
        <w:t xml:space="preserve"> </w:t>
      </w:r>
      <w:r w:rsidRPr="00BB5D45">
        <w:rPr>
          <w:i/>
          <w:lang w:val="it-IT"/>
        </w:rPr>
        <w:t>Santoro c. Italie</w:t>
      </w:r>
      <w:r w:rsidRPr="00BB5D45">
        <w:rPr>
          <w:lang w:val="it-IT"/>
        </w:rPr>
        <w:t>, n</w:t>
      </w:r>
      <w:r w:rsidRPr="00BB5D45">
        <w:rPr>
          <w:vertAlign w:val="superscript"/>
          <w:lang w:val="it-IT"/>
        </w:rPr>
        <w:t>o</w:t>
      </w:r>
      <w:r w:rsidRPr="00BB5D45">
        <w:rPr>
          <w:lang w:val="it-IT"/>
        </w:rPr>
        <w:t xml:space="preserve"> 36681/97, CEDH 2004</w:t>
      </w:r>
      <w:r w:rsidRPr="00BB5D45">
        <w:rPr>
          <w:lang w:val="it-IT"/>
        </w:rPr>
        <w:noBreakHyphen/>
        <w:t>VI.</w:t>
      </w:r>
    </w:p>
  </w:footnote>
  <w:footnote w:id="28">
    <w:p w:rsidR="00227D74" w:rsidRPr="00BB5D45" w:rsidRDefault="00227D74" w:rsidP="003D30C1">
      <w:pPr>
        <w:pStyle w:val="Testonotaapidipagina"/>
        <w:rPr>
          <w:lang w:val="it-IT"/>
        </w:rPr>
      </w:pPr>
      <w:r w:rsidRPr="006D76A5">
        <w:rPr>
          <w:rStyle w:val="Rimandonotaapidipagina"/>
          <w:vertAlign w:val="baseline"/>
        </w:rPr>
        <w:footnoteRef/>
      </w:r>
      <w:r w:rsidRPr="006D76A5">
        <w:rPr>
          <w:lang w:val="it-IT"/>
        </w:rPr>
        <w:t>.</w:t>
      </w:r>
      <w:r w:rsidRPr="00BB5D45">
        <w:rPr>
          <w:lang w:val="it-IT"/>
        </w:rPr>
        <w:t>  </w:t>
      </w:r>
      <w:r w:rsidRPr="00BB5D45">
        <w:rPr>
          <w:i/>
          <w:lang w:val="it-IT"/>
        </w:rPr>
        <w:t>Guzzardi c. Italie</w:t>
      </w:r>
      <w:r w:rsidRPr="00BB5D45">
        <w:rPr>
          <w:lang w:val="it-IT"/>
        </w:rPr>
        <w:t>, 6 novembre 1980, série A n</w:t>
      </w:r>
      <w:r w:rsidRPr="00BB5D45">
        <w:rPr>
          <w:vertAlign w:val="superscript"/>
          <w:lang w:val="it-IT"/>
        </w:rPr>
        <w:t>o</w:t>
      </w:r>
      <w:r w:rsidRPr="00BB5D45">
        <w:rPr>
          <w:lang w:val="it-IT"/>
        </w:rPr>
        <w:t xml:space="preserve"> 39.</w:t>
      </w:r>
    </w:p>
  </w:footnote>
  <w:footnote w:id="29">
    <w:p w:rsidR="00227D74" w:rsidRPr="00BB5D45" w:rsidRDefault="00227D74" w:rsidP="003D30C1">
      <w:pPr>
        <w:pStyle w:val="Testonotaapidipagina"/>
        <w:rPr>
          <w:lang w:val="it-IT"/>
        </w:rPr>
      </w:pPr>
      <w:r w:rsidRPr="006D76A5">
        <w:rPr>
          <w:rStyle w:val="Rimandonotaapidipagina"/>
          <w:vertAlign w:val="baseline"/>
        </w:rPr>
        <w:footnoteRef/>
      </w:r>
      <w:r w:rsidRPr="006D76A5">
        <w:rPr>
          <w:lang w:val="it-IT"/>
        </w:rPr>
        <w:t>.  </w:t>
      </w:r>
      <w:r w:rsidRPr="00BB5D45">
        <w:rPr>
          <w:rFonts w:ascii="Times New Roman" w:hAnsi="Times New Roman" w:cs="Times New Roman"/>
          <w:i/>
          <w:iCs/>
          <w:color w:val="000000"/>
          <w:lang w:val="it-IT"/>
        </w:rPr>
        <w:t>Monno c. Italie</w:t>
      </w:r>
      <w:r w:rsidRPr="00BB5D45">
        <w:rPr>
          <w:rFonts w:ascii="Times New Roman" w:hAnsi="Times New Roman" w:cs="Times New Roman"/>
          <w:i/>
          <w:color w:val="000000"/>
          <w:lang w:val="it-IT"/>
        </w:rPr>
        <w:t xml:space="preserve"> </w:t>
      </w:r>
      <w:r w:rsidRPr="00BB5D45">
        <w:rPr>
          <w:rFonts w:ascii="Times New Roman" w:hAnsi="Times New Roman" w:cs="Times New Roman"/>
          <w:color w:val="000000"/>
          <w:lang w:val="it-IT"/>
        </w:rPr>
        <w:t>(déc.),</w:t>
      </w:r>
      <w:r w:rsidRPr="00BB5D45">
        <w:rPr>
          <w:rFonts w:ascii="Times New Roman" w:hAnsi="Times New Roman" w:cs="Times New Roman"/>
          <w:i/>
          <w:color w:val="000000"/>
          <w:lang w:val="it-IT"/>
        </w:rPr>
        <w:t xml:space="preserve"> </w:t>
      </w:r>
      <w:r w:rsidRPr="00BB5D45">
        <w:rPr>
          <w:rFonts w:ascii="Times New Roman" w:hAnsi="Times New Roman" w:cs="Times New Roman"/>
          <w:color w:val="000000"/>
          <w:lang w:val="it-IT"/>
        </w:rPr>
        <w:t>n</w:t>
      </w:r>
      <w:r w:rsidRPr="00BB5D45">
        <w:rPr>
          <w:rFonts w:ascii="Times New Roman" w:hAnsi="Times New Roman" w:cs="Times New Roman"/>
          <w:color w:val="000000"/>
          <w:vertAlign w:val="superscript"/>
          <w:lang w:val="it-IT"/>
        </w:rPr>
        <w:t>o</w:t>
      </w:r>
      <w:r w:rsidRPr="00BB5D45">
        <w:rPr>
          <w:rFonts w:ascii="Times New Roman" w:hAnsi="Times New Roman" w:cs="Times New Roman"/>
          <w:color w:val="000000"/>
          <w:lang w:val="it-IT"/>
        </w:rPr>
        <w:t xml:space="preserve"> 18675/09, 8 octobre 2013.</w:t>
      </w:r>
    </w:p>
  </w:footnote>
  <w:footnote w:id="30">
    <w:p w:rsidR="00227D74" w:rsidRPr="00BB5D45" w:rsidRDefault="00227D74" w:rsidP="003D30C1">
      <w:pPr>
        <w:pStyle w:val="Testonotaapidipagina"/>
        <w:rPr>
          <w:lang w:val="it-IT"/>
        </w:rPr>
      </w:pPr>
      <w:r w:rsidRPr="006D76A5">
        <w:rPr>
          <w:rStyle w:val="Rimandonotaapidipagina"/>
          <w:vertAlign w:val="baseline"/>
        </w:rPr>
        <w:footnoteRef/>
      </w:r>
      <w:r w:rsidRPr="006D76A5">
        <w:rPr>
          <w:lang w:val="it-IT"/>
        </w:rPr>
        <w:t>.</w:t>
      </w:r>
      <w:r w:rsidRPr="00BB5D45">
        <w:rPr>
          <w:lang w:val="it-IT"/>
        </w:rPr>
        <w:t>  </w:t>
      </w:r>
      <w:r w:rsidRPr="00BB5D45">
        <w:rPr>
          <w:rFonts w:ascii="Times New Roman" w:hAnsi="Times New Roman" w:cs="Times New Roman"/>
          <w:i/>
          <w:iCs/>
          <w:color w:val="000000"/>
          <w:lang w:val="it-IT"/>
        </w:rPr>
        <w:t>Ibidem</w:t>
      </w:r>
      <w:r w:rsidRPr="00BB5D45">
        <w:rPr>
          <w:rFonts w:ascii="Times New Roman" w:hAnsi="Times New Roman" w:cs="Times New Roman"/>
          <w:color w:val="000000"/>
          <w:lang w:val="it-IT"/>
        </w:rPr>
        <w:t>, § 26.</w:t>
      </w:r>
    </w:p>
  </w:footnote>
  <w:footnote w:id="31">
    <w:p w:rsidR="00227D74" w:rsidRPr="00BB5D45" w:rsidRDefault="00227D74" w:rsidP="003D30C1">
      <w:pPr>
        <w:pStyle w:val="Testonotaapidipagina"/>
        <w:rPr>
          <w:lang w:val="it-IT"/>
        </w:rPr>
      </w:pPr>
      <w:r w:rsidRPr="006D76A5">
        <w:rPr>
          <w:rStyle w:val="Rimandonotaapidipagina"/>
          <w:vertAlign w:val="baseline"/>
        </w:rPr>
        <w:footnoteRef/>
      </w:r>
      <w:r w:rsidRPr="00BB5D45">
        <w:rPr>
          <w:lang w:val="it-IT"/>
        </w:rPr>
        <w:t>.  </w:t>
      </w:r>
      <w:r w:rsidRPr="00BB5D45">
        <w:rPr>
          <w:rFonts w:ascii="Times New Roman" w:hAnsi="Times New Roman" w:cs="Times New Roman"/>
          <w:i/>
          <w:iCs/>
          <w:lang w:val="it-IT"/>
        </w:rPr>
        <w:t>Ibidem</w:t>
      </w:r>
      <w:r w:rsidRPr="00BB5D45">
        <w:rPr>
          <w:rFonts w:ascii="Times New Roman" w:hAnsi="Times New Roman" w:cs="Times New Roman"/>
          <w:lang w:val="it-IT"/>
        </w:rPr>
        <w:t>, §</w:t>
      </w:r>
      <w:r w:rsidRPr="00BB5D45">
        <w:rPr>
          <w:rFonts w:ascii="Times New Roman" w:hAnsi="Times New Roman" w:cs="Times New Roman"/>
          <w:color w:val="000000"/>
          <w:lang w:val="it-IT"/>
        </w:rPr>
        <w:t xml:space="preserve"> 27.</w:t>
      </w:r>
    </w:p>
  </w:footnote>
  <w:footnote w:id="32">
    <w:p w:rsidR="00227D74" w:rsidRPr="00BB5D45" w:rsidRDefault="00227D74" w:rsidP="003D30C1">
      <w:pPr>
        <w:pStyle w:val="Testonotaapidipagina"/>
        <w:rPr>
          <w:lang w:val="it-IT"/>
        </w:rPr>
      </w:pPr>
      <w:r w:rsidRPr="006D76A5">
        <w:rPr>
          <w:rStyle w:val="Rimandonotaapidipagina"/>
          <w:vertAlign w:val="baseline"/>
        </w:rPr>
        <w:footnoteRef/>
      </w:r>
      <w:r w:rsidRPr="00BB5D45">
        <w:rPr>
          <w:lang w:val="it-IT"/>
        </w:rPr>
        <w:t>.  </w:t>
      </w:r>
      <w:r w:rsidRPr="00BB5D45">
        <w:rPr>
          <w:i/>
          <w:lang w:val="it-IT"/>
        </w:rPr>
        <w:t>Bocellari et Rizza</w:t>
      </w:r>
      <w:r w:rsidRPr="00BB5D45">
        <w:rPr>
          <w:lang w:val="it-IT"/>
        </w:rPr>
        <w:t>, n</w:t>
      </w:r>
      <w:r w:rsidRPr="00BB5D45">
        <w:rPr>
          <w:vertAlign w:val="superscript"/>
          <w:lang w:val="it-IT"/>
        </w:rPr>
        <w:t>o</w:t>
      </w:r>
      <w:r w:rsidRPr="00BB5D45">
        <w:rPr>
          <w:lang w:val="it-IT"/>
        </w:rPr>
        <w:t xml:space="preserve"> 399/02, §§ 34-41, 13 novembre 2007, </w:t>
      </w:r>
      <w:r w:rsidRPr="00BB5D45">
        <w:rPr>
          <w:i/>
          <w:lang w:val="it-IT"/>
        </w:rPr>
        <w:t>Perre et autres c. Italie</w:t>
      </w:r>
      <w:r w:rsidRPr="00BB5D45">
        <w:rPr>
          <w:lang w:val="it-IT"/>
        </w:rPr>
        <w:t>, n</w:t>
      </w:r>
      <w:r w:rsidRPr="00BB5D45">
        <w:rPr>
          <w:vertAlign w:val="superscript"/>
          <w:lang w:val="it-IT"/>
        </w:rPr>
        <w:t>o </w:t>
      </w:r>
      <w:r w:rsidRPr="00BB5D45">
        <w:rPr>
          <w:lang w:val="it-IT"/>
        </w:rPr>
        <w:t xml:space="preserve">1905/05, §§ 23-26, 8 juillet 2008, </w:t>
      </w:r>
      <w:r w:rsidRPr="00BB5D45">
        <w:rPr>
          <w:i/>
          <w:lang w:val="it-IT"/>
        </w:rPr>
        <w:t>Bongiorno et autres c. Italie</w:t>
      </w:r>
      <w:r w:rsidRPr="00BB5D45">
        <w:rPr>
          <w:lang w:val="it-IT"/>
        </w:rPr>
        <w:t>, n</w:t>
      </w:r>
      <w:r w:rsidRPr="00BB5D45">
        <w:rPr>
          <w:vertAlign w:val="superscript"/>
          <w:lang w:val="it-IT"/>
        </w:rPr>
        <w:t>o</w:t>
      </w:r>
      <w:r w:rsidRPr="00BB5D45">
        <w:rPr>
          <w:lang w:val="it-IT"/>
        </w:rPr>
        <w:t xml:space="preserve"> 4514/07</w:t>
      </w:r>
      <w:r w:rsidRPr="00BB5D45">
        <w:rPr>
          <w:snapToGrid w:val="0"/>
          <w:lang w:val="it-IT"/>
        </w:rPr>
        <w:t>, §§ 27-30, 5 janvier 2010,</w:t>
      </w:r>
      <w:r w:rsidRPr="00BB5D45">
        <w:rPr>
          <w:rFonts w:ascii="Times New Roman" w:eastAsia="Times New Roman" w:hAnsi="Times New Roman" w:cs="Times New Roman"/>
          <w:snapToGrid w:val="0"/>
          <w:lang w:val="it-IT"/>
        </w:rPr>
        <w:t xml:space="preserve"> </w:t>
      </w:r>
      <w:r w:rsidRPr="00BB5D45">
        <w:rPr>
          <w:i/>
          <w:lang w:val="it-IT"/>
        </w:rPr>
        <w:t>Leone c. Italie</w:t>
      </w:r>
      <w:r w:rsidRPr="00BB5D45">
        <w:rPr>
          <w:lang w:val="it-IT"/>
        </w:rPr>
        <w:t>, n</w:t>
      </w:r>
      <w:r w:rsidRPr="00BB5D45">
        <w:rPr>
          <w:vertAlign w:val="superscript"/>
          <w:lang w:val="it-IT"/>
        </w:rPr>
        <w:t>o</w:t>
      </w:r>
      <w:r w:rsidRPr="00BB5D45">
        <w:rPr>
          <w:lang w:val="it-IT"/>
        </w:rPr>
        <w:t xml:space="preserve"> 30506/07</w:t>
      </w:r>
      <w:r w:rsidRPr="00BB5D45">
        <w:rPr>
          <w:snapToGrid w:val="0"/>
          <w:lang w:val="it-IT"/>
        </w:rPr>
        <w:t xml:space="preserve">, §§ 26-29, 2 février 2010, et </w:t>
      </w:r>
      <w:r w:rsidRPr="00BB5D45">
        <w:rPr>
          <w:i/>
          <w:lang w:val="it-IT"/>
        </w:rPr>
        <w:t>Capitani et Campanella c. Italie</w:t>
      </w:r>
      <w:r w:rsidRPr="00BB5D45">
        <w:rPr>
          <w:lang w:val="it-IT"/>
        </w:rPr>
        <w:t>, n</w:t>
      </w:r>
      <w:r w:rsidRPr="00BB5D45">
        <w:rPr>
          <w:vertAlign w:val="superscript"/>
          <w:lang w:val="it-IT"/>
        </w:rPr>
        <w:t>o</w:t>
      </w:r>
      <w:r w:rsidRPr="00BB5D45">
        <w:rPr>
          <w:lang w:val="it-IT"/>
        </w:rPr>
        <w:t xml:space="preserve"> 24920/07</w:t>
      </w:r>
      <w:r w:rsidRPr="00BB5D45">
        <w:rPr>
          <w:snapToGrid w:val="0"/>
          <w:szCs w:val="24"/>
          <w:lang w:val="it-IT"/>
        </w:rPr>
        <w:t>, §§ 26-29, 17 mai 2011.</w:t>
      </w:r>
    </w:p>
  </w:footnote>
  <w:footnote w:id="33">
    <w:p w:rsidR="00227D74" w:rsidRPr="00A53D28" w:rsidRDefault="00227D74" w:rsidP="003D30C1">
      <w:pPr>
        <w:pStyle w:val="Testonotaapidipagina"/>
        <w:rPr>
          <w:lang w:val="pt-PT"/>
        </w:rPr>
      </w:pPr>
      <w:r w:rsidRPr="0042120C">
        <w:rPr>
          <w:rStyle w:val="Rimandonotaapidipagina"/>
        </w:rPr>
        <w:footnoteRef/>
      </w:r>
      <w:r>
        <w:rPr>
          <w:lang w:val="pt-PT"/>
        </w:rPr>
        <w:t>.  </w:t>
      </w:r>
      <w:r w:rsidRPr="00A53D28">
        <w:rPr>
          <w:i/>
          <w:lang w:val="pt-PT"/>
        </w:rPr>
        <w:t>Guzzardi</w:t>
      </w:r>
      <w:r w:rsidRPr="00A53D28">
        <w:rPr>
          <w:lang w:val="pt-PT"/>
        </w:rPr>
        <w:t xml:space="preserve">, </w:t>
      </w:r>
      <w:r>
        <w:rPr>
          <w:lang w:val="pt-PT"/>
        </w:rPr>
        <w:t xml:space="preserve">précité, </w:t>
      </w:r>
      <w:r w:rsidRPr="00A53D28">
        <w:rPr>
          <w:lang w:val="pt-PT"/>
        </w:rPr>
        <w:t xml:space="preserve">§ </w:t>
      </w:r>
      <w:r w:rsidRPr="00AA2B04">
        <w:rPr>
          <w:lang w:val="pt-PT"/>
        </w:rPr>
        <w:t>95</w:t>
      </w:r>
      <w:r w:rsidRPr="00A53D28">
        <w:rPr>
          <w:lang w:val="pt-PT"/>
        </w:rPr>
        <w:t>.</w:t>
      </w:r>
    </w:p>
  </w:footnote>
  <w:footnote w:id="34">
    <w:p w:rsidR="00227D74" w:rsidRPr="009A34A0" w:rsidRDefault="00227D74" w:rsidP="003D30C1">
      <w:pPr>
        <w:pStyle w:val="Testonotaapidipagina"/>
        <w:rPr>
          <w:lang w:val="fr-FR"/>
        </w:rPr>
      </w:pPr>
      <w:r w:rsidRPr="006D76A5">
        <w:rPr>
          <w:rStyle w:val="Rimandonotaapidipagina"/>
          <w:vertAlign w:val="baseline"/>
        </w:rPr>
        <w:footnoteRef/>
      </w:r>
      <w:r w:rsidRPr="0035272E">
        <w:rPr>
          <w:lang w:val="fr-FR"/>
        </w:rPr>
        <w:t>.  </w:t>
      </w:r>
      <w:r>
        <w:rPr>
          <w:rFonts w:ascii="Times New Roman" w:eastAsia="Times New Roman" w:hAnsi="Times New Roman" w:cs="Times New Roman"/>
          <w:i/>
          <w:lang w:val="fr-FR"/>
        </w:rPr>
        <w:t>Ibidem</w:t>
      </w:r>
      <w:r w:rsidRPr="009A34A0">
        <w:rPr>
          <w:rFonts w:ascii="Times New Roman" w:eastAsia="Times New Roman" w:hAnsi="Times New Roman" w:cs="Times New Roman"/>
          <w:lang w:val="fr-FR"/>
        </w:rPr>
        <w:t>, §§ 92-93</w:t>
      </w:r>
      <w:r>
        <w:rPr>
          <w:rFonts w:ascii="Times New Roman" w:eastAsia="Times New Roman" w:hAnsi="Times New Roman" w:cs="Times New Roman"/>
          <w:lang w:val="fr-FR"/>
        </w:rPr>
        <w:t xml:space="preserve"> ; voir aussi </w:t>
      </w:r>
      <w:r w:rsidRPr="009A34A0">
        <w:rPr>
          <w:rFonts w:ascii="Times New Roman" w:eastAsia="Times New Roman" w:hAnsi="Times New Roman" w:cs="Times New Roman"/>
          <w:i/>
          <w:iCs/>
          <w:lang w:val="fr-FR"/>
        </w:rPr>
        <w:t xml:space="preserve">Nada c. Suisse </w:t>
      </w:r>
      <w:r w:rsidRPr="009A34A0">
        <w:rPr>
          <w:rFonts w:ascii="Times New Roman" w:eastAsia="Times New Roman" w:hAnsi="Times New Roman" w:cs="Times New Roman"/>
          <w:lang w:val="fr-FR"/>
        </w:rPr>
        <w:t>[GC], n</w:t>
      </w:r>
      <w:r w:rsidRPr="009A34A0">
        <w:rPr>
          <w:rFonts w:ascii="Times New Roman" w:eastAsia="Times New Roman" w:hAnsi="Times New Roman" w:cs="Times New Roman"/>
          <w:vertAlign w:val="superscript"/>
          <w:lang w:val="fr-FR"/>
        </w:rPr>
        <w:t>o</w:t>
      </w:r>
      <w:r w:rsidRPr="009A34A0">
        <w:rPr>
          <w:rFonts w:ascii="Times New Roman" w:eastAsia="Times New Roman" w:hAnsi="Times New Roman" w:cs="Times New Roman"/>
          <w:lang w:val="fr-FR"/>
        </w:rPr>
        <w:t xml:space="preserve"> 10593/08, § 225, CEDH 2012, </w:t>
      </w:r>
      <w:r w:rsidRPr="009A34A0">
        <w:rPr>
          <w:rFonts w:ascii="Times New Roman" w:eastAsia="Times New Roman" w:hAnsi="Times New Roman" w:cs="Times New Roman"/>
          <w:i/>
          <w:iCs/>
          <w:lang w:val="fr-FR"/>
        </w:rPr>
        <w:t>Austin et autres c. Royaume-Uni</w:t>
      </w:r>
      <w:r w:rsidRPr="009A34A0">
        <w:rPr>
          <w:rFonts w:ascii="Times New Roman" w:eastAsia="Times New Roman" w:hAnsi="Times New Roman" w:cs="Times New Roman"/>
          <w:lang w:val="fr-FR"/>
        </w:rPr>
        <w:t xml:space="preserve"> [GC], n</w:t>
      </w:r>
      <w:r w:rsidRPr="009A34A0">
        <w:rPr>
          <w:rFonts w:ascii="Times New Roman" w:eastAsia="Times New Roman" w:hAnsi="Times New Roman" w:cs="Times New Roman"/>
          <w:vertAlign w:val="superscript"/>
          <w:lang w:val="fr-FR"/>
        </w:rPr>
        <w:t xml:space="preserve">o </w:t>
      </w:r>
      <w:r w:rsidRPr="009A34A0">
        <w:rPr>
          <w:rFonts w:ascii="Times New Roman" w:eastAsia="Times New Roman" w:hAnsi="Times New Roman" w:cs="Times New Roman"/>
          <w:lang w:val="fr-FR"/>
        </w:rPr>
        <w:t xml:space="preserve">39692/09, </w:t>
      </w:r>
      <w:hyperlink r:id="rId1" w:anchor="{" w:history="1">
        <w:r w:rsidRPr="009A34A0">
          <w:rPr>
            <w:rFonts w:ascii="Times New Roman" w:eastAsia="Times New Roman" w:hAnsi="Times New Roman" w:cs="Times New Roman"/>
            <w:lang w:val="fr-FR"/>
          </w:rPr>
          <w:t>40713/09</w:t>
        </w:r>
      </w:hyperlink>
      <w:r w:rsidRPr="009A34A0">
        <w:rPr>
          <w:rFonts w:ascii="Times New Roman" w:eastAsia="Times New Roman" w:hAnsi="Times New Roman" w:cs="Times New Roman"/>
          <w:lang w:val="fr-FR"/>
        </w:rPr>
        <w:t xml:space="preserve"> et</w:t>
      </w:r>
      <w:hyperlink r:id="rId2" w:anchor="{" w:history="1">
        <w:r w:rsidRPr="009A34A0">
          <w:rPr>
            <w:rFonts w:ascii="Times New Roman" w:eastAsia="Times New Roman" w:hAnsi="Times New Roman" w:cs="Times New Roman"/>
            <w:lang w:val="fr-FR"/>
          </w:rPr>
          <w:t xml:space="preserve"> 41008/09</w:t>
        </w:r>
      </w:hyperlink>
      <w:r w:rsidRPr="009A34A0">
        <w:rPr>
          <w:rFonts w:ascii="Times New Roman" w:eastAsia="Times New Roman" w:hAnsi="Times New Roman" w:cs="Times New Roman"/>
          <w:lang w:val="fr-FR"/>
        </w:rPr>
        <w:t xml:space="preserve">, § 57, CEDH 2012, </w:t>
      </w:r>
      <w:r w:rsidRPr="009A34A0">
        <w:rPr>
          <w:rFonts w:ascii="Times New Roman" w:eastAsia="Times New Roman" w:hAnsi="Times New Roman" w:cs="Times New Roman"/>
          <w:i/>
          <w:iCs/>
          <w:lang w:val="fr-FR"/>
        </w:rPr>
        <w:t>Stanev c. Bulgarie</w:t>
      </w:r>
      <w:r w:rsidRPr="009A34A0">
        <w:rPr>
          <w:rFonts w:ascii="Times New Roman" w:eastAsia="Times New Roman" w:hAnsi="Times New Roman" w:cs="Times New Roman"/>
          <w:lang w:val="fr-FR"/>
        </w:rPr>
        <w:t xml:space="preserve"> [GC], n</w:t>
      </w:r>
      <w:r w:rsidRPr="009A34A0">
        <w:rPr>
          <w:rFonts w:ascii="Times New Roman" w:eastAsia="Times New Roman" w:hAnsi="Times New Roman" w:cs="Times New Roman"/>
          <w:vertAlign w:val="superscript"/>
          <w:lang w:val="fr-FR"/>
        </w:rPr>
        <w:t>o</w:t>
      </w:r>
      <w:r w:rsidRPr="009A34A0">
        <w:rPr>
          <w:rFonts w:ascii="Times New Roman" w:eastAsia="Times New Roman" w:hAnsi="Times New Roman" w:cs="Times New Roman"/>
          <w:lang w:val="fr-FR"/>
        </w:rPr>
        <w:t xml:space="preserve"> </w:t>
      </w:r>
      <w:hyperlink r:id="rId3" w:anchor="{" w:history="1">
        <w:r w:rsidRPr="009A34A0">
          <w:rPr>
            <w:rFonts w:ascii="Times New Roman" w:eastAsia="Times New Roman" w:hAnsi="Times New Roman" w:cs="Times New Roman"/>
            <w:lang w:val="fr-FR"/>
          </w:rPr>
          <w:t>36760/06</w:t>
        </w:r>
      </w:hyperlink>
      <w:r w:rsidRPr="009A34A0">
        <w:rPr>
          <w:rFonts w:ascii="Times New Roman" w:eastAsia="Times New Roman" w:hAnsi="Times New Roman" w:cs="Times New Roman"/>
          <w:lang w:val="fr-FR"/>
        </w:rPr>
        <w:t xml:space="preserve">, § 115, CEDH 2012, et </w:t>
      </w:r>
      <w:r w:rsidRPr="009A34A0">
        <w:rPr>
          <w:rFonts w:ascii="Times New Roman" w:eastAsia="Times New Roman" w:hAnsi="Times New Roman" w:cs="Times New Roman"/>
          <w:i/>
          <w:iCs/>
          <w:lang w:val="fr-FR"/>
        </w:rPr>
        <w:t>Medvedyev et autres c.</w:t>
      </w:r>
      <w:r>
        <w:rPr>
          <w:rFonts w:ascii="Times New Roman" w:eastAsia="Times New Roman" w:hAnsi="Times New Roman" w:cs="Times New Roman"/>
          <w:i/>
          <w:iCs/>
          <w:lang w:val="fr-FR"/>
        </w:rPr>
        <w:t> </w:t>
      </w:r>
      <w:r w:rsidRPr="009A34A0">
        <w:rPr>
          <w:rFonts w:ascii="Times New Roman" w:eastAsia="Times New Roman" w:hAnsi="Times New Roman" w:cs="Times New Roman"/>
          <w:i/>
          <w:iCs/>
          <w:lang w:val="fr-FR"/>
        </w:rPr>
        <w:t>France</w:t>
      </w:r>
      <w:r w:rsidRPr="009A34A0">
        <w:rPr>
          <w:rFonts w:ascii="Times New Roman" w:eastAsia="Times New Roman" w:hAnsi="Times New Roman" w:cs="Times New Roman"/>
          <w:lang w:val="fr-FR"/>
        </w:rPr>
        <w:t xml:space="preserve"> [GC], n</w:t>
      </w:r>
      <w:r w:rsidRPr="009A34A0">
        <w:rPr>
          <w:rFonts w:ascii="Times New Roman" w:eastAsia="Times New Roman" w:hAnsi="Times New Roman" w:cs="Times New Roman"/>
          <w:vertAlign w:val="superscript"/>
          <w:lang w:val="fr-FR"/>
        </w:rPr>
        <w:t>o</w:t>
      </w:r>
      <w:r w:rsidRPr="009A34A0">
        <w:rPr>
          <w:rFonts w:ascii="Times New Roman" w:eastAsia="Times New Roman" w:hAnsi="Times New Roman" w:cs="Times New Roman"/>
          <w:lang w:val="fr-FR"/>
        </w:rPr>
        <w:t xml:space="preserve"> </w:t>
      </w:r>
      <w:hyperlink r:id="rId4" w:anchor="{" w:history="1">
        <w:r w:rsidRPr="009A34A0">
          <w:rPr>
            <w:rFonts w:ascii="Times New Roman" w:eastAsia="Times New Roman" w:hAnsi="Times New Roman" w:cs="Times New Roman"/>
            <w:lang w:val="fr-FR"/>
          </w:rPr>
          <w:t>3394/03</w:t>
        </w:r>
      </w:hyperlink>
      <w:r w:rsidRPr="009A34A0">
        <w:rPr>
          <w:rFonts w:ascii="Times New Roman" w:eastAsia="Times New Roman" w:hAnsi="Times New Roman" w:cs="Times New Roman"/>
          <w:lang w:val="fr-FR"/>
        </w:rPr>
        <w:t>, § 73, C</w:t>
      </w:r>
      <w:r>
        <w:rPr>
          <w:rFonts w:ascii="Times New Roman" w:eastAsia="Times New Roman" w:hAnsi="Times New Roman" w:cs="Times New Roman"/>
          <w:lang w:val="fr-FR"/>
        </w:rPr>
        <w:t>ED</w:t>
      </w:r>
      <w:r w:rsidRPr="009A34A0">
        <w:rPr>
          <w:rFonts w:ascii="Times New Roman" w:eastAsia="Times New Roman" w:hAnsi="Times New Roman" w:cs="Times New Roman"/>
          <w:lang w:val="fr-FR"/>
        </w:rPr>
        <w:t>H 2010.</w:t>
      </w:r>
    </w:p>
  </w:footnote>
  <w:footnote w:id="35">
    <w:p w:rsidR="00227D74" w:rsidRPr="0035272E" w:rsidRDefault="00227D74" w:rsidP="003D30C1">
      <w:pPr>
        <w:pStyle w:val="Testonotaapidipagina"/>
        <w:rPr>
          <w:lang w:val="fr-FR"/>
        </w:rPr>
      </w:pPr>
      <w:r w:rsidRPr="006D76A5">
        <w:rPr>
          <w:rStyle w:val="Rimandonotaapidipagina"/>
          <w:vertAlign w:val="baseline"/>
        </w:rPr>
        <w:footnoteRef/>
      </w:r>
      <w:r w:rsidRPr="006D76A5">
        <w:rPr>
          <w:lang w:val="fr-FR"/>
        </w:rPr>
        <w:t>.</w:t>
      </w:r>
      <w:r w:rsidRPr="0035272E">
        <w:rPr>
          <w:lang w:val="fr-FR"/>
        </w:rPr>
        <w:t>  </w:t>
      </w:r>
      <w:r w:rsidRPr="0035272E">
        <w:rPr>
          <w:rFonts w:ascii="Times New Roman" w:eastAsia="Times New Roman" w:hAnsi="Times New Roman" w:cs="Times New Roman"/>
          <w:i/>
          <w:lang w:val="fr-FR"/>
        </w:rPr>
        <w:t>Guzzardi</w:t>
      </w:r>
      <w:r w:rsidRPr="0035272E">
        <w:rPr>
          <w:rFonts w:ascii="Times New Roman" w:eastAsia="Times New Roman" w:hAnsi="Times New Roman" w:cs="Times New Roman"/>
          <w:lang w:val="fr-FR"/>
        </w:rPr>
        <w:t>,</w:t>
      </w:r>
      <w:r w:rsidRPr="0035272E">
        <w:rPr>
          <w:rFonts w:ascii="Times New Roman" w:eastAsia="Times New Roman" w:hAnsi="Times New Roman" w:cs="Times New Roman"/>
          <w:i/>
          <w:lang w:val="fr-FR"/>
        </w:rPr>
        <w:t xml:space="preserve"> </w:t>
      </w:r>
      <w:r w:rsidRPr="0035272E">
        <w:rPr>
          <w:rFonts w:ascii="Times New Roman" w:eastAsia="Times New Roman" w:hAnsi="Times New Roman" w:cs="Times New Roman"/>
          <w:lang w:val="fr-FR"/>
        </w:rPr>
        <w:t xml:space="preserve">précité, § </w:t>
      </w:r>
      <w:r w:rsidRPr="009663F2">
        <w:rPr>
          <w:rFonts w:ascii="Times New Roman" w:eastAsia="Times New Roman" w:hAnsi="Times New Roman" w:cs="Times New Roman"/>
          <w:lang w:val="fr-FR"/>
        </w:rPr>
        <w:t>95</w:t>
      </w:r>
      <w:r w:rsidRPr="0035272E">
        <w:rPr>
          <w:rFonts w:ascii="Times New Roman" w:eastAsia="Times New Roman" w:hAnsi="Times New Roman" w:cs="Times New Roman"/>
          <w:lang w:val="fr-FR"/>
        </w:rPr>
        <w:t>.</w:t>
      </w:r>
    </w:p>
  </w:footnote>
  <w:footnote w:id="36">
    <w:p w:rsidR="00227D74" w:rsidRPr="00714C57" w:rsidRDefault="00227D74" w:rsidP="003D30C1">
      <w:pPr>
        <w:pStyle w:val="Testonotaapidipagina"/>
        <w:rPr>
          <w:lang w:val="fr-FR"/>
        </w:rPr>
      </w:pPr>
      <w:r w:rsidRPr="006D76A5">
        <w:rPr>
          <w:rStyle w:val="Rimandonotaapidipagina"/>
          <w:vertAlign w:val="baseline"/>
        </w:rPr>
        <w:footnoteRef/>
      </w:r>
      <w:r w:rsidRPr="006D76A5">
        <w:rPr>
          <w:lang w:val="fr-FR"/>
        </w:rPr>
        <w:t>. </w:t>
      </w:r>
      <w:r w:rsidRPr="0035272E">
        <w:rPr>
          <w:lang w:val="fr-FR"/>
        </w:rPr>
        <w:t> </w:t>
      </w:r>
      <w:r>
        <w:rPr>
          <w:rFonts w:ascii="Times New Roman" w:eastAsia="Times New Roman" w:hAnsi="Times New Roman" w:cs="Times New Roman"/>
          <w:i/>
          <w:lang w:val="fr-FR"/>
        </w:rPr>
        <w:t>Ibidem</w:t>
      </w:r>
      <w:r w:rsidRPr="00714C57">
        <w:rPr>
          <w:rFonts w:ascii="Times New Roman" w:eastAsia="Times New Roman" w:hAnsi="Times New Roman" w:cs="Times New Roman"/>
          <w:lang w:val="fr-FR"/>
        </w:rPr>
        <w:t>, § 92</w:t>
      </w:r>
      <w:r>
        <w:rPr>
          <w:rFonts w:ascii="Times New Roman" w:eastAsia="Times New Roman" w:hAnsi="Times New Roman" w:cs="Times New Roman"/>
          <w:lang w:val="fr-FR"/>
        </w:rPr>
        <w:t xml:space="preserve"> ; voir aussi </w:t>
      </w:r>
      <w:r w:rsidRPr="00714C57">
        <w:rPr>
          <w:rFonts w:ascii="Times New Roman" w:eastAsia="Times New Roman" w:hAnsi="Times New Roman" w:cs="Times New Roman"/>
          <w:i/>
          <w:lang w:val="fr-FR"/>
        </w:rPr>
        <w:t>Engel et autres c</w:t>
      </w:r>
      <w:r w:rsidRPr="00714C57">
        <w:rPr>
          <w:rFonts w:eastAsia="Times New Roman"/>
          <w:i/>
          <w:iCs/>
          <w:lang w:val="fr-FR"/>
        </w:rPr>
        <w:t>. Pays-Bas</w:t>
      </w:r>
      <w:r w:rsidRPr="00714C57">
        <w:rPr>
          <w:rFonts w:eastAsia="Times New Roman"/>
          <w:iCs/>
          <w:lang w:val="fr-FR"/>
        </w:rPr>
        <w:t xml:space="preserve">, </w:t>
      </w:r>
      <w:r w:rsidRPr="00714C57">
        <w:rPr>
          <w:rFonts w:eastAsia="Times New Roman"/>
          <w:lang w:val="fr-FR"/>
        </w:rPr>
        <w:t>8 juin 1976, § 59, série A n</w:t>
      </w:r>
      <w:r w:rsidRPr="00714C57">
        <w:rPr>
          <w:rFonts w:eastAsia="Times New Roman"/>
          <w:vertAlign w:val="superscript"/>
          <w:lang w:val="fr-FR"/>
        </w:rPr>
        <w:t>o</w:t>
      </w:r>
      <w:r w:rsidRPr="00714C57">
        <w:rPr>
          <w:rFonts w:eastAsia="Times New Roman"/>
          <w:lang w:val="fr-FR"/>
        </w:rPr>
        <w:t xml:space="preserve"> 22</w:t>
      </w:r>
      <w:r>
        <w:rPr>
          <w:rFonts w:ascii="Times New Roman" w:eastAsia="Times New Roman" w:hAnsi="Times New Roman" w:cs="Times New Roman"/>
          <w:lang w:val="fr-FR"/>
        </w:rPr>
        <w:t>, et</w:t>
      </w:r>
      <w:r w:rsidRPr="00714C57">
        <w:rPr>
          <w:rFonts w:ascii="Times New Roman" w:eastAsia="Times New Roman" w:hAnsi="Times New Roman" w:cs="Times New Roman"/>
          <w:lang w:val="fr-FR"/>
        </w:rPr>
        <w:t xml:space="preserve"> </w:t>
      </w:r>
      <w:r w:rsidRPr="00714C57">
        <w:rPr>
          <w:rFonts w:ascii="Times New Roman" w:eastAsia="Times New Roman" w:hAnsi="Times New Roman" w:cs="Times New Roman"/>
          <w:i/>
          <w:lang w:val="fr-FR"/>
        </w:rPr>
        <w:t xml:space="preserve">Amuur </w:t>
      </w:r>
      <w:r>
        <w:rPr>
          <w:rFonts w:ascii="Times New Roman" w:eastAsia="Times New Roman" w:hAnsi="Times New Roman" w:cs="Times New Roman"/>
          <w:i/>
          <w:lang w:val="fr-FR"/>
        </w:rPr>
        <w:t>c</w:t>
      </w:r>
      <w:r w:rsidRPr="00714C57">
        <w:rPr>
          <w:rFonts w:ascii="Times New Roman" w:eastAsia="Times New Roman" w:hAnsi="Times New Roman" w:cs="Times New Roman"/>
          <w:i/>
          <w:lang w:val="fr-FR"/>
        </w:rPr>
        <w:t>. France</w:t>
      </w:r>
      <w:r w:rsidRPr="00714C57">
        <w:rPr>
          <w:rFonts w:ascii="Times New Roman" w:eastAsia="Times New Roman" w:hAnsi="Times New Roman" w:cs="Times New Roman"/>
          <w:lang w:val="fr-FR"/>
        </w:rPr>
        <w:t xml:space="preserve">, 25 </w:t>
      </w:r>
      <w:r>
        <w:rPr>
          <w:rFonts w:ascii="Times New Roman" w:eastAsia="Times New Roman" w:hAnsi="Times New Roman" w:cs="Times New Roman"/>
          <w:lang w:val="fr-FR"/>
        </w:rPr>
        <w:t xml:space="preserve">juin </w:t>
      </w:r>
      <w:r w:rsidRPr="00714C57">
        <w:rPr>
          <w:rFonts w:ascii="Times New Roman" w:eastAsia="Times New Roman" w:hAnsi="Times New Roman" w:cs="Times New Roman"/>
          <w:lang w:val="fr-FR"/>
        </w:rPr>
        <w:t xml:space="preserve">1996, § 43, </w:t>
      </w:r>
      <w:r w:rsidRPr="00B33403">
        <w:rPr>
          <w:rFonts w:ascii="Times New Roman" w:eastAsia="Times New Roman" w:hAnsi="Times New Roman" w:cs="Times New Roman"/>
          <w:i/>
          <w:lang w:val="fr-FR"/>
        </w:rPr>
        <w:t>Recueil des arrêts et décisions</w:t>
      </w:r>
      <w:r>
        <w:rPr>
          <w:rFonts w:ascii="Times New Roman" w:eastAsia="Times New Roman" w:hAnsi="Times New Roman" w:cs="Times New Roman"/>
          <w:i/>
          <w:lang w:val="fr-FR"/>
        </w:rPr>
        <w:t xml:space="preserve"> </w:t>
      </w:r>
      <w:r w:rsidRPr="00714C57">
        <w:rPr>
          <w:rFonts w:ascii="Times New Roman" w:eastAsia="Times New Roman" w:hAnsi="Times New Roman" w:cs="Times New Roman"/>
          <w:lang w:val="fr-FR"/>
        </w:rPr>
        <w:t>1996</w:t>
      </w:r>
      <w:r w:rsidRPr="00714C57">
        <w:rPr>
          <w:rFonts w:ascii="Times New Roman" w:eastAsia="Times New Roman" w:hAnsi="Times New Roman" w:cs="Times New Roman"/>
          <w:lang w:val="fr-FR"/>
        </w:rPr>
        <w:noBreakHyphen/>
        <w:t>III.</w:t>
      </w:r>
    </w:p>
  </w:footnote>
  <w:footnote w:id="37">
    <w:p w:rsidR="00227D74" w:rsidRPr="007459E6" w:rsidRDefault="00227D74" w:rsidP="003D30C1">
      <w:pPr>
        <w:pStyle w:val="Testonotaapidipagina"/>
        <w:rPr>
          <w:lang w:val="fr-FR"/>
        </w:rPr>
      </w:pPr>
      <w:r w:rsidRPr="007459E6">
        <w:footnoteRef/>
      </w:r>
      <w:r>
        <w:rPr>
          <w:lang w:val="fr-FR"/>
        </w:rPr>
        <w:t>.  Voir note n</w:t>
      </w:r>
      <w:r w:rsidRPr="007459E6">
        <w:rPr>
          <w:vertAlign w:val="superscript"/>
          <w:lang w:val="fr-FR"/>
        </w:rPr>
        <w:t>o</w:t>
      </w:r>
      <w:r>
        <w:rPr>
          <w:lang w:val="fr-FR"/>
        </w:rPr>
        <w:t> 26.</w:t>
      </w:r>
    </w:p>
  </w:footnote>
  <w:footnote w:id="38">
    <w:p w:rsidR="00227D74" w:rsidRPr="00B425A9" w:rsidRDefault="00227D74" w:rsidP="003D30C1">
      <w:pPr>
        <w:pStyle w:val="Testonotaapidipagina"/>
        <w:rPr>
          <w:lang w:val="fr-FR"/>
        </w:rPr>
      </w:pPr>
      <w:r w:rsidRPr="006D76A5">
        <w:rPr>
          <w:rStyle w:val="Rimandonotaapidipagina"/>
          <w:vertAlign w:val="baseline"/>
        </w:rPr>
        <w:footnoteRef/>
      </w:r>
      <w:r w:rsidRPr="006D76A5">
        <w:rPr>
          <w:lang w:val="fr-FR"/>
        </w:rPr>
        <w:t>.</w:t>
      </w:r>
      <w:r w:rsidRPr="0035272E">
        <w:rPr>
          <w:lang w:val="fr-FR"/>
        </w:rPr>
        <w:t>  </w:t>
      </w:r>
      <w:r w:rsidRPr="00B425A9">
        <w:rPr>
          <w:rFonts w:eastAsia="Times New Roman"/>
          <w:i/>
          <w:iCs/>
          <w:lang w:val="fr-FR"/>
        </w:rPr>
        <w:t>Ciancimino,</w:t>
      </w:r>
      <w:r w:rsidRPr="00B425A9">
        <w:rPr>
          <w:rFonts w:eastAsia="Times New Roman"/>
          <w:lang w:val="fr-FR"/>
        </w:rPr>
        <w:t xml:space="preserve"> </w:t>
      </w:r>
      <w:r w:rsidRPr="00B425A9">
        <w:rPr>
          <w:rFonts w:eastAsia="Times New Roman"/>
          <w:i/>
          <w:lang w:val="fr-FR"/>
        </w:rPr>
        <w:t>Raimondo</w:t>
      </w:r>
      <w:r w:rsidRPr="00B425A9">
        <w:rPr>
          <w:rFonts w:eastAsia="Times New Roman"/>
          <w:lang w:val="fr-FR"/>
        </w:rPr>
        <w:t xml:space="preserve">, </w:t>
      </w:r>
      <w:r w:rsidRPr="00B425A9">
        <w:rPr>
          <w:rFonts w:eastAsia="Times New Roman"/>
          <w:i/>
          <w:lang w:val="fr-FR"/>
        </w:rPr>
        <w:t>Labita</w:t>
      </w:r>
      <w:r w:rsidRPr="00B425A9">
        <w:rPr>
          <w:rFonts w:eastAsia="Times New Roman"/>
          <w:lang w:val="fr-FR"/>
        </w:rPr>
        <w:t xml:space="preserve">, </w:t>
      </w:r>
      <w:r w:rsidRPr="00B425A9">
        <w:rPr>
          <w:rFonts w:eastAsia="Calibri"/>
          <w:i/>
          <w:lang w:val="fr-FR" w:eastAsia="fr-FR"/>
        </w:rPr>
        <w:t>Vito Sante</w:t>
      </w:r>
      <w:r w:rsidRPr="00B425A9">
        <w:rPr>
          <w:rFonts w:eastAsia="Calibri"/>
          <w:lang w:val="fr-FR" w:eastAsia="fr-FR"/>
        </w:rPr>
        <w:t xml:space="preserve"> </w:t>
      </w:r>
      <w:r w:rsidRPr="00B425A9">
        <w:rPr>
          <w:rFonts w:eastAsia="Calibri"/>
          <w:i/>
          <w:lang w:val="fr-FR" w:eastAsia="fr-FR"/>
        </w:rPr>
        <w:t>Santoro</w:t>
      </w:r>
      <w:r w:rsidRPr="00B425A9">
        <w:rPr>
          <w:rFonts w:eastAsia="Calibri"/>
          <w:lang w:val="fr-FR" w:eastAsia="fr-FR"/>
        </w:rPr>
        <w:t xml:space="preserve"> </w:t>
      </w:r>
      <w:r w:rsidRPr="00B425A9">
        <w:rPr>
          <w:rFonts w:eastAsia="Times New Roman"/>
          <w:lang w:val="fr-FR"/>
        </w:rPr>
        <w:t xml:space="preserve">et </w:t>
      </w:r>
      <w:r w:rsidRPr="00B425A9">
        <w:rPr>
          <w:rFonts w:eastAsia="Times New Roman"/>
          <w:i/>
          <w:lang w:val="fr-FR"/>
        </w:rPr>
        <w:t>Monno</w:t>
      </w:r>
      <w:r w:rsidRPr="00B425A9">
        <w:rPr>
          <w:rFonts w:eastAsia="Times New Roman"/>
          <w:lang w:val="fr-FR"/>
        </w:rPr>
        <w:t>,</w:t>
      </w:r>
      <w:r w:rsidRPr="00B425A9">
        <w:rPr>
          <w:rFonts w:eastAsia="Times New Roman"/>
          <w:iCs/>
          <w:lang w:val="fr-FR"/>
        </w:rPr>
        <w:t xml:space="preserve"> tous précités.</w:t>
      </w:r>
    </w:p>
  </w:footnote>
  <w:footnote w:id="39">
    <w:p w:rsidR="00227D74" w:rsidRPr="004F6E62" w:rsidRDefault="00227D74" w:rsidP="003D30C1">
      <w:pPr>
        <w:pStyle w:val="Testonotaapidipagina"/>
        <w:rPr>
          <w:lang w:val="fr-FR"/>
        </w:rPr>
      </w:pPr>
      <w:r w:rsidRPr="006D76A5">
        <w:rPr>
          <w:rStyle w:val="Rimandonotaapidipagina"/>
          <w:vertAlign w:val="baseline"/>
        </w:rPr>
        <w:footnoteRef/>
      </w:r>
      <w:r w:rsidRPr="006D76A5">
        <w:rPr>
          <w:lang w:val="fr-FR"/>
        </w:rPr>
        <w:t>.  </w:t>
      </w:r>
      <w:r w:rsidRPr="004F6E62">
        <w:rPr>
          <w:rFonts w:eastAsia="Times New Roman"/>
          <w:iCs/>
          <w:lang w:val="fr-FR"/>
        </w:rPr>
        <w:t xml:space="preserve">La jurisprudence actuelle de la Cour </w:t>
      </w:r>
      <w:r>
        <w:rPr>
          <w:rFonts w:eastAsia="Times New Roman"/>
          <w:iCs/>
          <w:lang w:val="fr-FR"/>
        </w:rPr>
        <w:t xml:space="preserve">repose sur </w:t>
      </w:r>
      <w:r w:rsidRPr="004F6E62">
        <w:rPr>
          <w:rFonts w:eastAsia="Times New Roman"/>
          <w:iCs/>
          <w:lang w:val="fr-FR"/>
        </w:rPr>
        <w:t xml:space="preserve">un passage de </w:t>
      </w:r>
      <w:r w:rsidRPr="004F6E62">
        <w:rPr>
          <w:rFonts w:eastAsia="Times New Roman"/>
          <w:i/>
          <w:iCs/>
          <w:lang w:val="fr-FR"/>
        </w:rPr>
        <w:t>Raimondo</w:t>
      </w:r>
      <w:r w:rsidRPr="004F6E62">
        <w:rPr>
          <w:rFonts w:eastAsia="Times New Roman"/>
          <w:iCs/>
          <w:lang w:val="fr-FR"/>
        </w:rPr>
        <w:t xml:space="preserve"> (§ 39) </w:t>
      </w:r>
      <w:r>
        <w:rPr>
          <w:rFonts w:eastAsia="Times New Roman"/>
          <w:iCs/>
          <w:lang w:val="fr-FR"/>
        </w:rPr>
        <w:t>qui affirme si</w:t>
      </w:r>
      <w:r w:rsidRPr="004F6E62">
        <w:rPr>
          <w:rFonts w:eastAsia="Times New Roman"/>
          <w:iCs/>
          <w:lang w:val="fr-FR"/>
        </w:rPr>
        <w:t>mpl</w:t>
      </w:r>
      <w:r>
        <w:rPr>
          <w:rFonts w:eastAsia="Times New Roman"/>
          <w:iCs/>
          <w:lang w:val="fr-FR"/>
        </w:rPr>
        <w:t xml:space="preserve">ement, sans aucun </w:t>
      </w:r>
      <w:r w:rsidRPr="004F6E62">
        <w:rPr>
          <w:rFonts w:eastAsia="Times New Roman"/>
          <w:iCs/>
          <w:lang w:val="fr-FR"/>
        </w:rPr>
        <w:t xml:space="preserve">effort </w:t>
      </w:r>
      <w:r>
        <w:rPr>
          <w:rFonts w:eastAsia="Times New Roman"/>
          <w:iCs/>
          <w:lang w:val="fr-FR"/>
        </w:rPr>
        <w:t>de justifica</w:t>
      </w:r>
      <w:r w:rsidRPr="004F6E62">
        <w:rPr>
          <w:rFonts w:eastAsia="Times New Roman"/>
          <w:iCs/>
          <w:lang w:val="fr-FR"/>
        </w:rPr>
        <w:t xml:space="preserve">tion, </w:t>
      </w:r>
      <w:r>
        <w:rPr>
          <w:rFonts w:eastAsia="Times New Roman"/>
          <w:iCs/>
          <w:lang w:val="fr-FR"/>
        </w:rPr>
        <w:t xml:space="preserve">que ces </w:t>
      </w:r>
      <w:r w:rsidRPr="004F6E62">
        <w:rPr>
          <w:rFonts w:eastAsia="Times New Roman"/>
          <w:iCs/>
          <w:lang w:val="fr-FR"/>
        </w:rPr>
        <w:t xml:space="preserve">mesures </w:t>
      </w:r>
      <w:r>
        <w:rPr>
          <w:rFonts w:eastAsia="Times New Roman"/>
          <w:iCs/>
          <w:lang w:val="fr-FR"/>
        </w:rPr>
        <w:t xml:space="preserve">doivent être évaluées comme des </w:t>
      </w:r>
      <w:r w:rsidRPr="004F6E62">
        <w:rPr>
          <w:rFonts w:eastAsia="Times New Roman"/>
          <w:iCs/>
          <w:lang w:val="fr-FR"/>
        </w:rPr>
        <w:t xml:space="preserve">restrictions </w:t>
      </w:r>
      <w:r>
        <w:rPr>
          <w:rFonts w:eastAsia="Times New Roman"/>
          <w:iCs/>
          <w:lang w:val="fr-FR"/>
        </w:rPr>
        <w:t xml:space="preserve">à la </w:t>
      </w:r>
      <w:r w:rsidRPr="004F6E62">
        <w:rPr>
          <w:rFonts w:eastAsia="Times New Roman"/>
          <w:iCs/>
          <w:lang w:val="fr-FR"/>
        </w:rPr>
        <w:t>libert</w:t>
      </w:r>
      <w:r>
        <w:rPr>
          <w:rFonts w:eastAsia="Times New Roman"/>
          <w:iCs/>
          <w:lang w:val="fr-FR"/>
        </w:rPr>
        <w:t>é</w:t>
      </w:r>
      <w:r w:rsidRPr="004F6E62">
        <w:rPr>
          <w:rFonts w:eastAsia="Times New Roman"/>
          <w:iCs/>
          <w:lang w:val="fr-FR"/>
        </w:rPr>
        <w:t xml:space="preserve"> </w:t>
      </w:r>
      <w:r>
        <w:rPr>
          <w:rFonts w:eastAsia="Times New Roman"/>
          <w:iCs/>
          <w:lang w:val="fr-FR"/>
        </w:rPr>
        <w:t>de circulation découlant de l’a</w:t>
      </w:r>
      <w:r w:rsidRPr="004F6E62">
        <w:rPr>
          <w:rFonts w:eastAsia="Times New Roman"/>
          <w:iCs/>
          <w:lang w:val="fr-FR"/>
        </w:rPr>
        <w:t xml:space="preserve">rticle 2 </w:t>
      </w:r>
      <w:r>
        <w:rPr>
          <w:rFonts w:eastAsia="Times New Roman"/>
          <w:iCs/>
          <w:lang w:val="fr-FR"/>
        </w:rPr>
        <w:t xml:space="preserve">du </w:t>
      </w:r>
      <w:r w:rsidRPr="004F6E62">
        <w:rPr>
          <w:rFonts w:eastAsia="Times New Roman"/>
          <w:iCs/>
          <w:lang w:val="fr-FR"/>
        </w:rPr>
        <w:t>Protocol</w:t>
      </w:r>
      <w:r>
        <w:rPr>
          <w:rFonts w:eastAsia="Times New Roman"/>
          <w:iCs/>
          <w:lang w:val="fr-FR"/>
        </w:rPr>
        <w:t>e n</w:t>
      </w:r>
      <w:r w:rsidRPr="00EC47EE">
        <w:rPr>
          <w:rFonts w:eastAsia="Times New Roman"/>
          <w:iCs/>
          <w:vertAlign w:val="superscript"/>
          <w:lang w:val="fr-FR"/>
        </w:rPr>
        <w:t>o</w:t>
      </w:r>
      <w:r w:rsidRPr="004F6E62">
        <w:rPr>
          <w:rFonts w:eastAsia="Times New Roman"/>
          <w:iCs/>
          <w:lang w:val="fr-FR"/>
        </w:rPr>
        <w:t xml:space="preserve"> 4 </w:t>
      </w:r>
      <w:r>
        <w:rPr>
          <w:rFonts w:eastAsia="Times New Roman"/>
          <w:iCs/>
          <w:lang w:val="fr-FR"/>
        </w:rPr>
        <w:t xml:space="preserve">et qu’elles </w:t>
      </w:r>
      <w:r w:rsidRPr="005A4EF5">
        <w:rPr>
          <w:rFonts w:eastAsia="Times New Roman"/>
          <w:iCs/>
          <w:lang w:val="fr-FR"/>
        </w:rPr>
        <w:t>« </w:t>
      </w:r>
      <w:r w:rsidRPr="005A4EF5">
        <w:rPr>
          <w:lang w:val="fr-FR"/>
        </w:rPr>
        <w:t>n’entraîn[ent] pas une privation de liberté au sens de l’article 5 § 1 de la Convention »</w:t>
      </w:r>
      <w:r w:rsidRPr="005A4EF5">
        <w:rPr>
          <w:rFonts w:eastAsia="Times New Roman"/>
          <w:iCs/>
          <w:lang w:val="fr-FR"/>
        </w:rPr>
        <w:t>, citant l’« </w:t>
      </w:r>
      <w:r w:rsidRPr="005A4EF5">
        <w:rPr>
          <w:lang w:val="fr-FR"/>
        </w:rPr>
        <w:t>arrêt</w:t>
      </w:r>
      <w:r w:rsidRPr="005A4EF5">
        <w:rPr>
          <w:i/>
          <w:lang w:val="fr-FR"/>
        </w:rPr>
        <w:t xml:space="preserve"> Guzzardi c. Italie</w:t>
      </w:r>
      <w:r w:rsidRPr="005A4EF5">
        <w:rPr>
          <w:lang w:val="fr-FR"/>
        </w:rPr>
        <w:t xml:space="preserve"> précité, p. 33, § 92 »</w:t>
      </w:r>
      <w:r w:rsidRPr="005A4EF5">
        <w:rPr>
          <w:rFonts w:eastAsia="Times New Roman"/>
          <w:iCs/>
          <w:lang w:val="fr-FR"/>
        </w:rPr>
        <w:t>, mais omettant tout le raisonnement qui suit dans ledit arrêt et aboutit à cette conclusion strictement opposée : « </w:t>
      </w:r>
      <w:r w:rsidRPr="005A4EF5">
        <w:rPr>
          <w:lang w:val="fr-FR"/>
        </w:rPr>
        <w:t>Tout bien pesé, la Cour estime que le cas d’espèce se range dans la catégorie des privations de liberté »</w:t>
      </w:r>
      <w:r w:rsidRPr="005A4EF5">
        <w:rPr>
          <w:rFonts w:eastAsia="Times New Roman"/>
          <w:iCs/>
          <w:lang w:val="fr-FR"/>
        </w:rPr>
        <w:t>.</w:t>
      </w:r>
    </w:p>
  </w:footnote>
  <w:footnote w:id="40">
    <w:p w:rsidR="00227D74" w:rsidRPr="004F6E62" w:rsidRDefault="00227D74" w:rsidP="003D30C1">
      <w:pPr>
        <w:pStyle w:val="Testonotaapidipagina"/>
        <w:rPr>
          <w:lang w:val="fr-FR"/>
        </w:rPr>
      </w:pPr>
      <w:r w:rsidRPr="006D76A5">
        <w:rPr>
          <w:rStyle w:val="Rimandonotaapidipagina"/>
          <w:vertAlign w:val="baseline"/>
        </w:rPr>
        <w:footnoteRef/>
      </w:r>
      <w:r w:rsidRPr="006D76A5">
        <w:rPr>
          <w:lang w:val="fr-FR"/>
        </w:rPr>
        <w:t>.</w:t>
      </w:r>
      <w:r w:rsidRPr="0035272E">
        <w:rPr>
          <w:lang w:val="fr-FR"/>
        </w:rPr>
        <w:t>  </w:t>
      </w:r>
      <w:r w:rsidRPr="004F6E62">
        <w:rPr>
          <w:i/>
          <w:lang w:val="fr-FR"/>
        </w:rPr>
        <w:t>Ciulla c. Italie</w:t>
      </w:r>
      <w:r>
        <w:rPr>
          <w:lang w:val="fr-FR"/>
        </w:rPr>
        <w:t xml:space="preserve">, </w:t>
      </w:r>
      <w:r w:rsidRPr="004F6E62">
        <w:rPr>
          <w:lang w:val="fr-FR"/>
        </w:rPr>
        <w:t>22 février 1989, § 40, série A n</w:t>
      </w:r>
      <w:r w:rsidRPr="004F6E62">
        <w:rPr>
          <w:vertAlign w:val="superscript"/>
          <w:lang w:val="fr-FR"/>
        </w:rPr>
        <w:t>o</w:t>
      </w:r>
      <w:r w:rsidRPr="004F6E62">
        <w:rPr>
          <w:lang w:val="fr-FR"/>
        </w:rPr>
        <w:t xml:space="preserve"> 148</w:t>
      </w:r>
      <w:r>
        <w:rPr>
          <w:lang w:val="fr-FR"/>
        </w:rPr>
        <w:t xml:space="preserve">. Cette affaire évoquait une </w:t>
      </w:r>
      <w:r w:rsidRPr="004F6E62">
        <w:rPr>
          <w:lang w:val="fr-FR"/>
        </w:rPr>
        <w:t xml:space="preserve">disposition </w:t>
      </w:r>
      <w:r>
        <w:rPr>
          <w:lang w:val="fr-FR"/>
        </w:rPr>
        <w:t xml:space="preserve">sur </w:t>
      </w:r>
      <w:r w:rsidRPr="004F6E62">
        <w:rPr>
          <w:lang w:val="fr-FR"/>
        </w:rPr>
        <w:t xml:space="preserve">la  </w:t>
      </w:r>
      <w:r w:rsidRPr="004F6E62">
        <w:rPr>
          <w:i/>
          <w:lang w:val="fr-FR"/>
        </w:rPr>
        <w:t>detenzione provvisoria</w:t>
      </w:r>
      <w:r w:rsidRPr="004F6E62">
        <w:rPr>
          <w:lang w:val="fr-FR"/>
        </w:rPr>
        <w:t xml:space="preserve">, qui fut </w:t>
      </w:r>
      <w:r>
        <w:rPr>
          <w:lang w:val="fr-FR"/>
        </w:rPr>
        <w:t xml:space="preserve">par la suite </w:t>
      </w:r>
      <w:r w:rsidRPr="000A4F7C">
        <w:rPr>
          <w:lang w:val="fr-FR"/>
        </w:rPr>
        <w:t>abrogée</w:t>
      </w:r>
      <w:r w:rsidRPr="004F6E62">
        <w:rPr>
          <w:lang w:val="fr-FR"/>
        </w:rPr>
        <w:t xml:space="preserve">. </w:t>
      </w:r>
      <w:r>
        <w:rPr>
          <w:lang w:val="fr-FR"/>
        </w:rPr>
        <w:t xml:space="preserve">J’observe par ailleurs que cette approche a aussi été confirmée </w:t>
      </w:r>
      <w:r w:rsidRPr="004F6E62">
        <w:rPr>
          <w:i/>
          <w:lang w:val="fr-FR"/>
        </w:rPr>
        <w:t>mutatis mutandis</w:t>
      </w:r>
      <w:r w:rsidRPr="004F6E62">
        <w:rPr>
          <w:lang w:val="fr-FR"/>
        </w:rPr>
        <w:t xml:space="preserve"> dans une </w:t>
      </w:r>
      <w:r>
        <w:rPr>
          <w:lang w:val="fr-FR"/>
        </w:rPr>
        <w:t xml:space="preserve">récente </w:t>
      </w:r>
      <w:r w:rsidRPr="004F6E62">
        <w:rPr>
          <w:lang w:val="fr-FR"/>
        </w:rPr>
        <w:t>affaire allemande (</w:t>
      </w:r>
      <w:r>
        <w:rPr>
          <w:i/>
          <w:lang w:val="fr-FR"/>
        </w:rPr>
        <w:t>Ostendorf c</w:t>
      </w:r>
      <w:r w:rsidRPr="004F6E62">
        <w:rPr>
          <w:i/>
          <w:lang w:val="fr-FR"/>
        </w:rPr>
        <w:t xml:space="preserve">. </w:t>
      </w:r>
      <w:r>
        <w:rPr>
          <w:i/>
          <w:lang w:val="fr-FR"/>
        </w:rPr>
        <w:t>Allemagne</w:t>
      </w:r>
      <w:r w:rsidRPr="004F6E62">
        <w:rPr>
          <w:lang w:val="fr-FR"/>
        </w:rPr>
        <w:t>, n</w:t>
      </w:r>
      <w:r w:rsidRPr="004F6E62">
        <w:rPr>
          <w:vertAlign w:val="superscript"/>
          <w:lang w:val="fr-FR"/>
        </w:rPr>
        <w:t>o</w:t>
      </w:r>
      <w:r w:rsidRPr="004F6E62">
        <w:rPr>
          <w:lang w:val="fr-FR"/>
        </w:rPr>
        <w:t xml:space="preserve"> 15598/08, 7 </w:t>
      </w:r>
      <w:r>
        <w:rPr>
          <w:lang w:val="fr-FR"/>
        </w:rPr>
        <w:t>mars</w:t>
      </w:r>
      <w:r w:rsidRPr="004F6E62">
        <w:rPr>
          <w:lang w:val="fr-FR"/>
        </w:rPr>
        <w:t xml:space="preserve"> 2013).</w:t>
      </w:r>
    </w:p>
  </w:footnote>
  <w:footnote w:id="41">
    <w:p w:rsidR="00227D74" w:rsidRPr="00200388" w:rsidRDefault="00227D74" w:rsidP="003D30C1">
      <w:pPr>
        <w:pStyle w:val="Testonotaapidipagina"/>
        <w:rPr>
          <w:lang w:val="fr-FR"/>
        </w:rPr>
      </w:pPr>
      <w:r w:rsidRPr="006D76A5">
        <w:rPr>
          <w:rStyle w:val="Rimandonotaapidipagina"/>
          <w:vertAlign w:val="baseline"/>
        </w:rPr>
        <w:footnoteRef/>
      </w:r>
      <w:r w:rsidRPr="006D76A5">
        <w:rPr>
          <w:lang w:val="fr-FR"/>
        </w:rPr>
        <w:t>. </w:t>
      </w:r>
      <w:r w:rsidRPr="00200388">
        <w:rPr>
          <w:lang w:val="fr-FR"/>
        </w:rPr>
        <w:t> </w:t>
      </w:r>
      <w:r w:rsidRPr="00200388">
        <w:rPr>
          <w:rFonts w:ascii="Times New Roman" w:eastAsia="Times New Roman" w:hAnsi="Times New Roman" w:cs="Times New Roman"/>
          <w:i/>
          <w:lang w:val="fr-FR"/>
        </w:rPr>
        <w:t>Guzzardi</w:t>
      </w:r>
      <w:r w:rsidRPr="00200388">
        <w:rPr>
          <w:rFonts w:ascii="Times New Roman" w:eastAsia="Times New Roman" w:hAnsi="Times New Roman" w:cs="Times New Roman"/>
          <w:lang w:val="fr-FR"/>
        </w:rPr>
        <w:t>, précité, § 92.</w:t>
      </w:r>
    </w:p>
  </w:footnote>
  <w:footnote w:id="42">
    <w:p w:rsidR="00227D74" w:rsidRPr="007D55E3" w:rsidRDefault="00227D74" w:rsidP="003D30C1">
      <w:pPr>
        <w:pStyle w:val="Testonotaapidipagina"/>
        <w:rPr>
          <w:lang w:val="fr-FR"/>
        </w:rPr>
      </w:pPr>
      <w:r w:rsidRPr="006D76A5">
        <w:rPr>
          <w:rStyle w:val="Rimandonotaapidipagina"/>
          <w:vertAlign w:val="baseline"/>
        </w:rPr>
        <w:footnoteRef/>
      </w:r>
      <w:r w:rsidRPr="006D76A5">
        <w:rPr>
          <w:lang w:val="fr-FR"/>
        </w:rPr>
        <w:t>.</w:t>
      </w:r>
      <w:r w:rsidRPr="00200388">
        <w:rPr>
          <w:lang w:val="fr-FR"/>
        </w:rPr>
        <w:t>  </w:t>
      </w:r>
      <w:r w:rsidRPr="00D57B9F">
        <w:rPr>
          <w:lang w:val="fr-FR"/>
        </w:rPr>
        <w:t>C</w:t>
      </w:r>
      <w:r w:rsidRPr="00D57B9F">
        <w:rPr>
          <w:rFonts w:ascii="Times New Roman" w:eastAsia="Times New Roman" w:hAnsi="Times New Roman" w:cs="Times New Roman"/>
          <w:lang w:val="fr-FR"/>
        </w:rPr>
        <w:t xml:space="preserve">omparer avec onze heures dans </w:t>
      </w:r>
      <w:r w:rsidRPr="00D57B9F">
        <w:rPr>
          <w:i/>
          <w:lang w:val="fr-FR"/>
        </w:rPr>
        <w:t>Quinn c. France</w:t>
      </w:r>
      <w:r w:rsidRPr="00D57B9F">
        <w:rPr>
          <w:lang w:val="fr-FR"/>
        </w:rPr>
        <w:t>, 22 mars 1995, § 42, série A n</w:t>
      </w:r>
      <w:r w:rsidRPr="00D57B9F">
        <w:rPr>
          <w:vertAlign w:val="superscript"/>
          <w:lang w:val="fr-FR"/>
        </w:rPr>
        <w:t>o</w:t>
      </w:r>
      <w:r w:rsidRPr="00D57B9F">
        <w:rPr>
          <w:lang w:val="fr-FR"/>
        </w:rPr>
        <w:t xml:space="preserve"> 311</w:t>
      </w:r>
      <w:r>
        <w:rPr>
          <w:lang w:val="fr-FR"/>
        </w:rPr>
        <w:t> ;</w:t>
      </w:r>
      <w:r w:rsidRPr="00D57B9F">
        <w:rPr>
          <w:rFonts w:ascii="Times New Roman" w:eastAsia="Times New Roman" w:hAnsi="Times New Roman" w:cs="Times New Roman"/>
          <w:i/>
          <w:lang w:val="fr-FR"/>
        </w:rPr>
        <w:t xml:space="preserve"> </w:t>
      </w:r>
      <w:r w:rsidRPr="00D57B9F">
        <w:rPr>
          <w:rFonts w:ascii="Times New Roman" w:eastAsia="Times New Roman" w:hAnsi="Times New Roman" w:cs="Times New Roman"/>
          <w:lang w:val="fr-FR"/>
        </w:rPr>
        <w:t xml:space="preserve">douze heures dans </w:t>
      </w:r>
      <w:r w:rsidRPr="00D57B9F">
        <w:rPr>
          <w:rFonts w:ascii="Times New Roman" w:eastAsia="Times New Roman" w:hAnsi="Times New Roman" w:cs="Times New Roman"/>
          <w:i/>
          <w:lang w:val="fr-FR"/>
        </w:rPr>
        <w:t>Labita</w:t>
      </w:r>
      <w:r w:rsidRPr="00D57B9F">
        <w:rPr>
          <w:rFonts w:ascii="Times New Roman" w:eastAsia="Times New Roman" w:hAnsi="Times New Roman" w:cs="Times New Roman"/>
          <w:lang w:val="fr-FR"/>
        </w:rPr>
        <w:t>, précité, § 166</w:t>
      </w:r>
      <w:r>
        <w:rPr>
          <w:rFonts w:ascii="Times New Roman" w:eastAsia="Times New Roman" w:hAnsi="Times New Roman" w:cs="Times New Roman"/>
          <w:lang w:val="fr-FR"/>
        </w:rPr>
        <w:t> ;</w:t>
      </w:r>
      <w:r w:rsidRPr="00D57B9F">
        <w:rPr>
          <w:rFonts w:ascii="Times New Roman" w:eastAsia="Times New Roman" w:hAnsi="Times New Roman" w:cs="Times New Roman"/>
          <w:lang w:val="fr-FR"/>
        </w:rPr>
        <w:t xml:space="preserve"> trois jours dans </w:t>
      </w:r>
      <w:r w:rsidRPr="00D57B9F">
        <w:rPr>
          <w:rFonts w:ascii="Times New Roman" w:eastAsia="Times New Roman" w:hAnsi="Times New Roman" w:cs="Times New Roman"/>
          <w:i/>
          <w:lang w:val="fr-FR"/>
        </w:rPr>
        <w:t>Mancini</w:t>
      </w:r>
      <w:r w:rsidRPr="00D57B9F">
        <w:rPr>
          <w:rFonts w:ascii="Times New Roman" w:eastAsia="Times New Roman" w:hAnsi="Times New Roman" w:cs="Times New Roman"/>
          <w:lang w:val="fr-FR"/>
        </w:rPr>
        <w:t xml:space="preserve"> </w:t>
      </w:r>
      <w:r>
        <w:rPr>
          <w:rFonts w:eastAsia="Times New Roman"/>
          <w:i/>
          <w:lang w:val="fr-FR"/>
        </w:rPr>
        <w:t>c</w:t>
      </w:r>
      <w:r w:rsidRPr="00D57B9F">
        <w:rPr>
          <w:rFonts w:eastAsia="Times New Roman"/>
          <w:i/>
          <w:lang w:val="fr-FR"/>
        </w:rPr>
        <w:t>. Ital</w:t>
      </w:r>
      <w:r>
        <w:rPr>
          <w:rFonts w:eastAsia="Times New Roman"/>
          <w:i/>
          <w:lang w:val="fr-FR"/>
        </w:rPr>
        <w:t>ie</w:t>
      </w:r>
      <w:r w:rsidRPr="00D57B9F">
        <w:rPr>
          <w:rFonts w:eastAsia="Times New Roman"/>
          <w:lang w:val="fr-FR"/>
        </w:rPr>
        <w:t>, n</w:t>
      </w:r>
      <w:r w:rsidRPr="00D57B9F">
        <w:rPr>
          <w:rFonts w:eastAsia="Times New Roman"/>
          <w:vertAlign w:val="superscript"/>
          <w:lang w:val="fr-FR"/>
        </w:rPr>
        <w:t>o</w:t>
      </w:r>
      <w:r w:rsidRPr="00D57B9F">
        <w:rPr>
          <w:rFonts w:eastAsia="Times New Roman"/>
          <w:lang w:val="fr-FR"/>
        </w:rPr>
        <w:t xml:space="preserve"> 44955/98, §</w:t>
      </w:r>
      <w:r w:rsidRPr="00D57B9F">
        <w:rPr>
          <w:rFonts w:ascii="Times New Roman" w:eastAsia="Times New Roman" w:hAnsi="Times New Roman" w:cs="Times New Roman"/>
          <w:lang w:val="fr-FR"/>
        </w:rPr>
        <w:t> </w:t>
      </w:r>
      <w:r>
        <w:rPr>
          <w:rFonts w:eastAsia="Times New Roman"/>
          <w:lang w:val="fr-FR"/>
        </w:rPr>
        <w:t xml:space="preserve">25, </w:t>
      </w:r>
      <w:r w:rsidRPr="00D57B9F">
        <w:rPr>
          <w:rFonts w:eastAsia="Times New Roman"/>
          <w:lang w:val="fr-FR"/>
        </w:rPr>
        <w:t>C</w:t>
      </w:r>
      <w:r>
        <w:rPr>
          <w:rFonts w:eastAsia="Times New Roman"/>
          <w:lang w:val="fr-FR"/>
        </w:rPr>
        <w:t>ED</w:t>
      </w:r>
      <w:r w:rsidRPr="00D57B9F">
        <w:rPr>
          <w:rFonts w:eastAsia="Times New Roman"/>
          <w:lang w:val="fr-FR"/>
        </w:rPr>
        <w:t>H 2001</w:t>
      </w:r>
      <w:r w:rsidRPr="00D57B9F">
        <w:rPr>
          <w:rFonts w:eastAsia="Times New Roman"/>
          <w:lang w:val="fr-FR"/>
        </w:rPr>
        <w:noBreakHyphen/>
        <w:t>IX</w:t>
      </w:r>
      <w:r>
        <w:rPr>
          <w:rFonts w:eastAsia="Times New Roman"/>
          <w:lang w:val="fr-FR"/>
        </w:rPr>
        <w:t xml:space="preserve"> ; six mois dans </w:t>
      </w:r>
      <w:r w:rsidRPr="00D57B9F">
        <w:rPr>
          <w:rFonts w:ascii="Times New Roman" w:eastAsia="Times New Roman" w:hAnsi="Times New Roman" w:cs="Times New Roman"/>
          <w:i/>
          <w:lang w:val="fr-FR"/>
        </w:rPr>
        <w:t xml:space="preserve">Brand </w:t>
      </w:r>
      <w:r>
        <w:rPr>
          <w:rFonts w:ascii="Times New Roman" w:eastAsia="Times New Roman" w:hAnsi="Times New Roman" w:cs="Times New Roman"/>
          <w:i/>
          <w:lang w:val="fr-FR"/>
        </w:rPr>
        <w:t>c</w:t>
      </w:r>
      <w:r w:rsidRPr="00D57B9F">
        <w:rPr>
          <w:rFonts w:ascii="Times New Roman" w:eastAsia="Times New Roman" w:hAnsi="Times New Roman" w:cs="Times New Roman"/>
          <w:i/>
          <w:lang w:val="fr-FR"/>
        </w:rPr>
        <w:t xml:space="preserve">. </w:t>
      </w:r>
      <w:r>
        <w:rPr>
          <w:rFonts w:ascii="Times New Roman" w:eastAsia="Times New Roman" w:hAnsi="Times New Roman" w:cs="Times New Roman"/>
          <w:i/>
          <w:lang w:val="fr-FR"/>
        </w:rPr>
        <w:t>Pays-Bas</w:t>
      </w:r>
      <w:r w:rsidRPr="00D57B9F">
        <w:rPr>
          <w:rFonts w:ascii="Times New Roman" w:eastAsia="Times New Roman" w:hAnsi="Times New Roman" w:cs="Times New Roman"/>
          <w:lang w:val="fr-FR"/>
        </w:rPr>
        <w:t>, n</w:t>
      </w:r>
      <w:r w:rsidRPr="00D57B9F">
        <w:rPr>
          <w:rFonts w:ascii="Times New Roman" w:eastAsia="Times New Roman" w:hAnsi="Times New Roman" w:cs="Times New Roman"/>
          <w:vertAlign w:val="superscript"/>
          <w:lang w:val="fr-FR"/>
        </w:rPr>
        <w:t>o</w:t>
      </w:r>
      <w:r w:rsidRPr="00D57B9F">
        <w:rPr>
          <w:rFonts w:ascii="Times New Roman" w:eastAsia="Times New Roman" w:hAnsi="Times New Roman" w:cs="Times New Roman"/>
          <w:lang w:val="fr-FR"/>
        </w:rPr>
        <w:t xml:space="preserve"> 49902/99, § 60, 11 </w:t>
      </w:r>
      <w:r>
        <w:rPr>
          <w:rFonts w:ascii="Times New Roman" w:eastAsia="Times New Roman" w:hAnsi="Times New Roman" w:cs="Times New Roman"/>
          <w:lang w:val="fr-FR"/>
        </w:rPr>
        <w:t>mai</w:t>
      </w:r>
      <w:r w:rsidRPr="00D57B9F">
        <w:rPr>
          <w:rFonts w:ascii="Times New Roman" w:eastAsia="Times New Roman" w:hAnsi="Times New Roman" w:cs="Times New Roman"/>
          <w:lang w:val="fr-FR"/>
        </w:rPr>
        <w:t xml:space="preserve"> 2004. </w:t>
      </w:r>
      <w:r>
        <w:rPr>
          <w:rFonts w:ascii="Times New Roman" w:eastAsia="Times New Roman" w:hAnsi="Times New Roman" w:cs="Times New Roman"/>
          <w:lang w:val="fr-FR"/>
        </w:rPr>
        <w:t>Pour d’autres brèves périodes de pri</w:t>
      </w:r>
      <w:r w:rsidRPr="00D57B9F">
        <w:rPr>
          <w:rFonts w:ascii="Times New Roman" w:eastAsia="Times New Roman" w:hAnsi="Times New Roman" w:cs="Times New Roman"/>
          <w:lang w:val="fr-FR"/>
        </w:rPr>
        <w:t xml:space="preserve">vation </w:t>
      </w:r>
      <w:r>
        <w:rPr>
          <w:rFonts w:ascii="Times New Roman" w:eastAsia="Times New Roman" w:hAnsi="Times New Roman" w:cs="Times New Roman"/>
          <w:lang w:val="fr-FR"/>
        </w:rPr>
        <w:t xml:space="preserve">de liberté, voir </w:t>
      </w:r>
      <w:r w:rsidRPr="00D57B9F">
        <w:rPr>
          <w:rFonts w:ascii="Times New Roman" w:eastAsia="Times New Roman" w:hAnsi="Times New Roman" w:cs="Times New Roman"/>
          <w:i/>
          <w:lang w:val="fr-FR"/>
        </w:rPr>
        <w:t xml:space="preserve">Murray </w:t>
      </w:r>
      <w:r>
        <w:rPr>
          <w:rFonts w:ascii="Times New Roman" w:eastAsia="Times New Roman" w:hAnsi="Times New Roman" w:cs="Times New Roman"/>
          <w:i/>
          <w:lang w:val="fr-FR"/>
        </w:rPr>
        <w:t>c</w:t>
      </w:r>
      <w:r w:rsidRPr="00D57B9F">
        <w:rPr>
          <w:rFonts w:ascii="Times New Roman" w:eastAsia="Times New Roman" w:hAnsi="Times New Roman" w:cs="Times New Roman"/>
          <w:i/>
          <w:lang w:val="fr-FR"/>
        </w:rPr>
        <w:t xml:space="preserve">. </w:t>
      </w:r>
      <w:r>
        <w:rPr>
          <w:rFonts w:ascii="Times New Roman" w:eastAsia="Times New Roman" w:hAnsi="Times New Roman" w:cs="Times New Roman"/>
          <w:i/>
          <w:lang w:val="fr-FR"/>
        </w:rPr>
        <w:t>Royaume-</w:t>
      </w:r>
      <w:r w:rsidRPr="00D57B9F">
        <w:rPr>
          <w:rFonts w:ascii="Times New Roman" w:eastAsia="Times New Roman" w:hAnsi="Times New Roman" w:cs="Times New Roman"/>
          <w:i/>
          <w:lang w:val="fr-FR"/>
        </w:rPr>
        <w:t>Un</w:t>
      </w:r>
      <w:r>
        <w:rPr>
          <w:rFonts w:ascii="Times New Roman" w:eastAsia="Times New Roman" w:hAnsi="Times New Roman" w:cs="Times New Roman"/>
          <w:i/>
          <w:lang w:val="fr-FR"/>
        </w:rPr>
        <w:t>i</w:t>
      </w:r>
      <w:r>
        <w:rPr>
          <w:rFonts w:ascii="Times New Roman" w:eastAsia="Times New Roman" w:hAnsi="Times New Roman" w:cs="Times New Roman"/>
          <w:lang w:val="fr-FR"/>
        </w:rPr>
        <w:t>, 28 octobre</w:t>
      </w:r>
      <w:r w:rsidRPr="00784D44">
        <w:rPr>
          <w:rFonts w:ascii="Times New Roman" w:eastAsia="Times New Roman" w:hAnsi="Times New Roman" w:cs="Times New Roman"/>
          <w:lang w:val="fr-FR"/>
        </w:rPr>
        <w:t xml:space="preserve"> 1994, §§ 49 </w:t>
      </w:r>
      <w:r>
        <w:rPr>
          <w:rFonts w:ascii="Times New Roman" w:eastAsia="Times New Roman" w:hAnsi="Times New Roman" w:cs="Times New Roman"/>
          <w:lang w:val="fr-FR"/>
        </w:rPr>
        <w:t>et suivants</w:t>
      </w:r>
      <w:r w:rsidRPr="00784D44">
        <w:rPr>
          <w:rFonts w:ascii="Times New Roman" w:eastAsia="Times New Roman" w:hAnsi="Times New Roman" w:cs="Times New Roman"/>
          <w:lang w:val="fr-FR"/>
        </w:rPr>
        <w:t>,</w:t>
      </w:r>
      <w:r>
        <w:rPr>
          <w:rFonts w:ascii="Times New Roman" w:eastAsia="Times New Roman" w:hAnsi="Times New Roman" w:cs="Times New Roman"/>
          <w:lang w:val="fr-FR"/>
        </w:rPr>
        <w:t xml:space="preserve"> série </w:t>
      </w:r>
      <w:r w:rsidRPr="00784D44">
        <w:rPr>
          <w:rFonts w:ascii="Times New Roman" w:eastAsia="Times New Roman" w:hAnsi="Times New Roman" w:cs="Times New Roman"/>
          <w:lang w:val="fr-FR"/>
        </w:rPr>
        <w:t>A n</w:t>
      </w:r>
      <w:r w:rsidRPr="000372FF">
        <w:rPr>
          <w:rFonts w:ascii="Times New Roman" w:eastAsia="Times New Roman" w:hAnsi="Times New Roman" w:cs="Times New Roman"/>
          <w:vertAlign w:val="superscript"/>
          <w:lang w:val="fr-FR"/>
        </w:rPr>
        <w:t>o</w:t>
      </w:r>
      <w:r w:rsidRPr="00784D44">
        <w:rPr>
          <w:rFonts w:ascii="Times New Roman" w:eastAsia="Times New Roman" w:hAnsi="Times New Roman" w:cs="Times New Roman"/>
          <w:lang w:val="fr-FR"/>
        </w:rPr>
        <w:t xml:space="preserve"> 300</w:t>
      </w:r>
      <w:r>
        <w:rPr>
          <w:rFonts w:ascii="Times New Roman" w:eastAsia="Times New Roman" w:hAnsi="Times New Roman" w:cs="Times New Roman"/>
          <w:lang w:val="fr-FR"/>
        </w:rPr>
        <w:t>-</w:t>
      </w:r>
      <w:r w:rsidRPr="00784D44">
        <w:rPr>
          <w:rFonts w:ascii="Times New Roman" w:eastAsia="Times New Roman" w:hAnsi="Times New Roman" w:cs="Times New Roman"/>
          <w:lang w:val="fr-FR"/>
        </w:rPr>
        <w:t xml:space="preserve">A, </w:t>
      </w:r>
      <w:r w:rsidRPr="00527505">
        <w:rPr>
          <w:rFonts w:ascii="Times New Roman" w:eastAsia="Times New Roman" w:hAnsi="Times New Roman" w:cs="Times New Roman"/>
          <w:lang w:val="fr-FR"/>
        </w:rPr>
        <w:t>concerna</w:t>
      </w:r>
      <w:r>
        <w:rPr>
          <w:rFonts w:ascii="Times New Roman" w:eastAsia="Times New Roman" w:hAnsi="Times New Roman" w:cs="Times New Roman"/>
          <w:lang w:val="fr-FR"/>
        </w:rPr>
        <w:t>n</w:t>
      </w:r>
      <w:r w:rsidRPr="00527505">
        <w:rPr>
          <w:rFonts w:ascii="Times New Roman" w:eastAsia="Times New Roman" w:hAnsi="Times New Roman" w:cs="Times New Roman"/>
          <w:lang w:val="fr-FR"/>
        </w:rPr>
        <w:t>t une</w:t>
      </w:r>
      <w:r>
        <w:rPr>
          <w:rFonts w:ascii="Times New Roman" w:eastAsia="Times New Roman" w:hAnsi="Times New Roman" w:cs="Times New Roman"/>
          <w:b/>
          <w:lang w:val="fr-FR"/>
        </w:rPr>
        <w:t xml:space="preserve"> </w:t>
      </w:r>
      <w:r w:rsidRPr="007D55E3">
        <w:rPr>
          <w:rFonts w:ascii="Times New Roman" w:eastAsia="Times New Roman" w:hAnsi="Times New Roman" w:cs="Times New Roman"/>
          <w:lang w:val="fr-FR"/>
        </w:rPr>
        <w:t>détention de moins de trois heures dans un centre de l’armée pour interrogatoire </w:t>
      </w:r>
      <w:r>
        <w:rPr>
          <w:rFonts w:ascii="Times New Roman" w:eastAsia="Times New Roman" w:hAnsi="Times New Roman" w:cs="Times New Roman"/>
          <w:lang w:val="fr-FR"/>
        </w:rPr>
        <w:t>;</w:t>
      </w:r>
      <w:r w:rsidRPr="00D57B9F">
        <w:rPr>
          <w:rFonts w:ascii="Times New Roman" w:eastAsia="Times New Roman" w:hAnsi="Times New Roman" w:cs="Times New Roman"/>
          <w:lang w:val="fr-FR"/>
        </w:rPr>
        <w:t xml:space="preserve"> </w:t>
      </w:r>
      <w:r w:rsidRPr="00D57B9F">
        <w:rPr>
          <w:rFonts w:ascii="Times New Roman" w:eastAsia="Times New Roman" w:hAnsi="Times New Roman" w:cs="Times New Roman"/>
          <w:i/>
          <w:lang w:val="fr-FR"/>
        </w:rPr>
        <w:t xml:space="preserve">Novotka </w:t>
      </w:r>
      <w:r>
        <w:rPr>
          <w:rFonts w:ascii="Times New Roman" w:eastAsia="Times New Roman" w:hAnsi="Times New Roman" w:cs="Times New Roman"/>
          <w:i/>
          <w:lang w:val="fr-FR"/>
        </w:rPr>
        <w:t>c</w:t>
      </w:r>
      <w:r w:rsidRPr="00D57B9F">
        <w:rPr>
          <w:rFonts w:ascii="Times New Roman" w:eastAsia="Times New Roman" w:hAnsi="Times New Roman" w:cs="Times New Roman"/>
          <w:i/>
          <w:lang w:val="fr-FR"/>
        </w:rPr>
        <w:t>. Slova</w:t>
      </w:r>
      <w:r>
        <w:rPr>
          <w:rFonts w:ascii="Times New Roman" w:eastAsia="Times New Roman" w:hAnsi="Times New Roman" w:cs="Times New Roman"/>
          <w:i/>
          <w:lang w:val="fr-FR"/>
        </w:rPr>
        <w:t>quie</w:t>
      </w:r>
      <w:r w:rsidRPr="00D57B9F">
        <w:rPr>
          <w:rFonts w:ascii="Times New Roman" w:eastAsia="Times New Roman" w:hAnsi="Times New Roman" w:cs="Times New Roman"/>
          <w:i/>
          <w:lang w:val="fr-FR"/>
        </w:rPr>
        <w:t xml:space="preserve"> </w:t>
      </w:r>
      <w:r>
        <w:rPr>
          <w:rFonts w:ascii="Times New Roman" w:eastAsia="Times New Roman" w:hAnsi="Times New Roman" w:cs="Times New Roman"/>
          <w:lang w:val="fr-FR"/>
        </w:rPr>
        <w:t>(dé</w:t>
      </w:r>
      <w:r w:rsidRPr="000372FF">
        <w:rPr>
          <w:rFonts w:ascii="Times New Roman" w:eastAsia="Times New Roman" w:hAnsi="Times New Roman" w:cs="Times New Roman"/>
          <w:lang w:val="fr-FR"/>
        </w:rPr>
        <w:t>c.)</w:t>
      </w:r>
      <w:r w:rsidRPr="00D57B9F">
        <w:rPr>
          <w:rFonts w:ascii="Times New Roman" w:eastAsia="Times New Roman" w:hAnsi="Times New Roman" w:cs="Times New Roman"/>
          <w:lang w:val="fr-FR"/>
        </w:rPr>
        <w:t>, n</w:t>
      </w:r>
      <w:r w:rsidRPr="000372FF">
        <w:rPr>
          <w:rFonts w:ascii="Times New Roman" w:eastAsia="Times New Roman" w:hAnsi="Times New Roman" w:cs="Times New Roman"/>
          <w:vertAlign w:val="superscript"/>
          <w:lang w:val="fr-FR"/>
        </w:rPr>
        <w:t>o</w:t>
      </w:r>
      <w:r>
        <w:rPr>
          <w:rFonts w:ascii="Times New Roman" w:eastAsia="Times New Roman" w:hAnsi="Times New Roman" w:cs="Times New Roman"/>
          <w:lang w:val="fr-FR"/>
        </w:rPr>
        <w:t> </w:t>
      </w:r>
      <w:r w:rsidRPr="00D57B9F">
        <w:rPr>
          <w:rFonts w:ascii="Times New Roman" w:eastAsia="Times New Roman" w:hAnsi="Times New Roman" w:cs="Times New Roman"/>
          <w:lang w:val="fr-FR"/>
        </w:rPr>
        <w:t>47244/99, 4</w:t>
      </w:r>
      <w:r>
        <w:rPr>
          <w:rFonts w:ascii="Times New Roman" w:eastAsia="Times New Roman" w:hAnsi="Times New Roman" w:cs="Times New Roman"/>
          <w:lang w:val="fr-FR"/>
        </w:rPr>
        <w:t xml:space="preserve"> novembre </w:t>
      </w:r>
      <w:r w:rsidRPr="00D57B9F">
        <w:rPr>
          <w:rFonts w:ascii="Times New Roman" w:eastAsia="Times New Roman" w:hAnsi="Times New Roman" w:cs="Times New Roman"/>
          <w:lang w:val="fr-FR"/>
        </w:rPr>
        <w:t xml:space="preserve">2003, </w:t>
      </w:r>
      <w:r>
        <w:rPr>
          <w:rFonts w:ascii="Times New Roman" w:eastAsia="Times New Roman" w:hAnsi="Times New Roman" w:cs="Times New Roman"/>
          <w:lang w:val="fr-FR"/>
        </w:rPr>
        <w:t xml:space="preserve">concernant </w:t>
      </w:r>
      <w:r w:rsidRPr="007D55E3">
        <w:rPr>
          <w:rFonts w:ascii="Times New Roman" w:eastAsia="Times New Roman" w:hAnsi="Times New Roman" w:cs="Times New Roman"/>
          <w:lang w:val="fr-FR"/>
        </w:rPr>
        <w:t>une heure de garde à vue</w:t>
      </w:r>
      <w:r>
        <w:rPr>
          <w:rFonts w:ascii="Times New Roman" w:eastAsia="Times New Roman" w:hAnsi="Times New Roman" w:cs="Times New Roman"/>
          <w:b/>
          <w:lang w:val="fr-FR"/>
        </w:rPr>
        <w:t> </w:t>
      </w:r>
      <w:r>
        <w:rPr>
          <w:rFonts w:ascii="Times New Roman" w:eastAsia="Times New Roman" w:hAnsi="Times New Roman" w:cs="Times New Roman"/>
          <w:lang w:val="fr-FR"/>
        </w:rPr>
        <w:t>;</w:t>
      </w:r>
      <w:r w:rsidRPr="00D57B9F">
        <w:rPr>
          <w:rFonts w:ascii="Times New Roman" w:eastAsia="Times New Roman" w:hAnsi="Times New Roman" w:cs="Times New Roman"/>
          <w:lang w:val="fr-FR"/>
        </w:rPr>
        <w:t xml:space="preserve"> </w:t>
      </w:r>
      <w:r w:rsidRPr="00D57B9F">
        <w:rPr>
          <w:rFonts w:ascii="Times New Roman" w:eastAsia="Times New Roman" w:hAnsi="Times New Roman" w:cs="Times New Roman"/>
          <w:i/>
          <w:lang w:val="fr-FR"/>
        </w:rPr>
        <w:t xml:space="preserve">Shimovolos </w:t>
      </w:r>
      <w:r>
        <w:rPr>
          <w:rFonts w:ascii="Times New Roman" w:eastAsia="Times New Roman" w:hAnsi="Times New Roman" w:cs="Times New Roman"/>
          <w:i/>
          <w:lang w:val="fr-FR"/>
        </w:rPr>
        <w:t>c. </w:t>
      </w:r>
      <w:r w:rsidRPr="00D57B9F">
        <w:rPr>
          <w:rFonts w:ascii="Times New Roman" w:eastAsia="Times New Roman" w:hAnsi="Times New Roman" w:cs="Times New Roman"/>
          <w:i/>
          <w:lang w:val="fr-FR"/>
        </w:rPr>
        <w:t>Russi</w:t>
      </w:r>
      <w:r>
        <w:rPr>
          <w:rFonts w:ascii="Times New Roman" w:eastAsia="Times New Roman" w:hAnsi="Times New Roman" w:cs="Times New Roman"/>
          <w:i/>
          <w:lang w:val="fr-FR"/>
        </w:rPr>
        <w:t>e</w:t>
      </w:r>
      <w:r w:rsidRPr="00D57B9F">
        <w:rPr>
          <w:rFonts w:ascii="Times New Roman" w:eastAsia="Times New Roman" w:hAnsi="Times New Roman" w:cs="Times New Roman"/>
          <w:lang w:val="fr-FR"/>
        </w:rPr>
        <w:t>, n</w:t>
      </w:r>
      <w:r w:rsidRPr="000372FF">
        <w:rPr>
          <w:rFonts w:ascii="Times New Roman" w:eastAsia="Times New Roman" w:hAnsi="Times New Roman" w:cs="Times New Roman"/>
          <w:vertAlign w:val="superscript"/>
          <w:lang w:val="fr-FR"/>
        </w:rPr>
        <w:t>o</w:t>
      </w:r>
      <w:r w:rsidRPr="00D57B9F">
        <w:rPr>
          <w:rFonts w:ascii="Times New Roman" w:eastAsia="Times New Roman" w:hAnsi="Times New Roman" w:cs="Times New Roman"/>
          <w:lang w:val="fr-FR"/>
        </w:rPr>
        <w:t xml:space="preserve"> 30194/09, §§ 49-50, 21 </w:t>
      </w:r>
      <w:r>
        <w:rPr>
          <w:rFonts w:ascii="Times New Roman" w:eastAsia="Times New Roman" w:hAnsi="Times New Roman" w:cs="Times New Roman"/>
          <w:lang w:val="fr-FR"/>
        </w:rPr>
        <w:t xml:space="preserve">juin </w:t>
      </w:r>
      <w:r w:rsidRPr="00D57B9F">
        <w:rPr>
          <w:rFonts w:ascii="Times New Roman" w:eastAsia="Times New Roman" w:hAnsi="Times New Roman" w:cs="Times New Roman"/>
          <w:lang w:val="fr-FR"/>
        </w:rPr>
        <w:t xml:space="preserve">2011, </w:t>
      </w:r>
      <w:r w:rsidRPr="000372FF">
        <w:rPr>
          <w:rFonts w:ascii="Times New Roman" w:eastAsia="Times New Roman" w:hAnsi="Times New Roman" w:cs="Times New Roman"/>
          <w:lang w:val="fr-FR"/>
        </w:rPr>
        <w:t xml:space="preserve">concernant une </w:t>
      </w:r>
      <w:r w:rsidRPr="007D55E3">
        <w:rPr>
          <w:rFonts w:ascii="Times New Roman" w:eastAsia="Times New Roman" w:hAnsi="Times New Roman" w:cs="Times New Roman"/>
          <w:lang w:val="fr-FR"/>
        </w:rPr>
        <w:t>garde à vue de quarante</w:t>
      </w:r>
      <w:r>
        <w:rPr>
          <w:rFonts w:ascii="Times New Roman" w:eastAsia="Times New Roman" w:hAnsi="Times New Roman" w:cs="Times New Roman"/>
          <w:lang w:val="fr-FR"/>
        </w:rPr>
        <w:noBreakHyphen/>
      </w:r>
      <w:r w:rsidRPr="007D55E3">
        <w:rPr>
          <w:rFonts w:ascii="Times New Roman" w:eastAsia="Times New Roman" w:hAnsi="Times New Roman" w:cs="Times New Roman"/>
          <w:lang w:val="fr-FR"/>
        </w:rPr>
        <w:t>cinq  minutes pour interrogatoire</w:t>
      </w:r>
      <w:r>
        <w:rPr>
          <w:rFonts w:ascii="Times New Roman" w:eastAsia="Times New Roman" w:hAnsi="Times New Roman" w:cs="Times New Roman"/>
          <w:b/>
          <w:lang w:val="fr-FR"/>
        </w:rPr>
        <w:t> </w:t>
      </w:r>
      <w:r>
        <w:rPr>
          <w:rFonts w:ascii="Times New Roman" w:eastAsia="Times New Roman" w:hAnsi="Times New Roman" w:cs="Times New Roman"/>
          <w:lang w:val="fr-FR"/>
        </w:rPr>
        <w:t>;</w:t>
      </w:r>
      <w:r w:rsidRPr="00D57B9F">
        <w:rPr>
          <w:rFonts w:ascii="Times New Roman" w:eastAsia="Times New Roman" w:hAnsi="Times New Roman" w:cs="Times New Roman"/>
          <w:lang w:val="fr-FR"/>
        </w:rPr>
        <w:t xml:space="preserve"> </w:t>
      </w:r>
      <w:r>
        <w:rPr>
          <w:rFonts w:ascii="Times New Roman" w:eastAsia="Times New Roman" w:hAnsi="Times New Roman" w:cs="Times New Roman"/>
          <w:lang w:val="fr-FR"/>
        </w:rPr>
        <w:t>voir aussi</w:t>
      </w:r>
      <w:r w:rsidRPr="00D57B9F">
        <w:rPr>
          <w:rFonts w:ascii="Times New Roman" w:eastAsia="Times New Roman" w:hAnsi="Times New Roman" w:cs="Times New Roman"/>
          <w:lang w:val="fr-FR"/>
        </w:rPr>
        <w:t xml:space="preserve"> </w:t>
      </w:r>
      <w:r w:rsidRPr="00D57B9F">
        <w:rPr>
          <w:rFonts w:ascii="Times New Roman" w:eastAsia="Times New Roman" w:hAnsi="Times New Roman" w:cs="Times New Roman"/>
          <w:i/>
          <w:lang w:val="fr-FR"/>
        </w:rPr>
        <w:t xml:space="preserve">Witold Litwa </w:t>
      </w:r>
      <w:r>
        <w:rPr>
          <w:rFonts w:ascii="Times New Roman" w:eastAsia="Times New Roman" w:hAnsi="Times New Roman" w:cs="Times New Roman"/>
          <w:i/>
          <w:lang w:val="fr-FR"/>
        </w:rPr>
        <w:t>c</w:t>
      </w:r>
      <w:r w:rsidRPr="00D57B9F">
        <w:rPr>
          <w:rFonts w:ascii="Times New Roman" w:eastAsia="Times New Roman" w:hAnsi="Times New Roman" w:cs="Times New Roman"/>
          <w:i/>
          <w:lang w:val="fr-FR"/>
        </w:rPr>
        <w:t>.</w:t>
      </w:r>
      <w:r>
        <w:rPr>
          <w:rFonts w:ascii="Times New Roman" w:eastAsia="Times New Roman" w:hAnsi="Times New Roman" w:cs="Times New Roman"/>
          <w:i/>
          <w:lang w:val="fr-FR"/>
        </w:rPr>
        <w:t> </w:t>
      </w:r>
      <w:r w:rsidRPr="00D57B9F">
        <w:rPr>
          <w:rFonts w:ascii="Times New Roman" w:eastAsia="Times New Roman" w:hAnsi="Times New Roman" w:cs="Times New Roman"/>
          <w:i/>
          <w:lang w:val="fr-FR"/>
        </w:rPr>
        <w:t>Pol</w:t>
      </w:r>
      <w:r>
        <w:rPr>
          <w:rFonts w:ascii="Times New Roman" w:eastAsia="Times New Roman" w:hAnsi="Times New Roman" w:cs="Times New Roman"/>
          <w:i/>
          <w:lang w:val="fr-FR"/>
        </w:rPr>
        <w:t>ogne</w:t>
      </w:r>
      <w:r w:rsidRPr="00D57B9F">
        <w:rPr>
          <w:rFonts w:ascii="Times New Roman" w:eastAsia="Times New Roman" w:hAnsi="Times New Roman" w:cs="Times New Roman"/>
          <w:lang w:val="fr-FR"/>
        </w:rPr>
        <w:t>, n</w:t>
      </w:r>
      <w:r w:rsidRPr="000372FF">
        <w:rPr>
          <w:rFonts w:ascii="Times New Roman" w:eastAsia="Times New Roman" w:hAnsi="Times New Roman" w:cs="Times New Roman"/>
          <w:vertAlign w:val="superscript"/>
          <w:lang w:val="fr-FR"/>
        </w:rPr>
        <w:t>o</w:t>
      </w:r>
      <w:r>
        <w:rPr>
          <w:rFonts w:ascii="Times New Roman" w:eastAsia="Times New Roman" w:hAnsi="Times New Roman" w:cs="Times New Roman"/>
          <w:lang w:val="fr-FR"/>
        </w:rPr>
        <w:t xml:space="preserve"> 26629/95, § 46, </w:t>
      </w:r>
      <w:r w:rsidRPr="00D57B9F">
        <w:rPr>
          <w:rFonts w:ascii="Times New Roman" w:eastAsia="Times New Roman" w:hAnsi="Times New Roman" w:cs="Times New Roman"/>
          <w:lang w:val="fr-FR"/>
        </w:rPr>
        <w:t>C</w:t>
      </w:r>
      <w:r>
        <w:rPr>
          <w:rFonts w:ascii="Times New Roman" w:eastAsia="Times New Roman" w:hAnsi="Times New Roman" w:cs="Times New Roman"/>
          <w:lang w:val="fr-FR"/>
        </w:rPr>
        <w:t>ED</w:t>
      </w:r>
      <w:r w:rsidRPr="00D57B9F">
        <w:rPr>
          <w:rFonts w:ascii="Times New Roman" w:eastAsia="Times New Roman" w:hAnsi="Times New Roman" w:cs="Times New Roman"/>
          <w:lang w:val="fr-FR"/>
        </w:rPr>
        <w:t>H 2000</w:t>
      </w:r>
      <w:r w:rsidRPr="00D57B9F">
        <w:rPr>
          <w:rFonts w:ascii="MS Mincho" w:eastAsia="MS Mincho" w:hAnsi="MS Mincho" w:cs="MS Mincho"/>
          <w:lang w:val="fr-FR"/>
        </w:rPr>
        <w:t>‑</w:t>
      </w:r>
      <w:r w:rsidRPr="00D57B9F">
        <w:rPr>
          <w:rFonts w:ascii="Times New Roman" w:eastAsia="Times New Roman" w:hAnsi="Times New Roman" w:cs="Times New Roman"/>
          <w:lang w:val="fr-FR"/>
        </w:rPr>
        <w:t>III, concern</w:t>
      </w:r>
      <w:r>
        <w:rPr>
          <w:rFonts w:ascii="Times New Roman" w:eastAsia="Times New Roman" w:hAnsi="Times New Roman" w:cs="Times New Roman"/>
          <w:lang w:val="fr-FR"/>
        </w:rPr>
        <w:t>ant</w:t>
      </w:r>
      <w:r w:rsidRPr="00D57B9F">
        <w:rPr>
          <w:rFonts w:ascii="Times New Roman" w:eastAsia="Times New Roman" w:hAnsi="Times New Roman" w:cs="Times New Roman"/>
          <w:lang w:val="fr-FR"/>
        </w:rPr>
        <w:t xml:space="preserve"> </w:t>
      </w:r>
      <w:r w:rsidRPr="007D55E3">
        <w:rPr>
          <w:rFonts w:ascii="Times New Roman" w:eastAsia="Times New Roman" w:hAnsi="Times New Roman" w:cs="Times New Roman"/>
          <w:lang w:val="fr-FR"/>
        </w:rPr>
        <w:t>le maintien dans une unité de dégrisement pendant six heures et demie.</w:t>
      </w:r>
    </w:p>
  </w:footnote>
  <w:footnote w:id="43">
    <w:p w:rsidR="00227D74" w:rsidRPr="00C451B1" w:rsidRDefault="00227D74" w:rsidP="003D30C1">
      <w:pPr>
        <w:pStyle w:val="Testonotaapidipagina"/>
        <w:rPr>
          <w:b/>
          <w:lang w:val="fr-FR"/>
        </w:rPr>
      </w:pPr>
      <w:r w:rsidRPr="006D76A5">
        <w:rPr>
          <w:rStyle w:val="Rimandonotaapidipagina"/>
          <w:vertAlign w:val="baseline"/>
        </w:rPr>
        <w:footnoteRef/>
      </w:r>
      <w:r w:rsidRPr="006D76A5">
        <w:rPr>
          <w:lang w:val="fr-FR"/>
        </w:rPr>
        <w:t>.</w:t>
      </w:r>
      <w:r w:rsidRPr="00200388">
        <w:rPr>
          <w:lang w:val="fr-FR"/>
        </w:rPr>
        <w:t>  </w:t>
      </w:r>
      <w:r w:rsidRPr="000372FF">
        <w:rPr>
          <w:i/>
          <w:lang w:val="fr-FR"/>
        </w:rPr>
        <w:t xml:space="preserve">Buzadji c. République de Moldova </w:t>
      </w:r>
      <w:r w:rsidRPr="000372FF">
        <w:rPr>
          <w:lang w:val="fr-FR"/>
        </w:rPr>
        <w:t>[GC]</w:t>
      </w:r>
      <w:r w:rsidRPr="000372FF">
        <w:rPr>
          <w:i/>
          <w:lang w:val="fr-FR"/>
        </w:rPr>
        <w:t>,</w:t>
      </w:r>
      <w:r w:rsidRPr="000372FF">
        <w:rPr>
          <w:lang w:val="fr-FR"/>
        </w:rPr>
        <w:t xml:space="preserve"> n</w:t>
      </w:r>
      <w:r w:rsidRPr="000372FF">
        <w:rPr>
          <w:vertAlign w:val="superscript"/>
          <w:lang w:val="fr-FR"/>
        </w:rPr>
        <w:t>o</w:t>
      </w:r>
      <w:r w:rsidRPr="000372FF">
        <w:rPr>
          <w:lang w:val="fr-FR"/>
        </w:rPr>
        <w:t xml:space="preserve"> 23755/07, § </w:t>
      </w:r>
      <w:r w:rsidRPr="00527505">
        <w:rPr>
          <w:lang w:val="fr-FR"/>
        </w:rPr>
        <w:t>104, CEDH 2016.</w:t>
      </w:r>
    </w:p>
  </w:footnote>
  <w:footnote w:id="44">
    <w:p w:rsidR="00227D74" w:rsidRPr="002D1D23" w:rsidRDefault="00227D74" w:rsidP="003D30C1">
      <w:pPr>
        <w:pStyle w:val="Testonotaapidipagina"/>
        <w:rPr>
          <w:lang w:val="fr-FR"/>
        </w:rPr>
      </w:pPr>
      <w:r w:rsidRPr="006D76A5">
        <w:rPr>
          <w:rStyle w:val="Rimandonotaapidipagina"/>
          <w:vertAlign w:val="baseline"/>
        </w:rPr>
        <w:footnoteRef/>
      </w:r>
      <w:r w:rsidRPr="006D76A5">
        <w:rPr>
          <w:lang w:val="it-IT"/>
        </w:rPr>
        <w:t>.</w:t>
      </w:r>
      <w:r w:rsidRPr="00BB5D45">
        <w:rPr>
          <w:lang w:val="it-IT"/>
        </w:rPr>
        <w:t xml:space="preserve">  La </w:t>
      </w:r>
      <w:r w:rsidRPr="00BB5D45">
        <w:rPr>
          <w:i/>
          <w:lang w:val="it-IT"/>
        </w:rPr>
        <w:t>legge-delega</w:t>
      </w:r>
      <w:r w:rsidRPr="00BB5D45">
        <w:rPr>
          <w:lang w:val="it-IT"/>
        </w:rPr>
        <w:t xml:space="preserve"> n</w:t>
      </w:r>
      <w:r w:rsidRPr="00BB5D45">
        <w:rPr>
          <w:vertAlign w:val="superscript"/>
          <w:lang w:val="it-IT"/>
        </w:rPr>
        <w:t>o</w:t>
      </w:r>
      <w:r w:rsidRPr="00BB5D45">
        <w:rPr>
          <w:lang w:val="it-IT"/>
        </w:rPr>
        <w:t xml:space="preserve"> 136 du 13 août 2010 a exigé que les catégories de personnes auxquelles s’appliquaient les mesures fussent établies à partir de « conditions clairement définies, évoquant l’existence de circonstances de fait » (« </w:t>
      </w:r>
      <w:r w:rsidRPr="00DB778A">
        <w:rPr>
          <w:i/>
          <w:lang w:val="it-IT"/>
        </w:rPr>
        <w:t>che venga definita in maniera organica la categoria dei destinatari delle misure di prevenzione personali e patrimoniali, ancorandone la previsione a presupposti chiaramente definiti e riferiti in particolare all'esistenza di circostanze di fatto che giustificano l'applicazione delle suddette misure di prevenzione e, per le sole misure personali, anche alla sussistenza del requisito della pericolosità del soggetto</w:t>
      </w:r>
      <w:r>
        <w:rPr>
          <w:i/>
          <w:lang w:val="it-IT"/>
        </w:rPr>
        <w:t> </w:t>
      </w:r>
      <w:r w:rsidRPr="00BB5D45">
        <w:rPr>
          <w:lang w:val="it-IT"/>
        </w:rPr>
        <w:t xml:space="preserve">»). </w:t>
      </w:r>
      <w:r w:rsidRPr="002D1D23">
        <w:rPr>
          <w:lang w:val="fr-FR"/>
        </w:rPr>
        <w:t xml:space="preserve">Cela ne peut être interprété que comme </w:t>
      </w:r>
      <w:r>
        <w:rPr>
          <w:lang w:val="fr-FR"/>
        </w:rPr>
        <w:t>la</w:t>
      </w:r>
      <w:r w:rsidRPr="002D1D23">
        <w:rPr>
          <w:lang w:val="fr-FR"/>
        </w:rPr>
        <w:t xml:space="preserve"> reconnaissance implicite, pa</w:t>
      </w:r>
      <w:r>
        <w:rPr>
          <w:lang w:val="fr-FR"/>
        </w:rPr>
        <w:t>r l</w:t>
      </w:r>
      <w:r w:rsidRPr="002D1D23">
        <w:rPr>
          <w:lang w:val="fr-FR"/>
        </w:rPr>
        <w:t xml:space="preserve">es autorités nationales, </w:t>
      </w:r>
      <w:r>
        <w:rPr>
          <w:lang w:val="fr-FR"/>
        </w:rPr>
        <w:t>du</w:t>
      </w:r>
      <w:r w:rsidRPr="002D1D23">
        <w:rPr>
          <w:lang w:val="fr-FR"/>
        </w:rPr>
        <w:t xml:space="preserve"> manque de clarté de la loi de 1956. </w:t>
      </w:r>
    </w:p>
  </w:footnote>
  <w:footnote w:id="45">
    <w:p w:rsidR="00227D74" w:rsidRPr="00BB5D45" w:rsidRDefault="00227D74" w:rsidP="003D30C1">
      <w:pPr>
        <w:pStyle w:val="Testonotaapidipagina"/>
        <w:rPr>
          <w:lang w:val="it-IT"/>
        </w:rPr>
      </w:pPr>
      <w:r w:rsidRPr="006D76A5">
        <w:rPr>
          <w:rStyle w:val="Rimandonotaapidipagina"/>
          <w:vertAlign w:val="baseline"/>
        </w:rPr>
        <w:footnoteRef/>
      </w:r>
      <w:r w:rsidRPr="006D76A5">
        <w:rPr>
          <w:lang w:val="it-IT"/>
        </w:rPr>
        <w:t>. </w:t>
      </w:r>
      <w:r w:rsidRPr="00BB5D45">
        <w:rPr>
          <w:lang w:val="it-IT"/>
        </w:rPr>
        <w:t xml:space="preserve"> Voir, </w:t>
      </w:r>
      <w:r w:rsidRPr="00BB5D45">
        <w:rPr>
          <w:i/>
          <w:lang w:val="it-IT"/>
        </w:rPr>
        <w:t>a contrario</w:t>
      </w:r>
      <w:r w:rsidRPr="00BB5D45">
        <w:rPr>
          <w:lang w:val="it-IT"/>
        </w:rPr>
        <w:t xml:space="preserve">, </w:t>
      </w:r>
      <w:r w:rsidRPr="00BB5D45">
        <w:rPr>
          <w:i/>
          <w:lang w:val="it-IT"/>
        </w:rPr>
        <w:t>Danov c. Bulgarie</w:t>
      </w:r>
      <w:r w:rsidRPr="00BB5D45">
        <w:rPr>
          <w:lang w:val="it-IT"/>
        </w:rPr>
        <w:t>, n</w:t>
      </w:r>
      <w:r w:rsidRPr="00BB5D45">
        <w:rPr>
          <w:vertAlign w:val="superscript"/>
          <w:lang w:val="it-IT"/>
        </w:rPr>
        <w:t>o</w:t>
      </w:r>
      <w:r w:rsidRPr="00BB5D45">
        <w:rPr>
          <w:lang w:val="it-IT"/>
        </w:rPr>
        <w:t xml:space="preserve"> 56796/00, 26 octobre 2006,</w:t>
      </w:r>
      <w:r w:rsidRPr="00BB5D45">
        <w:rPr>
          <w:rFonts w:eastAsia="Calibri"/>
          <w:szCs w:val="24"/>
          <w:lang w:val="it-IT"/>
        </w:rPr>
        <w:t xml:space="preserve"> </w:t>
      </w:r>
      <w:r w:rsidRPr="00BB5D45">
        <w:rPr>
          <w:rFonts w:eastAsia="Times New Roman"/>
          <w:i/>
          <w:lang w:val="it-IT"/>
        </w:rPr>
        <w:t>Mancini</w:t>
      </w:r>
      <w:r w:rsidRPr="00BB5D45">
        <w:rPr>
          <w:rFonts w:eastAsia="Times New Roman"/>
          <w:lang w:val="it-IT"/>
        </w:rPr>
        <w:t>, précité, §</w:t>
      </w:r>
      <w:r w:rsidRPr="00BB5D45">
        <w:rPr>
          <w:rFonts w:ascii="Times New Roman" w:eastAsia="Times New Roman" w:hAnsi="Times New Roman" w:cs="Times New Roman"/>
          <w:lang w:val="it-IT"/>
        </w:rPr>
        <w:t> </w:t>
      </w:r>
      <w:r w:rsidRPr="00BB5D45">
        <w:rPr>
          <w:rFonts w:eastAsia="Times New Roman"/>
          <w:lang w:val="it-IT"/>
        </w:rPr>
        <w:t>20,</w:t>
      </w:r>
      <w:r w:rsidRPr="00BB5D45">
        <w:rPr>
          <w:rFonts w:eastAsia="Calibri"/>
          <w:i/>
          <w:szCs w:val="24"/>
          <w:lang w:val="it-IT"/>
        </w:rPr>
        <w:t xml:space="preserve"> </w:t>
      </w:r>
      <w:r w:rsidRPr="00BB5D45">
        <w:rPr>
          <w:rFonts w:eastAsia="Times New Roman"/>
          <w:i/>
          <w:lang w:val="it-IT"/>
        </w:rPr>
        <w:t>Nikolova c. Bulgarie (n</w:t>
      </w:r>
      <w:r w:rsidRPr="00BB5D45">
        <w:rPr>
          <w:rFonts w:eastAsia="Times New Roman"/>
          <w:i/>
          <w:vertAlign w:val="superscript"/>
          <w:lang w:val="it-IT"/>
        </w:rPr>
        <w:t>o</w:t>
      </w:r>
      <w:r w:rsidRPr="00BB5D45">
        <w:rPr>
          <w:rFonts w:eastAsia="Times New Roman"/>
          <w:i/>
          <w:lang w:val="it-IT"/>
        </w:rPr>
        <w:t xml:space="preserve"> 2)</w:t>
      </w:r>
      <w:r w:rsidRPr="00BB5D45">
        <w:rPr>
          <w:rFonts w:eastAsia="Times New Roman"/>
          <w:lang w:val="it-IT"/>
        </w:rPr>
        <w:t>, n</w:t>
      </w:r>
      <w:r w:rsidRPr="00BB5D45">
        <w:rPr>
          <w:rFonts w:eastAsia="Times New Roman"/>
          <w:vertAlign w:val="superscript"/>
          <w:lang w:val="it-IT"/>
        </w:rPr>
        <w:t>o</w:t>
      </w:r>
      <w:r w:rsidRPr="00BB5D45">
        <w:rPr>
          <w:rFonts w:eastAsia="Times New Roman"/>
          <w:lang w:val="it-IT"/>
        </w:rPr>
        <w:t xml:space="preserve"> 40896/98, 30 septembre 2004, et </w:t>
      </w:r>
      <w:r w:rsidRPr="00BB5D45">
        <w:rPr>
          <w:rFonts w:eastAsia="Times New Roman"/>
          <w:i/>
          <w:lang w:val="it-IT"/>
        </w:rPr>
        <w:t>Vachev c. Bulgarie</w:t>
      </w:r>
      <w:r w:rsidRPr="00BB5D45">
        <w:rPr>
          <w:rFonts w:eastAsia="Times New Roman"/>
          <w:iCs/>
          <w:lang w:val="it-IT"/>
        </w:rPr>
        <w:t xml:space="preserve">, </w:t>
      </w:r>
      <w:r w:rsidRPr="00BB5D45">
        <w:rPr>
          <w:rFonts w:eastAsia="Times New Roman"/>
          <w:lang w:val="it-IT"/>
        </w:rPr>
        <w:t>n</w:t>
      </w:r>
      <w:r w:rsidRPr="00BB5D45">
        <w:rPr>
          <w:rFonts w:eastAsia="Times New Roman"/>
          <w:vertAlign w:val="superscript"/>
          <w:lang w:val="it-IT"/>
        </w:rPr>
        <w:t>o</w:t>
      </w:r>
      <w:r w:rsidRPr="00BB5D45">
        <w:rPr>
          <w:rFonts w:eastAsia="Times New Roman"/>
          <w:lang w:val="it-IT"/>
        </w:rPr>
        <w:t> 42987/98, § 64, CEDH 2004</w:t>
      </w:r>
      <w:r w:rsidRPr="00BB5D45">
        <w:rPr>
          <w:rFonts w:eastAsia="Times New Roman"/>
          <w:lang w:val="it-IT"/>
        </w:rPr>
        <w:noBreakHyphen/>
        <w:t>VIII.</w:t>
      </w:r>
    </w:p>
  </w:footnote>
  <w:footnote w:id="46">
    <w:p w:rsidR="00227D74" w:rsidRPr="00200388" w:rsidRDefault="00227D74" w:rsidP="003D30C1">
      <w:pPr>
        <w:pStyle w:val="Testonotaapidipagina"/>
        <w:rPr>
          <w:lang w:val="fr-FR"/>
        </w:rPr>
      </w:pPr>
      <w:r w:rsidRPr="006D76A5">
        <w:rPr>
          <w:rStyle w:val="Rimandonotaapidipagina"/>
          <w:vertAlign w:val="baseline"/>
        </w:rPr>
        <w:footnoteRef/>
      </w:r>
      <w:r w:rsidRPr="006D76A5">
        <w:rPr>
          <w:lang w:val="fr-FR"/>
        </w:rPr>
        <w:t>. </w:t>
      </w:r>
      <w:r w:rsidRPr="00200388">
        <w:rPr>
          <w:lang w:val="fr-FR"/>
        </w:rPr>
        <w:t> </w:t>
      </w:r>
      <w:r w:rsidRPr="00200388">
        <w:rPr>
          <w:rFonts w:eastAsia="Times New Roman"/>
          <w:i/>
          <w:lang w:val="fr-FR"/>
        </w:rPr>
        <w:t>Guzzardi</w:t>
      </w:r>
      <w:r w:rsidRPr="00200388">
        <w:rPr>
          <w:rFonts w:eastAsia="Times New Roman"/>
          <w:lang w:val="fr-FR"/>
        </w:rPr>
        <w:t>, précité, § 100.</w:t>
      </w:r>
    </w:p>
  </w:footnote>
  <w:footnote w:id="47">
    <w:p w:rsidR="00227D74" w:rsidRPr="00944182" w:rsidRDefault="00227D74" w:rsidP="003D30C1">
      <w:pPr>
        <w:pStyle w:val="Testonotaapidipagina"/>
        <w:rPr>
          <w:lang w:val="fr-FR"/>
        </w:rPr>
      </w:pPr>
      <w:r w:rsidRPr="006D76A5">
        <w:rPr>
          <w:rStyle w:val="Rimandonotaapidipagina"/>
          <w:vertAlign w:val="baseline"/>
        </w:rPr>
        <w:footnoteRef/>
      </w:r>
      <w:r w:rsidRPr="00200388">
        <w:rPr>
          <w:lang w:val="fr-FR"/>
        </w:rPr>
        <w:t>.  </w:t>
      </w:r>
      <w:r>
        <w:rPr>
          <w:lang w:val="fr-FR"/>
        </w:rPr>
        <w:t xml:space="preserve">Voir, </w:t>
      </w:r>
      <w:r w:rsidRPr="001C0648">
        <w:rPr>
          <w:i/>
          <w:lang w:val="fr-FR"/>
        </w:rPr>
        <w:t>a contrario</w:t>
      </w:r>
      <w:r>
        <w:rPr>
          <w:lang w:val="fr-FR"/>
        </w:rPr>
        <w:t xml:space="preserve">, </w:t>
      </w:r>
      <w:r w:rsidRPr="00944182">
        <w:rPr>
          <w:rFonts w:eastAsia="Times New Roman"/>
          <w:i/>
          <w:lang w:val="fr-FR"/>
        </w:rPr>
        <w:t>Van Droogenbroeck c. Belgique</w:t>
      </w:r>
      <w:r w:rsidRPr="00944182">
        <w:rPr>
          <w:rFonts w:eastAsia="Times New Roman"/>
          <w:lang w:val="fr-FR"/>
        </w:rPr>
        <w:t>, 24 juin 1982, § 35, série A n</w:t>
      </w:r>
      <w:r w:rsidRPr="00944182">
        <w:rPr>
          <w:rFonts w:eastAsia="Times New Roman"/>
          <w:vertAlign w:val="superscript"/>
          <w:lang w:val="fr-FR"/>
        </w:rPr>
        <w:t>o</w:t>
      </w:r>
      <w:r w:rsidRPr="00944182">
        <w:rPr>
          <w:rFonts w:eastAsia="Times New Roman"/>
          <w:lang w:val="fr-FR"/>
        </w:rPr>
        <w:t xml:space="preserve"> 50.</w:t>
      </w:r>
    </w:p>
  </w:footnote>
  <w:footnote w:id="48">
    <w:p w:rsidR="00227D74" w:rsidRPr="00C7463B" w:rsidRDefault="00227D74" w:rsidP="003D30C1">
      <w:pPr>
        <w:pStyle w:val="Testonotaapidipagina"/>
        <w:rPr>
          <w:lang w:val="pt-PT"/>
        </w:rPr>
      </w:pPr>
      <w:r w:rsidRPr="006D76A5">
        <w:rPr>
          <w:rStyle w:val="Rimandonotaapidipagina"/>
          <w:vertAlign w:val="baseline"/>
        </w:rPr>
        <w:footnoteRef/>
      </w:r>
      <w:r w:rsidRPr="006D76A5">
        <w:rPr>
          <w:lang w:val="fr-FR"/>
        </w:rPr>
        <w:t>.  </w:t>
      </w:r>
      <w:r w:rsidRPr="00200388">
        <w:rPr>
          <w:rFonts w:eastAsia="Times New Roman"/>
          <w:i/>
          <w:lang w:val="fr-FR"/>
        </w:rPr>
        <w:t>Guzzardi</w:t>
      </w:r>
      <w:r w:rsidRPr="00200388">
        <w:rPr>
          <w:rFonts w:eastAsia="Times New Roman"/>
          <w:lang w:val="fr-FR"/>
        </w:rPr>
        <w:t>, précité, § 101.</w:t>
      </w:r>
    </w:p>
  </w:footnote>
  <w:footnote w:id="49">
    <w:p w:rsidR="00227D74" w:rsidRPr="00944182" w:rsidRDefault="00227D74" w:rsidP="003D30C1">
      <w:pPr>
        <w:pStyle w:val="Testonotaapidipagina"/>
        <w:rPr>
          <w:lang w:val="fr-FR"/>
        </w:rPr>
      </w:pPr>
      <w:r w:rsidRPr="006D76A5">
        <w:rPr>
          <w:rStyle w:val="Rimandonotaapidipagina"/>
          <w:vertAlign w:val="baseline"/>
        </w:rPr>
        <w:footnoteRef/>
      </w:r>
      <w:r w:rsidRPr="006D76A5">
        <w:rPr>
          <w:lang w:val="fr-FR"/>
        </w:rPr>
        <w:t>. </w:t>
      </w:r>
      <w:r w:rsidRPr="00200388">
        <w:rPr>
          <w:lang w:val="fr-FR"/>
        </w:rPr>
        <w:t> </w:t>
      </w:r>
      <w:r>
        <w:rPr>
          <w:lang w:val="fr-FR"/>
        </w:rPr>
        <w:t xml:space="preserve">Voir, </w:t>
      </w:r>
      <w:r w:rsidRPr="001C0648">
        <w:rPr>
          <w:i/>
          <w:lang w:val="fr-FR"/>
        </w:rPr>
        <w:t>a contrario</w:t>
      </w:r>
      <w:r>
        <w:rPr>
          <w:lang w:val="fr-FR"/>
        </w:rPr>
        <w:t xml:space="preserve">, </w:t>
      </w:r>
      <w:r w:rsidRPr="00944182">
        <w:rPr>
          <w:rFonts w:eastAsia="Times New Roman"/>
          <w:i/>
          <w:lang w:val="fr-FR"/>
        </w:rPr>
        <w:t>Steel et autres c. Royaume-Uni</w:t>
      </w:r>
      <w:r w:rsidRPr="00944182">
        <w:rPr>
          <w:rFonts w:eastAsia="Times New Roman"/>
          <w:lang w:val="fr-FR"/>
        </w:rPr>
        <w:t xml:space="preserve">, 23 septembre 1998, § 66, </w:t>
      </w:r>
      <w:r w:rsidRPr="00944182">
        <w:rPr>
          <w:rFonts w:eastAsia="Times New Roman"/>
          <w:i/>
          <w:lang w:val="fr-FR"/>
        </w:rPr>
        <w:t>Recueil</w:t>
      </w:r>
      <w:r w:rsidRPr="00944182">
        <w:rPr>
          <w:rFonts w:eastAsia="Times New Roman"/>
          <w:lang w:val="fr-FR"/>
        </w:rPr>
        <w:t xml:space="preserve"> 1998</w:t>
      </w:r>
      <w:r w:rsidRPr="00944182">
        <w:rPr>
          <w:rFonts w:eastAsia="Times New Roman"/>
          <w:lang w:val="fr-FR"/>
        </w:rPr>
        <w:noBreakHyphen/>
        <w:t xml:space="preserve">VII, </w:t>
      </w:r>
      <w:r w:rsidRPr="00944182">
        <w:rPr>
          <w:rFonts w:eastAsia="Times New Roman"/>
          <w:i/>
          <w:lang w:val="fr-FR"/>
        </w:rPr>
        <w:t>Nowicka c. Pologne</w:t>
      </w:r>
      <w:r w:rsidRPr="00944182">
        <w:rPr>
          <w:rFonts w:eastAsia="Times New Roman"/>
          <w:lang w:val="fr-FR"/>
        </w:rPr>
        <w:t>, n</w:t>
      </w:r>
      <w:r w:rsidRPr="00944182">
        <w:rPr>
          <w:rFonts w:eastAsia="Times New Roman"/>
          <w:vertAlign w:val="superscript"/>
          <w:lang w:val="fr-FR"/>
        </w:rPr>
        <w:t xml:space="preserve">o </w:t>
      </w:r>
      <w:r w:rsidRPr="00944182">
        <w:rPr>
          <w:rFonts w:eastAsia="Times New Roman"/>
          <w:lang w:val="fr-FR"/>
        </w:rPr>
        <w:t xml:space="preserve">30218/96, § 60, 3 décembre 2002, </w:t>
      </w:r>
      <w:r w:rsidRPr="00944182">
        <w:rPr>
          <w:rFonts w:eastAsia="Times New Roman"/>
          <w:i/>
          <w:lang w:val="fr-FR"/>
        </w:rPr>
        <w:t xml:space="preserve">Harkmann </w:t>
      </w:r>
      <w:r>
        <w:rPr>
          <w:rFonts w:eastAsia="Times New Roman"/>
          <w:i/>
          <w:lang w:val="fr-FR"/>
        </w:rPr>
        <w:t>c</w:t>
      </w:r>
      <w:r w:rsidRPr="00944182">
        <w:rPr>
          <w:rFonts w:eastAsia="Times New Roman"/>
          <w:i/>
          <w:lang w:val="fr-FR"/>
        </w:rPr>
        <w:t>. Estoni</w:t>
      </w:r>
      <w:r>
        <w:rPr>
          <w:rFonts w:eastAsia="Times New Roman"/>
          <w:i/>
          <w:lang w:val="fr-FR"/>
        </w:rPr>
        <w:t>e</w:t>
      </w:r>
      <w:r w:rsidRPr="00944182">
        <w:rPr>
          <w:rFonts w:eastAsia="Times New Roman"/>
          <w:lang w:val="fr-FR"/>
        </w:rPr>
        <w:t>, n</w:t>
      </w:r>
      <w:r w:rsidRPr="00944182">
        <w:rPr>
          <w:rFonts w:eastAsia="Times New Roman"/>
          <w:vertAlign w:val="superscript"/>
          <w:lang w:val="fr-FR"/>
        </w:rPr>
        <w:t>o</w:t>
      </w:r>
      <w:r>
        <w:rPr>
          <w:rFonts w:eastAsia="Times New Roman"/>
          <w:vertAlign w:val="superscript"/>
          <w:lang w:val="fr-FR"/>
        </w:rPr>
        <w:t> </w:t>
      </w:r>
      <w:r>
        <w:rPr>
          <w:rFonts w:eastAsia="Times New Roman"/>
          <w:lang w:val="fr-FR"/>
        </w:rPr>
        <w:t xml:space="preserve">2192/03, § </w:t>
      </w:r>
      <w:r w:rsidRPr="00944182">
        <w:rPr>
          <w:rFonts w:eastAsia="Times New Roman"/>
          <w:lang w:val="fr-FR"/>
        </w:rPr>
        <w:t xml:space="preserve">30, 11 </w:t>
      </w:r>
      <w:r>
        <w:rPr>
          <w:rFonts w:eastAsia="Times New Roman"/>
          <w:lang w:val="fr-FR"/>
        </w:rPr>
        <w:t xml:space="preserve">juillet </w:t>
      </w:r>
      <w:r w:rsidRPr="00944182">
        <w:rPr>
          <w:rFonts w:eastAsia="Times New Roman"/>
          <w:lang w:val="fr-FR"/>
        </w:rPr>
        <w:t>2006</w:t>
      </w:r>
      <w:r>
        <w:rPr>
          <w:rFonts w:eastAsia="Times New Roman"/>
          <w:lang w:val="fr-FR"/>
        </w:rPr>
        <w:t xml:space="preserve">, et </w:t>
      </w:r>
      <w:r w:rsidRPr="00944182">
        <w:rPr>
          <w:rFonts w:eastAsia="Times New Roman"/>
          <w:i/>
          <w:lang w:val="fr-FR"/>
        </w:rPr>
        <w:t xml:space="preserve">Gatt </w:t>
      </w:r>
      <w:r>
        <w:rPr>
          <w:rFonts w:eastAsia="Times New Roman"/>
          <w:i/>
          <w:lang w:val="fr-FR"/>
        </w:rPr>
        <w:t>c</w:t>
      </w:r>
      <w:r w:rsidRPr="00944182">
        <w:rPr>
          <w:rFonts w:eastAsia="Times New Roman"/>
          <w:i/>
          <w:lang w:val="fr-FR"/>
        </w:rPr>
        <w:t>. Malt</w:t>
      </w:r>
      <w:r>
        <w:rPr>
          <w:rFonts w:eastAsia="Times New Roman"/>
          <w:i/>
          <w:lang w:val="fr-FR"/>
        </w:rPr>
        <w:t>e</w:t>
      </w:r>
      <w:r w:rsidRPr="00944182">
        <w:rPr>
          <w:rFonts w:eastAsia="Times New Roman"/>
          <w:lang w:val="fr-FR"/>
        </w:rPr>
        <w:t>, n</w:t>
      </w:r>
      <w:r w:rsidRPr="00944182">
        <w:rPr>
          <w:rFonts w:eastAsia="Times New Roman"/>
          <w:vertAlign w:val="superscript"/>
          <w:lang w:val="fr-FR"/>
        </w:rPr>
        <w:t>o</w:t>
      </w:r>
      <w:r>
        <w:rPr>
          <w:rFonts w:eastAsia="Times New Roman"/>
          <w:vertAlign w:val="superscript"/>
          <w:lang w:val="fr-FR"/>
        </w:rPr>
        <w:t xml:space="preserve"> </w:t>
      </w:r>
      <w:r>
        <w:rPr>
          <w:rFonts w:eastAsia="Times New Roman"/>
          <w:lang w:val="fr-FR"/>
        </w:rPr>
        <w:t xml:space="preserve">28221/08, § 36, </w:t>
      </w:r>
      <w:r w:rsidRPr="00944182">
        <w:rPr>
          <w:rFonts w:eastAsia="Times New Roman"/>
          <w:lang w:val="fr-FR"/>
        </w:rPr>
        <w:t>C</w:t>
      </w:r>
      <w:r>
        <w:rPr>
          <w:rFonts w:eastAsia="Times New Roman"/>
          <w:lang w:val="fr-FR"/>
        </w:rPr>
        <w:t>ED</w:t>
      </w:r>
      <w:r w:rsidRPr="00944182">
        <w:rPr>
          <w:rFonts w:eastAsia="Times New Roman"/>
          <w:lang w:val="fr-FR"/>
        </w:rPr>
        <w:t>H 2010.</w:t>
      </w:r>
    </w:p>
  </w:footnote>
  <w:footnote w:id="50">
    <w:p w:rsidR="00227D74" w:rsidRPr="006A6D5D" w:rsidRDefault="00227D74" w:rsidP="003D30C1">
      <w:pPr>
        <w:pStyle w:val="Testonotaapidipagina"/>
        <w:rPr>
          <w:lang w:val="fr-FR"/>
        </w:rPr>
      </w:pPr>
      <w:r w:rsidRPr="006D76A5">
        <w:rPr>
          <w:rStyle w:val="Rimandonotaapidipagina"/>
          <w:vertAlign w:val="baseline"/>
        </w:rPr>
        <w:footnoteRef/>
      </w:r>
      <w:r w:rsidRPr="006D76A5">
        <w:rPr>
          <w:lang w:val="fr-FR"/>
        </w:rPr>
        <w:t>. </w:t>
      </w:r>
      <w:r w:rsidRPr="00200388">
        <w:rPr>
          <w:lang w:val="fr-FR"/>
        </w:rPr>
        <w:t> </w:t>
      </w:r>
      <w:r>
        <w:rPr>
          <w:lang w:val="fr-FR"/>
        </w:rPr>
        <w:t xml:space="preserve">Voir, </w:t>
      </w:r>
      <w:r w:rsidRPr="001C0648">
        <w:rPr>
          <w:i/>
          <w:lang w:val="fr-FR"/>
        </w:rPr>
        <w:t>a contrario</w:t>
      </w:r>
      <w:r>
        <w:rPr>
          <w:lang w:val="fr-FR"/>
        </w:rPr>
        <w:t xml:space="preserve">, </w:t>
      </w:r>
      <w:r w:rsidRPr="006A6D5D">
        <w:rPr>
          <w:rFonts w:eastAsia="Times New Roman"/>
          <w:i/>
          <w:lang w:val="fr-FR"/>
        </w:rPr>
        <w:t>Vasileva c. Danemark</w:t>
      </w:r>
      <w:r w:rsidRPr="006A6D5D">
        <w:rPr>
          <w:rFonts w:eastAsia="Times New Roman"/>
          <w:lang w:val="fr-FR"/>
        </w:rPr>
        <w:t>, n</w:t>
      </w:r>
      <w:r w:rsidRPr="006A6D5D">
        <w:rPr>
          <w:rFonts w:eastAsia="Times New Roman"/>
          <w:vertAlign w:val="superscript"/>
          <w:lang w:val="fr-FR"/>
        </w:rPr>
        <w:t>o</w:t>
      </w:r>
      <w:r w:rsidRPr="006A6D5D">
        <w:rPr>
          <w:rFonts w:eastAsia="Times New Roman"/>
          <w:lang w:val="fr-FR"/>
        </w:rPr>
        <w:t xml:space="preserve"> 52792/99, § 36, 25 septembre 2003, et </w:t>
      </w:r>
      <w:r w:rsidRPr="006A6D5D">
        <w:rPr>
          <w:rFonts w:eastAsia="Times New Roman"/>
          <w:i/>
          <w:szCs w:val="24"/>
          <w:lang w:val="fr-FR"/>
        </w:rPr>
        <w:t xml:space="preserve">Epple </w:t>
      </w:r>
      <w:r>
        <w:rPr>
          <w:rFonts w:eastAsia="Times New Roman"/>
          <w:i/>
          <w:szCs w:val="24"/>
          <w:lang w:val="fr-FR"/>
        </w:rPr>
        <w:t>c</w:t>
      </w:r>
      <w:r w:rsidRPr="006A6D5D">
        <w:rPr>
          <w:rFonts w:eastAsia="Times New Roman"/>
          <w:i/>
          <w:szCs w:val="24"/>
          <w:lang w:val="fr-FR"/>
        </w:rPr>
        <w:t>.</w:t>
      </w:r>
      <w:r>
        <w:rPr>
          <w:rFonts w:eastAsia="Times New Roman"/>
          <w:i/>
          <w:szCs w:val="24"/>
          <w:lang w:val="fr-FR"/>
        </w:rPr>
        <w:t> Allemagne</w:t>
      </w:r>
      <w:r w:rsidRPr="006A6D5D">
        <w:rPr>
          <w:rFonts w:eastAsia="Times New Roman"/>
          <w:szCs w:val="24"/>
          <w:lang w:val="fr-FR"/>
        </w:rPr>
        <w:t>, n</w:t>
      </w:r>
      <w:r w:rsidRPr="006A6D5D">
        <w:rPr>
          <w:rFonts w:eastAsia="Times New Roman"/>
          <w:szCs w:val="24"/>
          <w:vertAlign w:val="superscript"/>
          <w:lang w:val="fr-FR"/>
        </w:rPr>
        <w:t>o</w:t>
      </w:r>
      <w:r w:rsidRPr="006A6D5D">
        <w:rPr>
          <w:rFonts w:eastAsia="Times New Roman"/>
          <w:szCs w:val="24"/>
          <w:lang w:val="fr-FR"/>
        </w:rPr>
        <w:t> 77909/01, § 36, 24 mars 2005.</w:t>
      </w:r>
    </w:p>
  </w:footnote>
  <w:footnote w:id="51">
    <w:p w:rsidR="00227D74" w:rsidRPr="00200388" w:rsidRDefault="00227D74" w:rsidP="003D30C1">
      <w:pPr>
        <w:pStyle w:val="Testonotaapidipagina"/>
        <w:rPr>
          <w:lang w:val="fr-FR"/>
        </w:rPr>
      </w:pPr>
      <w:r w:rsidRPr="006D76A5">
        <w:rPr>
          <w:rStyle w:val="Rimandonotaapidipagina"/>
          <w:vertAlign w:val="baseline"/>
        </w:rPr>
        <w:footnoteRef/>
      </w:r>
      <w:r w:rsidRPr="006D76A5">
        <w:rPr>
          <w:lang w:val="fr-FR"/>
        </w:rPr>
        <w:t>.  </w:t>
      </w:r>
      <w:r w:rsidRPr="00200388">
        <w:rPr>
          <w:rFonts w:eastAsia="Times New Roman"/>
          <w:i/>
          <w:lang w:val="fr-FR"/>
        </w:rPr>
        <w:t>Guzzardi</w:t>
      </w:r>
      <w:r w:rsidRPr="00200388">
        <w:rPr>
          <w:rFonts w:eastAsia="Times New Roman"/>
          <w:lang w:val="fr-FR"/>
        </w:rPr>
        <w:t>, précité, § 102.</w:t>
      </w:r>
    </w:p>
  </w:footnote>
  <w:footnote w:id="52">
    <w:p w:rsidR="00227D74" w:rsidRPr="006A6D5D" w:rsidRDefault="00227D74" w:rsidP="003D30C1">
      <w:pPr>
        <w:pStyle w:val="Testonotaapidipagina"/>
        <w:rPr>
          <w:lang w:val="fr-FR"/>
        </w:rPr>
      </w:pPr>
      <w:r w:rsidRPr="006D76A5">
        <w:rPr>
          <w:rStyle w:val="Rimandonotaapidipagina"/>
          <w:vertAlign w:val="baseline"/>
        </w:rPr>
        <w:footnoteRef/>
      </w:r>
      <w:r w:rsidRPr="006D76A5">
        <w:rPr>
          <w:lang w:val="fr-FR"/>
        </w:rPr>
        <w:t>.  </w:t>
      </w:r>
      <w:r w:rsidRPr="006D76A5">
        <w:rPr>
          <w:i/>
          <w:lang w:val="fr-FR"/>
        </w:rPr>
        <w:t>I</w:t>
      </w:r>
      <w:r w:rsidRPr="006D76A5">
        <w:rPr>
          <w:rFonts w:ascii="Times New Roman" w:eastAsia="Times New Roman" w:hAnsi="Times New Roman" w:cs="Times New Roman"/>
          <w:i/>
          <w:lang w:val="fr-FR"/>
        </w:rPr>
        <w:t>bidem</w:t>
      </w:r>
      <w:r>
        <w:rPr>
          <w:rFonts w:ascii="Times New Roman" w:eastAsia="Times New Roman" w:hAnsi="Times New Roman" w:cs="Times New Roman"/>
          <w:lang w:val="fr-FR"/>
        </w:rPr>
        <w:t> </w:t>
      </w:r>
      <w:r w:rsidRPr="006A6D5D">
        <w:rPr>
          <w:rFonts w:ascii="Times New Roman" w:eastAsia="Times New Roman" w:hAnsi="Times New Roman" w:cs="Times New Roman"/>
          <w:lang w:val="fr-FR"/>
        </w:rPr>
        <w:t xml:space="preserve">; voir </w:t>
      </w:r>
      <w:r>
        <w:rPr>
          <w:rFonts w:ascii="Times New Roman" w:eastAsia="Times New Roman" w:hAnsi="Times New Roman" w:cs="Times New Roman"/>
          <w:lang w:val="fr-FR"/>
        </w:rPr>
        <w:t>aussi</w:t>
      </w:r>
      <w:r w:rsidRPr="006A6D5D">
        <w:rPr>
          <w:rFonts w:ascii="Times New Roman" w:eastAsia="Times New Roman" w:hAnsi="Times New Roman" w:cs="Times New Roman"/>
          <w:lang w:val="fr-FR"/>
        </w:rPr>
        <w:t xml:space="preserve"> </w:t>
      </w:r>
      <w:r w:rsidRPr="006A6D5D">
        <w:rPr>
          <w:rFonts w:ascii="Times New Roman" w:eastAsia="Times New Roman" w:hAnsi="Times New Roman" w:cs="Times New Roman"/>
          <w:i/>
          <w:lang w:val="fr-FR"/>
        </w:rPr>
        <w:t>Lawless c. Irlande (n</w:t>
      </w:r>
      <w:r w:rsidRPr="006A6D5D">
        <w:rPr>
          <w:rFonts w:ascii="Times New Roman" w:eastAsia="Times New Roman" w:hAnsi="Times New Roman" w:cs="Times New Roman"/>
          <w:i/>
          <w:vertAlign w:val="superscript"/>
          <w:lang w:val="fr-FR"/>
        </w:rPr>
        <w:t>o</w:t>
      </w:r>
      <w:r w:rsidRPr="006A6D5D">
        <w:rPr>
          <w:rFonts w:ascii="Times New Roman" w:eastAsia="Times New Roman" w:hAnsi="Times New Roman" w:cs="Times New Roman"/>
          <w:i/>
          <w:lang w:val="fr-FR"/>
        </w:rPr>
        <w:t xml:space="preserve"> 3)</w:t>
      </w:r>
      <w:r w:rsidRPr="006A6D5D">
        <w:rPr>
          <w:rFonts w:ascii="Times New Roman" w:eastAsia="Times New Roman" w:hAnsi="Times New Roman" w:cs="Times New Roman"/>
          <w:lang w:val="fr-FR"/>
        </w:rPr>
        <w:t>, 1</w:t>
      </w:r>
      <w:r w:rsidRPr="006A6D5D">
        <w:rPr>
          <w:rFonts w:ascii="Times New Roman" w:eastAsia="Times New Roman" w:hAnsi="Times New Roman" w:cs="Times New Roman"/>
          <w:vertAlign w:val="superscript"/>
          <w:lang w:val="fr-FR"/>
        </w:rPr>
        <w:t>er</w:t>
      </w:r>
      <w:r w:rsidRPr="006A6D5D">
        <w:rPr>
          <w:rFonts w:ascii="Times New Roman" w:eastAsia="Times New Roman" w:hAnsi="Times New Roman" w:cs="Times New Roman"/>
          <w:lang w:val="fr-FR"/>
        </w:rPr>
        <w:t xml:space="preserve"> juillet 1961, série A n</w:t>
      </w:r>
      <w:r w:rsidRPr="006A6D5D">
        <w:rPr>
          <w:rFonts w:ascii="Times New Roman" w:eastAsia="Times New Roman" w:hAnsi="Times New Roman" w:cs="Times New Roman"/>
          <w:vertAlign w:val="superscript"/>
          <w:lang w:val="fr-FR"/>
        </w:rPr>
        <w:t>o</w:t>
      </w:r>
      <w:r w:rsidRPr="006A6D5D">
        <w:rPr>
          <w:rFonts w:ascii="Times New Roman" w:eastAsia="Times New Roman" w:hAnsi="Times New Roman" w:cs="Times New Roman"/>
          <w:lang w:val="fr-FR"/>
        </w:rPr>
        <w:t xml:space="preserve"> 3, et </w:t>
      </w:r>
      <w:r w:rsidRPr="006A6D5D">
        <w:rPr>
          <w:rFonts w:ascii="Times New Roman" w:eastAsia="Times New Roman" w:hAnsi="Times New Roman" w:cs="Times New Roman"/>
          <w:i/>
          <w:lang w:val="fr-FR"/>
        </w:rPr>
        <w:t>Fox, Campbell et Hartley c. Royaume-Uni</w:t>
      </w:r>
      <w:r w:rsidRPr="006A6D5D">
        <w:rPr>
          <w:rFonts w:ascii="Times New Roman" w:eastAsia="Times New Roman" w:hAnsi="Times New Roman" w:cs="Times New Roman"/>
          <w:lang w:val="fr-FR"/>
        </w:rPr>
        <w:t>, 30 août 1990, série A n</w:t>
      </w:r>
      <w:r w:rsidRPr="006A6D5D">
        <w:rPr>
          <w:rFonts w:ascii="Times New Roman" w:eastAsia="Times New Roman" w:hAnsi="Times New Roman" w:cs="Times New Roman"/>
          <w:vertAlign w:val="superscript"/>
          <w:lang w:val="fr-FR"/>
        </w:rPr>
        <w:t>o</w:t>
      </w:r>
      <w:r w:rsidRPr="006A6D5D">
        <w:rPr>
          <w:rFonts w:ascii="Times New Roman" w:eastAsia="Times New Roman" w:hAnsi="Times New Roman" w:cs="Times New Roman"/>
          <w:lang w:val="fr-FR"/>
        </w:rPr>
        <w:t xml:space="preserve"> 182.</w:t>
      </w:r>
    </w:p>
  </w:footnote>
  <w:footnote w:id="53">
    <w:p w:rsidR="00227D74" w:rsidRPr="007D014A" w:rsidRDefault="00227D74" w:rsidP="003D30C1">
      <w:pPr>
        <w:pStyle w:val="Testonotaapidipagina"/>
        <w:rPr>
          <w:lang w:val="fr-FR"/>
        </w:rPr>
      </w:pPr>
      <w:r w:rsidRPr="006D76A5">
        <w:rPr>
          <w:rStyle w:val="Rimandonotaapidipagina"/>
          <w:vertAlign w:val="baseline"/>
        </w:rPr>
        <w:footnoteRef/>
      </w:r>
      <w:r w:rsidRPr="006D76A5">
        <w:rPr>
          <w:lang w:val="fr-FR"/>
        </w:rPr>
        <w:t>.  </w:t>
      </w:r>
      <w:r w:rsidRPr="007D014A">
        <w:rPr>
          <w:i/>
          <w:lang w:val="fr-FR"/>
        </w:rPr>
        <w:t>Guzzardi</w:t>
      </w:r>
      <w:r w:rsidRPr="007D014A">
        <w:rPr>
          <w:lang w:val="fr-FR"/>
        </w:rPr>
        <w:t>, précité, § 103.</w:t>
      </w:r>
    </w:p>
  </w:footnote>
  <w:footnote w:id="54">
    <w:p w:rsidR="00227D74" w:rsidRPr="007D014A" w:rsidRDefault="00227D74" w:rsidP="003D30C1">
      <w:pPr>
        <w:pStyle w:val="Testonotaapidipagina"/>
        <w:rPr>
          <w:lang w:val="fr-FR"/>
        </w:rPr>
      </w:pPr>
      <w:r w:rsidRPr="006D76A5">
        <w:rPr>
          <w:rStyle w:val="Rimandonotaapidipagina"/>
          <w:vertAlign w:val="baseline"/>
        </w:rPr>
        <w:footnoteRef/>
      </w:r>
      <w:r w:rsidRPr="006D76A5">
        <w:rPr>
          <w:lang w:val="fr-FR"/>
        </w:rPr>
        <w:t>.  </w:t>
      </w:r>
      <w:r w:rsidRPr="006D76A5">
        <w:rPr>
          <w:i/>
          <w:lang w:val="fr-FR"/>
        </w:rPr>
        <w:t>I</w:t>
      </w:r>
      <w:r w:rsidRPr="001C0648">
        <w:rPr>
          <w:rFonts w:ascii="Times New Roman" w:eastAsia="Times New Roman" w:hAnsi="Times New Roman" w:cs="Times New Roman"/>
          <w:i/>
          <w:lang w:val="fr-FR"/>
        </w:rPr>
        <w:t>bidem</w:t>
      </w:r>
      <w:r w:rsidRPr="007D014A">
        <w:rPr>
          <w:lang w:val="fr-FR"/>
        </w:rPr>
        <w:t>, § 98.</w:t>
      </w:r>
    </w:p>
  </w:footnote>
  <w:footnote w:id="55">
    <w:p w:rsidR="00227D74" w:rsidRPr="007D014A" w:rsidRDefault="00227D74" w:rsidP="003D30C1">
      <w:pPr>
        <w:pStyle w:val="Testonotaapidipagina"/>
        <w:rPr>
          <w:lang w:val="fr-FR"/>
        </w:rPr>
      </w:pPr>
      <w:r w:rsidRPr="006D76A5">
        <w:rPr>
          <w:rStyle w:val="Rimandonotaapidipagina"/>
          <w:vertAlign w:val="baseline"/>
        </w:rPr>
        <w:footnoteRef/>
      </w:r>
      <w:r w:rsidRPr="006D76A5">
        <w:rPr>
          <w:lang w:val="fr-FR"/>
        </w:rPr>
        <w:t>.  </w:t>
      </w:r>
      <w:r w:rsidRPr="001C0648">
        <w:rPr>
          <w:i/>
          <w:lang w:val="fr-FR"/>
        </w:rPr>
        <w:t>I</w:t>
      </w:r>
      <w:r w:rsidRPr="001C0648">
        <w:rPr>
          <w:rFonts w:ascii="Times New Roman" w:eastAsia="Times New Roman" w:hAnsi="Times New Roman" w:cs="Times New Roman"/>
          <w:i/>
          <w:lang w:val="fr-FR"/>
        </w:rPr>
        <w:t>bidem</w:t>
      </w:r>
      <w:r w:rsidRPr="007D014A">
        <w:rPr>
          <w:lang w:val="fr-FR"/>
        </w:rPr>
        <w:t>, § 103.</w:t>
      </w:r>
    </w:p>
  </w:footnote>
  <w:footnote w:id="56">
    <w:p w:rsidR="00227D74" w:rsidRPr="00200388" w:rsidRDefault="00227D74" w:rsidP="003D30C1">
      <w:pPr>
        <w:pStyle w:val="Testonotaapidipagina"/>
        <w:rPr>
          <w:lang w:val="fr-FR"/>
        </w:rPr>
      </w:pPr>
      <w:r w:rsidRPr="006D76A5">
        <w:rPr>
          <w:rStyle w:val="Rimandonotaapidipagina"/>
          <w:vertAlign w:val="baseline"/>
        </w:rPr>
        <w:footnoteRef/>
      </w:r>
      <w:r w:rsidRPr="006D76A5">
        <w:rPr>
          <w:lang w:val="fr-FR"/>
        </w:rPr>
        <w:t>.</w:t>
      </w:r>
      <w:r w:rsidRPr="00200388">
        <w:rPr>
          <w:lang w:val="fr-FR"/>
        </w:rPr>
        <w:t>  </w:t>
      </w:r>
      <w:r w:rsidRPr="00200388">
        <w:rPr>
          <w:i/>
          <w:lang w:val="fr-FR"/>
        </w:rPr>
        <w:t>Engel et autres</w:t>
      </w:r>
      <w:r w:rsidRPr="00200388">
        <w:rPr>
          <w:lang w:val="fr-FR"/>
        </w:rPr>
        <w:t>, précité</w:t>
      </w:r>
      <w:r w:rsidRPr="00200388">
        <w:rPr>
          <w:rFonts w:eastAsia="Times New Roman"/>
          <w:lang w:val="fr-FR"/>
        </w:rPr>
        <w:t>, §§ 82-83.</w:t>
      </w:r>
    </w:p>
  </w:footnote>
  <w:footnote w:id="57">
    <w:p w:rsidR="00227D74" w:rsidRPr="00BB5D45" w:rsidRDefault="00227D74" w:rsidP="003D30C1">
      <w:pPr>
        <w:pStyle w:val="Testonotaapidipagina"/>
        <w:rPr>
          <w:lang w:val="it-IT"/>
        </w:rPr>
      </w:pPr>
      <w:r w:rsidRPr="006D76A5">
        <w:rPr>
          <w:rStyle w:val="Rimandonotaapidipagina"/>
          <w:vertAlign w:val="baseline"/>
        </w:rPr>
        <w:footnoteRef/>
      </w:r>
      <w:r w:rsidRPr="006D76A5">
        <w:rPr>
          <w:lang w:val="it-IT"/>
        </w:rPr>
        <w:t>.</w:t>
      </w:r>
      <w:r w:rsidRPr="00BB5D45">
        <w:rPr>
          <w:lang w:val="it-IT"/>
        </w:rPr>
        <w:t>  </w:t>
      </w:r>
      <w:r w:rsidRPr="00BB5D45">
        <w:rPr>
          <w:rFonts w:eastAsia="Times New Roman"/>
          <w:i/>
          <w:lang w:val="it-IT"/>
        </w:rPr>
        <w:t>Jussila c. Finlande</w:t>
      </w:r>
      <w:r w:rsidRPr="00BB5D45">
        <w:rPr>
          <w:rFonts w:eastAsia="Times New Roman"/>
          <w:lang w:val="it-IT"/>
        </w:rPr>
        <w:t xml:space="preserve"> [GC], n</w:t>
      </w:r>
      <w:r w:rsidRPr="00BB5D45">
        <w:rPr>
          <w:rFonts w:eastAsia="Times New Roman"/>
          <w:vertAlign w:val="superscript"/>
          <w:lang w:val="it-IT"/>
        </w:rPr>
        <w:t>o</w:t>
      </w:r>
      <w:r w:rsidRPr="00BB5D45">
        <w:rPr>
          <w:rFonts w:eastAsia="Times New Roman"/>
          <w:lang w:val="it-IT"/>
        </w:rPr>
        <w:t xml:space="preserve"> 73053/01, §§ 30-31, CEDH 2006</w:t>
      </w:r>
      <w:r w:rsidRPr="00BB5D45">
        <w:rPr>
          <w:rFonts w:eastAsia="Times New Roman"/>
          <w:lang w:val="it-IT"/>
        </w:rPr>
        <w:noBreakHyphen/>
        <w:t xml:space="preserve">XIV, et </w:t>
      </w:r>
      <w:r w:rsidRPr="00BB5D45">
        <w:rPr>
          <w:rFonts w:eastAsia="Times New Roman"/>
          <w:i/>
          <w:lang w:val="it-IT"/>
        </w:rPr>
        <w:t>Zaicevs c. Lettonie</w:t>
      </w:r>
      <w:r w:rsidRPr="00BB5D45">
        <w:rPr>
          <w:rFonts w:eastAsia="Times New Roman"/>
          <w:lang w:val="it-IT"/>
        </w:rPr>
        <w:t>, n</w:t>
      </w:r>
      <w:r w:rsidRPr="00BB5D45">
        <w:rPr>
          <w:rFonts w:eastAsia="Times New Roman"/>
          <w:vertAlign w:val="superscript"/>
          <w:lang w:val="it-IT"/>
        </w:rPr>
        <w:t>o</w:t>
      </w:r>
      <w:r w:rsidRPr="00BB5D45">
        <w:rPr>
          <w:rFonts w:eastAsia="Times New Roman"/>
          <w:lang w:val="it-IT"/>
        </w:rPr>
        <w:t xml:space="preserve"> 65022/01, § 31, 31 juillet 2007.</w:t>
      </w:r>
    </w:p>
  </w:footnote>
  <w:footnote w:id="58">
    <w:p w:rsidR="00227D74" w:rsidRPr="00200388" w:rsidRDefault="00227D74" w:rsidP="003D30C1">
      <w:pPr>
        <w:pStyle w:val="Testonotaapidipagina"/>
        <w:rPr>
          <w:lang w:val="fr-FR"/>
        </w:rPr>
      </w:pPr>
      <w:r w:rsidRPr="006D76A5">
        <w:rPr>
          <w:rStyle w:val="Rimandonotaapidipagina"/>
          <w:vertAlign w:val="baseline"/>
        </w:rPr>
        <w:footnoteRef/>
      </w:r>
      <w:r w:rsidRPr="006D76A5">
        <w:rPr>
          <w:lang w:val="fr-FR"/>
        </w:rPr>
        <w:t>.  </w:t>
      </w:r>
      <w:r w:rsidRPr="006D76A5">
        <w:rPr>
          <w:i/>
          <w:lang w:val="fr-FR"/>
        </w:rPr>
        <w:t>D</w:t>
      </w:r>
      <w:r w:rsidRPr="00200388">
        <w:rPr>
          <w:i/>
          <w:lang w:val="fr-FR"/>
        </w:rPr>
        <w:t>eweer c. Belgique</w:t>
      </w:r>
      <w:r w:rsidRPr="00200388">
        <w:rPr>
          <w:lang w:val="fr-FR"/>
        </w:rPr>
        <w:t xml:space="preserve">, 27 février 1980, § </w:t>
      </w:r>
      <w:r w:rsidRPr="00B533D8">
        <w:rPr>
          <w:lang w:val="fr-FR"/>
        </w:rPr>
        <w:t>46</w:t>
      </w:r>
      <w:r w:rsidRPr="00200388">
        <w:rPr>
          <w:lang w:val="fr-FR"/>
        </w:rPr>
        <w:t>, série A n</w:t>
      </w:r>
      <w:r w:rsidRPr="00200388">
        <w:rPr>
          <w:vertAlign w:val="superscript"/>
          <w:lang w:val="fr-FR"/>
        </w:rPr>
        <w:t>o</w:t>
      </w:r>
      <w:r w:rsidRPr="00200388">
        <w:rPr>
          <w:lang w:val="fr-FR"/>
        </w:rPr>
        <w:t xml:space="preserve"> 35.</w:t>
      </w:r>
    </w:p>
  </w:footnote>
  <w:footnote w:id="59">
    <w:p w:rsidR="00227D74" w:rsidRPr="001C493C" w:rsidRDefault="00227D74" w:rsidP="003D30C1">
      <w:pPr>
        <w:pStyle w:val="Testonotaapidipagina"/>
        <w:rPr>
          <w:lang w:val="fr-FR"/>
        </w:rPr>
      </w:pPr>
      <w:r w:rsidRPr="006D76A5">
        <w:rPr>
          <w:rStyle w:val="Rimandonotaapidipagina"/>
          <w:vertAlign w:val="baseline"/>
        </w:rPr>
        <w:footnoteRef/>
      </w:r>
      <w:r w:rsidRPr="006D76A5">
        <w:rPr>
          <w:lang w:val="fr-FR"/>
        </w:rPr>
        <w:t>. </w:t>
      </w:r>
      <w:r w:rsidRPr="007D014A">
        <w:rPr>
          <w:lang w:val="fr-FR"/>
        </w:rPr>
        <w:t> </w:t>
      </w:r>
      <w:r>
        <w:rPr>
          <w:lang w:val="fr-FR"/>
        </w:rPr>
        <w:t>D</w:t>
      </w:r>
      <w:r w:rsidRPr="001C493C">
        <w:rPr>
          <w:lang w:val="fr-FR"/>
        </w:rPr>
        <w:t xml:space="preserve">es articles 10 et 12 § 3 de la loi de 1956, </w:t>
      </w:r>
      <w:r>
        <w:rPr>
          <w:lang w:val="fr-FR"/>
        </w:rPr>
        <w:t>l’</w:t>
      </w:r>
      <w:r w:rsidRPr="001C493C">
        <w:rPr>
          <w:lang w:val="fr-FR"/>
        </w:rPr>
        <w:t xml:space="preserve">on pouvait </w:t>
      </w:r>
      <w:r>
        <w:rPr>
          <w:lang w:val="fr-FR"/>
        </w:rPr>
        <w:t>déduire</w:t>
      </w:r>
      <w:r w:rsidRPr="001C493C">
        <w:rPr>
          <w:lang w:val="fr-FR"/>
        </w:rPr>
        <w:t xml:space="preserve"> </w:t>
      </w:r>
      <w:r>
        <w:rPr>
          <w:lang w:val="fr-FR"/>
        </w:rPr>
        <w:t>ce</w:t>
      </w:r>
      <w:r w:rsidRPr="001C493C">
        <w:rPr>
          <w:lang w:val="fr-FR"/>
        </w:rPr>
        <w:t xml:space="preserve"> principe</w:t>
      </w:r>
      <w:r>
        <w:rPr>
          <w:lang w:val="fr-FR"/>
        </w:rPr>
        <w:t xml:space="preserve"> : </w:t>
      </w:r>
      <w:r w:rsidRPr="001C493C">
        <w:rPr>
          <w:lang w:val="fr-FR"/>
        </w:rPr>
        <w:t>une mesure de s</w:t>
      </w:r>
      <w:r>
        <w:rPr>
          <w:lang w:val="fr-FR"/>
        </w:rPr>
        <w:t xml:space="preserve">ûreté prévalait sur une mesure de prévention lorsque toutes deux étaient appliquées, mais elles pouvaient dans </w:t>
      </w:r>
      <w:r w:rsidRPr="001C493C">
        <w:rPr>
          <w:lang w:val="fr-FR"/>
        </w:rPr>
        <w:t xml:space="preserve">certaines circonstances être appliquées conjointement (Cour de </w:t>
      </w:r>
      <w:r>
        <w:rPr>
          <w:lang w:val="fr-FR"/>
        </w:rPr>
        <w:t>c</w:t>
      </w:r>
      <w:r w:rsidRPr="001C493C">
        <w:rPr>
          <w:lang w:val="fr-FR"/>
        </w:rPr>
        <w:t xml:space="preserve">assation, </w:t>
      </w:r>
      <w:r>
        <w:rPr>
          <w:lang w:val="fr-FR"/>
        </w:rPr>
        <w:t>s</w:t>
      </w:r>
      <w:r w:rsidRPr="001C493C">
        <w:rPr>
          <w:lang w:val="fr-FR"/>
        </w:rPr>
        <w:t xml:space="preserve">ection I, 7 février 2011, </w:t>
      </w:r>
      <w:r w:rsidRPr="001C493C">
        <w:rPr>
          <w:i/>
          <w:lang w:val="fr-FR"/>
        </w:rPr>
        <w:t>Macri</w:t>
      </w:r>
      <w:r w:rsidRPr="001C493C">
        <w:rPr>
          <w:lang w:val="fr-FR"/>
        </w:rPr>
        <w:t xml:space="preserve">). </w:t>
      </w:r>
    </w:p>
  </w:footnote>
  <w:footnote w:id="60">
    <w:p w:rsidR="00227D74" w:rsidRPr="00BB5D45" w:rsidRDefault="00227D74" w:rsidP="003D30C1">
      <w:pPr>
        <w:pStyle w:val="Testonotaapidipagina"/>
        <w:rPr>
          <w:lang w:val="it-IT"/>
        </w:rPr>
      </w:pPr>
      <w:r w:rsidRPr="006D76A5">
        <w:rPr>
          <w:rStyle w:val="Rimandonotaapidipagina"/>
          <w:vertAlign w:val="baseline"/>
        </w:rPr>
        <w:footnoteRef/>
      </w:r>
      <w:r w:rsidRPr="006D76A5">
        <w:rPr>
          <w:lang w:val="it-IT"/>
        </w:rPr>
        <w:t>.  </w:t>
      </w:r>
      <w:r w:rsidRPr="00BB5D45">
        <w:rPr>
          <w:lang w:val="it-IT"/>
        </w:rPr>
        <w:t>Le passage pertinent est le suivant : « </w:t>
      </w:r>
      <w:r w:rsidRPr="00FD37BD">
        <w:rPr>
          <w:i/>
          <w:lang w:val="it-IT"/>
        </w:rPr>
        <w:t>l'applicazione delle misure di sicurezza personali, finalizzate anche esse a prevenire la commissione di (ulteriori) reati (e che non sempre presuppongono la commissione di un precedente reato; art. 49, secondo e quarto comma e art. 115, secondo e quarto comma del codice penale), talché possono considerarsi una delle due species di un unico genus</w:t>
      </w:r>
      <w:r>
        <w:rPr>
          <w:i/>
          <w:lang w:val="it-IT"/>
        </w:rPr>
        <w:t> </w:t>
      </w:r>
      <w:r w:rsidRPr="00BB5D45">
        <w:rPr>
          <w:i/>
          <w:lang w:val="it-IT"/>
        </w:rPr>
        <w:t>»</w:t>
      </w:r>
      <w:r>
        <w:rPr>
          <w:lang w:val="it-IT"/>
        </w:rPr>
        <w:t xml:space="preserve">. </w:t>
      </w:r>
    </w:p>
  </w:footnote>
  <w:footnote w:id="61">
    <w:p w:rsidR="00227D74" w:rsidRPr="00804EC1" w:rsidRDefault="00227D74" w:rsidP="003D30C1">
      <w:pPr>
        <w:pStyle w:val="Testonotaapidipagina"/>
        <w:rPr>
          <w:lang w:val="fr-FR"/>
        </w:rPr>
      </w:pPr>
      <w:r w:rsidRPr="006D76A5">
        <w:rPr>
          <w:rStyle w:val="Rimandonotaapidipagina"/>
          <w:vertAlign w:val="baseline"/>
        </w:rPr>
        <w:footnoteRef/>
      </w:r>
      <w:r w:rsidRPr="006D76A5">
        <w:rPr>
          <w:lang w:val="fr-FR"/>
        </w:rPr>
        <w:t>.</w:t>
      </w:r>
      <w:r w:rsidRPr="007D014A">
        <w:rPr>
          <w:lang w:val="fr-FR"/>
        </w:rPr>
        <w:t>  </w:t>
      </w:r>
      <w:r w:rsidRPr="00804EC1">
        <w:rPr>
          <w:lang w:val="fr-FR"/>
        </w:rPr>
        <w:t>Voir les arrêts n</w:t>
      </w:r>
      <w:r w:rsidRPr="00804EC1">
        <w:rPr>
          <w:vertAlign w:val="superscript"/>
          <w:lang w:val="fr-FR"/>
        </w:rPr>
        <w:t>os</w:t>
      </w:r>
      <w:r w:rsidRPr="00804EC1">
        <w:rPr>
          <w:lang w:val="fr-FR"/>
        </w:rPr>
        <w:t xml:space="preserve"> 23/1964 </w:t>
      </w:r>
      <w:r>
        <w:rPr>
          <w:lang w:val="fr-FR"/>
        </w:rPr>
        <w:t xml:space="preserve">et </w:t>
      </w:r>
      <w:r w:rsidRPr="00804EC1">
        <w:rPr>
          <w:lang w:val="fr-FR"/>
        </w:rPr>
        <w:t xml:space="preserve">177/1980 </w:t>
      </w:r>
      <w:r>
        <w:rPr>
          <w:lang w:val="fr-FR"/>
        </w:rPr>
        <w:t>susmentionnés de la Cour constitutionnelle</w:t>
      </w:r>
      <w:r w:rsidRPr="00804EC1">
        <w:rPr>
          <w:lang w:val="fr-FR"/>
        </w:rPr>
        <w:t>.</w:t>
      </w:r>
    </w:p>
  </w:footnote>
  <w:footnote w:id="62">
    <w:p w:rsidR="00227D74" w:rsidRPr="00804EC1" w:rsidRDefault="00227D74" w:rsidP="003D30C1">
      <w:pPr>
        <w:pStyle w:val="Testonotaapidipagina"/>
        <w:rPr>
          <w:lang w:val="fr-FR"/>
        </w:rPr>
      </w:pPr>
      <w:r w:rsidRPr="006D76A5">
        <w:rPr>
          <w:rStyle w:val="Rimandonotaapidipagina"/>
          <w:vertAlign w:val="baseline"/>
        </w:rPr>
        <w:footnoteRef/>
      </w:r>
      <w:r w:rsidRPr="006D76A5">
        <w:rPr>
          <w:lang w:val="fr-FR"/>
        </w:rPr>
        <w:t>.</w:t>
      </w:r>
      <w:r w:rsidRPr="00804EC1">
        <w:rPr>
          <w:lang w:val="fr-FR"/>
        </w:rPr>
        <w:t xml:space="preserve">  Cour de </w:t>
      </w:r>
      <w:r>
        <w:rPr>
          <w:lang w:val="fr-FR"/>
        </w:rPr>
        <w:t>c</w:t>
      </w:r>
      <w:r w:rsidRPr="00804EC1">
        <w:rPr>
          <w:lang w:val="fr-FR"/>
        </w:rPr>
        <w:t xml:space="preserve">assation, </w:t>
      </w:r>
      <w:r>
        <w:rPr>
          <w:lang w:val="fr-FR"/>
        </w:rPr>
        <w:t>s</w:t>
      </w:r>
      <w:r w:rsidRPr="00804EC1">
        <w:rPr>
          <w:lang w:val="fr-FR"/>
        </w:rPr>
        <w:t>ection I, 17 mai 1984, n</w:t>
      </w:r>
      <w:r w:rsidRPr="00804EC1">
        <w:rPr>
          <w:vertAlign w:val="superscript"/>
          <w:lang w:val="fr-FR"/>
        </w:rPr>
        <w:t>o</w:t>
      </w:r>
      <w:r w:rsidRPr="00804EC1">
        <w:rPr>
          <w:lang w:val="fr-FR"/>
        </w:rPr>
        <w:t xml:space="preserve"> 1193. </w:t>
      </w:r>
    </w:p>
  </w:footnote>
  <w:footnote w:id="63">
    <w:p w:rsidR="00227D74" w:rsidRPr="007D014A" w:rsidRDefault="00227D74" w:rsidP="003D30C1">
      <w:pPr>
        <w:pStyle w:val="Testonotaapidipagina"/>
        <w:rPr>
          <w:lang w:val="fr-FR"/>
        </w:rPr>
      </w:pPr>
      <w:r w:rsidRPr="006D76A5">
        <w:rPr>
          <w:rStyle w:val="Rimandonotaapidipagina"/>
          <w:vertAlign w:val="baseline"/>
        </w:rPr>
        <w:footnoteRef/>
      </w:r>
      <w:r w:rsidRPr="006D76A5">
        <w:rPr>
          <w:lang w:val="it-IT"/>
        </w:rPr>
        <w:t>.  V</w:t>
      </w:r>
      <w:r w:rsidRPr="00BB5D45">
        <w:rPr>
          <w:lang w:val="it-IT"/>
        </w:rPr>
        <w:t xml:space="preserve">oir notamment Nuvolone, « La prevenzione nella teoria generale del diritto penale », </w:t>
      </w:r>
      <w:r w:rsidRPr="00BB5D45">
        <w:rPr>
          <w:i/>
          <w:lang w:val="it-IT"/>
        </w:rPr>
        <w:t>Rivista Italiana di Diritto e Procedura Penale</w:t>
      </w:r>
      <w:r w:rsidRPr="00BB5D45">
        <w:rPr>
          <w:lang w:val="it-IT"/>
        </w:rPr>
        <w:t xml:space="preserve">, 1956 ; Piroddi, </w:t>
      </w:r>
      <w:r w:rsidRPr="00BB5D45">
        <w:rPr>
          <w:i/>
          <w:lang w:val="it-IT"/>
        </w:rPr>
        <w:t>Le misure di prevenzione di pubblica sicurezza</w:t>
      </w:r>
      <w:r w:rsidRPr="00BB5D45">
        <w:rPr>
          <w:lang w:val="it-IT"/>
        </w:rPr>
        <w:t xml:space="preserve">, 1971 ; Vassalli, « Misure di prevenzione e diritto penale », </w:t>
      </w:r>
      <w:r w:rsidRPr="00BB5D45">
        <w:rPr>
          <w:i/>
          <w:lang w:val="it-IT"/>
        </w:rPr>
        <w:t>Studi in onore di B. Petrocelli</w:t>
      </w:r>
      <w:r w:rsidRPr="00BB5D45">
        <w:rPr>
          <w:lang w:val="it-IT"/>
        </w:rPr>
        <w:t xml:space="preserve">, vol. </w:t>
      </w:r>
      <w:r w:rsidRPr="007D014A">
        <w:rPr>
          <w:lang w:val="fr-FR"/>
        </w:rPr>
        <w:t xml:space="preserve">III, 1972. </w:t>
      </w:r>
    </w:p>
  </w:footnote>
  <w:footnote w:id="64">
    <w:p w:rsidR="00227D74" w:rsidRPr="002A15CA" w:rsidRDefault="00227D74" w:rsidP="003D30C1">
      <w:pPr>
        <w:pStyle w:val="Testonotaapidipagina"/>
        <w:rPr>
          <w:lang w:val="fr-FR"/>
        </w:rPr>
      </w:pPr>
      <w:r w:rsidRPr="006D76A5">
        <w:rPr>
          <w:rStyle w:val="Rimandonotaapidipagina"/>
          <w:vertAlign w:val="baseline"/>
        </w:rPr>
        <w:footnoteRef/>
      </w:r>
      <w:r w:rsidRPr="006D76A5">
        <w:rPr>
          <w:lang w:val="fr-FR"/>
        </w:rPr>
        <w:t>.  </w:t>
      </w:r>
      <w:r>
        <w:rPr>
          <w:lang w:val="fr-FR"/>
        </w:rPr>
        <w:t>Des statistiques versées au dossier indiquent que, de</w:t>
      </w:r>
      <w:r w:rsidRPr="00035221">
        <w:rPr>
          <w:lang w:val="fr-FR"/>
        </w:rPr>
        <w:t xml:space="preserve"> 2005 </w:t>
      </w:r>
      <w:r>
        <w:rPr>
          <w:lang w:val="fr-FR"/>
        </w:rPr>
        <w:t>à</w:t>
      </w:r>
      <w:r w:rsidRPr="00035221">
        <w:rPr>
          <w:lang w:val="fr-FR"/>
        </w:rPr>
        <w:t xml:space="preserve"> 2014, 16 461 personnes ont été condamnées pour non-respect des mesures de pr</w:t>
      </w:r>
      <w:r>
        <w:rPr>
          <w:lang w:val="fr-FR"/>
        </w:rPr>
        <w:t>é</w:t>
      </w:r>
      <w:r w:rsidRPr="00035221">
        <w:rPr>
          <w:lang w:val="fr-FR"/>
        </w:rPr>
        <w:t>vention qui leur étaient appliqu</w:t>
      </w:r>
      <w:r>
        <w:rPr>
          <w:lang w:val="fr-FR"/>
        </w:rPr>
        <w:t>ées</w:t>
      </w:r>
      <w:r w:rsidRPr="00035221">
        <w:rPr>
          <w:lang w:val="fr-FR"/>
        </w:rPr>
        <w:t xml:space="preserve">. Bien qu’interrogé à ce sujet, le Gouvernement </w:t>
      </w:r>
      <w:r>
        <w:rPr>
          <w:lang w:val="fr-FR"/>
        </w:rPr>
        <w:t>n’a pas fourni d’</w:t>
      </w:r>
      <w:r w:rsidRPr="00035221">
        <w:rPr>
          <w:lang w:val="fr-FR"/>
        </w:rPr>
        <w:t>information</w:t>
      </w:r>
      <w:r>
        <w:rPr>
          <w:lang w:val="fr-FR"/>
        </w:rPr>
        <w:t>s sur le nombre de personnes de ce groupe qui ont été condamnées à des peines d’emprisonnement</w:t>
      </w:r>
      <w:r w:rsidRPr="00035221">
        <w:rPr>
          <w:lang w:val="fr-FR"/>
        </w:rPr>
        <w:t>.</w:t>
      </w:r>
    </w:p>
  </w:footnote>
  <w:footnote w:id="65">
    <w:p w:rsidR="00227D74" w:rsidRPr="00BB5D45" w:rsidRDefault="00227D74" w:rsidP="003D30C1">
      <w:pPr>
        <w:pStyle w:val="Testonotaapidipagina"/>
        <w:rPr>
          <w:b/>
          <w:lang w:val="it-IT"/>
        </w:rPr>
      </w:pPr>
      <w:r w:rsidRPr="006D76A5">
        <w:rPr>
          <w:rStyle w:val="Rimandonotaapidipagina"/>
          <w:vertAlign w:val="baseline"/>
        </w:rPr>
        <w:footnoteRef/>
      </w:r>
      <w:r w:rsidRPr="006D76A5">
        <w:rPr>
          <w:lang w:val="it-IT"/>
        </w:rPr>
        <w:t>.</w:t>
      </w:r>
      <w:r w:rsidRPr="00BB5D45">
        <w:rPr>
          <w:lang w:val="it-IT"/>
        </w:rPr>
        <w:t xml:space="preserve">  Cairo et Forte, </w:t>
      </w:r>
      <w:r w:rsidRPr="00BB5D45">
        <w:rPr>
          <w:i/>
          <w:lang w:val="it-IT"/>
        </w:rPr>
        <w:t>Codice delle misure di prevenzione annotato</w:t>
      </w:r>
      <w:r w:rsidRPr="00BB5D45">
        <w:rPr>
          <w:lang w:val="it-IT"/>
        </w:rPr>
        <w:t>, Rome, 2014, p. 23.</w:t>
      </w:r>
    </w:p>
  </w:footnote>
  <w:footnote w:id="66">
    <w:p w:rsidR="00227D74" w:rsidRPr="00BB505D" w:rsidRDefault="00227D74" w:rsidP="003D30C1">
      <w:pPr>
        <w:pStyle w:val="Testonotaapidipagina"/>
        <w:rPr>
          <w:lang w:val="fr-FR"/>
        </w:rPr>
      </w:pPr>
      <w:r w:rsidRPr="006D76A5">
        <w:rPr>
          <w:rStyle w:val="Rimandonotaapidipagina"/>
          <w:vertAlign w:val="baseline"/>
        </w:rPr>
        <w:footnoteRef/>
      </w:r>
      <w:r w:rsidRPr="006D76A5">
        <w:rPr>
          <w:lang w:val="fr-FR"/>
        </w:rPr>
        <w:t>. </w:t>
      </w:r>
      <w:r w:rsidRPr="007D014A">
        <w:rPr>
          <w:lang w:val="fr-FR"/>
        </w:rPr>
        <w:t> </w:t>
      </w:r>
      <w:r w:rsidRPr="00BB505D">
        <w:rPr>
          <w:i/>
          <w:lang w:val="fr-FR"/>
        </w:rPr>
        <w:t>Engel et autres</w:t>
      </w:r>
      <w:r w:rsidRPr="00BB505D">
        <w:rPr>
          <w:lang w:val="fr-FR"/>
        </w:rPr>
        <w:t xml:space="preserve">, précité, § 85, </w:t>
      </w:r>
      <w:r w:rsidRPr="00BB505D">
        <w:rPr>
          <w:i/>
          <w:lang w:val="fr-FR"/>
        </w:rPr>
        <w:t>Campbell et Fell c. Royaume-Uni</w:t>
      </w:r>
      <w:r w:rsidRPr="00BB505D">
        <w:rPr>
          <w:lang w:val="fr-FR"/>
        </w:rPr>
        <w:t>, 28 juin 1984, § 73, série A n</w:t>
      </w:r>
      <w:r w:rsidRPr="00BB505D">
        <w:rPr>
          <w:vertAlign w:val="superscript"/>
          <w:lang w:val="fr-FR"/>
        </w:rPr>
        <w:t>o</w:t>
      </w:r>
      <w:r w:rsidRPr="00BB505D">
        <w:rPr>
          <w:lang w:val="fr-FR"/>
        </w:rPr>
        <w:t xml:space="preserve"> 80, </w:t>
      </w:r>
      <w:r w:rsidRPr="00BB505D">
        <w:rPr>
          <w:i/>
          <w:lang w:val="fr-FR"/>
        </w:rPr>
        <w:t xml:space="preserve">Ezeh et Connors c. </w:t>
      </w:r>
      <w:r>
        <w:rPr>
          <w:i/>
          <w:lang w:val="fr-FR"/>
        </w:rPr>
        <w:t>Royaume-Uni</w:t>
      </w:r>
      <w:r w:rsidRPr="00BB505D">
        <w:rPr>
          <w:i/>
          <w:lang w:val="fr-FR"/>
        </w:rPr>
        <w:t xml:space="preserve"> </w:t>
      </w:r>
      <w:r w:rsidRPr="00BB505D">
        <w:rPr>
          <w:lang w:val="fr-FR"/>
        </w:rPr>
        <w:t>[GC], n</w:t>
      </w:r>
      <w:r w:rsidRPr="00BB505D">
        <w:rPr>
          <w:vertAlign w:val="superscript"/>
          <w:lang w:val="fr-FR"/>
        </w:rPr>
        <w:t>os</w:t>
      </w:r>
      <w:r w:rsidRPr="00BB505D">
        <w:rPr>
          <w:lang w:val="fr-FR"/>
        </w:rPr>
        <w:t xml:space="preserve"> 39665/98 </w:t>
      </w:r>
      <w:r>
        <w:rPr>
          <w:lang w:val="fr-FR"/>
        </w:rPr>
        <w:t xml:space="preserve">et 40086/98, § 130, </w:t>
      </w:r>
      <w:r w:rsidRPr="00BB505D">
        <w:rPr>
          <w:lang w:val="fr-FR"/>
        </w:rPr>
        <w:t>C</w:t>
      </w:r>
      <w:r>
        <w:rPr>
          <w:lang w:val="fr-FR"/>
        </w:rPr>
        <w:t>ED</w:t>
      </w:r>
      <w:r w:rsidRPr="00BB505D">
        <w:rPr>
          <w:lang w:val="fr-FR"/>
        </w:rPr>
        <w:t>H 2003</w:t>
      </w:r>
      <w:r>
        <w:rPr>
          <w:lang w:val="fr-FR"/>
        </w:rPr>
        <w:t>-</w:t>
      </w:r>
      <w:r w:rsidRPr="00BB505D">
        <w:rPr>
          <w:lang w:val="fr-FR"/>
        </w:rPr>
        <w:t xml:space="preserve">X, </w:t>
      </w:r>
      <w:r>
        <w:rPr>
          <w:lang w:val="fr-FR"/>
        </w:rPr>
        <w:t>et</w:t>
      </w:r>
      <w:r w:rsidRPr="00BB505D">
        <w:rPr>
          <w:lang w:val="fr-FR"/>
        </w:rPr>
        <w:t xml:space="preserve">, </w:t>
      </w:r>
      <w:r w:rsidRPr="00BB505D">
        <w:rPr>
          <w:i/>
          <w:lang w:val="fr-FR"/>
        </w:rPr>
        <w:t xml:space="preserve">mutatis mutandis, Dacosta Silva </w:t>
      </w:r>
      <w:r>
        <w:rPr>
          <w:i/>
          <w:lang w:val="fr-FR"/>
        </w:rPr>
        <w:t>c</w:t>
      </w:r>
      <w:r w:rsidRPr="00BB505D">
        <w:rPr>
          <w:i/>
          <w:lang w:val="fr-FR"/>
        </w:rPr>
        <w:t xml:space="preserve">. </w:t>
      </w:r>
      <w:r>
        <w:rPr>
          <w:i/>
          <w:lang w:val="fr-FR"/>
        </w:rPr>
        <w:t>Espagne</w:t>
      </w:r>
      <w:r w:rsidRPr="00BB505D">
        <w:rPr>
          <w:lang w:val="fr-FR"/>
        </w:rPr>
        <w:t>, n</w:t>
      </w:r>
      <w:r w:rsidRPr="00BB505D">
        <w:rPr>
          <w:vertAlign w:val="superscript"/>
          <w:lang w:val="fr-FR"/>
        </w:rPr>
        <w:t>o</w:t>
      </w:r>
      <w:r>
        <w:rPr>
          <w:lang w:val="fr-FR"/>
        </w:rPr>
        <w:t xml:space="preserve"> 69966/01, §§ 46-50, </w:t>
      </w:r>
      <w:r w:rsidRPr="00BB505D">
        <w:rPr>
          <w:lang w:val="fr-FR"/>
        </w:rPr>
        <w:t>C</w:t>
      </w:r>
      <w:r>
        <w:rPr>
          <w:lang w:val="fr-FR"/>
        </w:rPr>
        <w:t>ED</w:t>
      </w:r>
      <w:r w:rsidRPr="00BB505D">
        <w:rPr>
          <w:lang w:val="fr-FR"/>
        </w:rPr>
        <w:t>H 2006</w:t>
      </w:r>
      <w:r>
        <w:rPr>
          <w:lang w:val="fr-FR"/>
        </w:rPr>
        <w:t>-</w:t>
      </w:r>
      <w:r w:rsidRPr="00BB505D">
        <w:rPr>
          <w:lang w:val="fr-FR"/>
        </w:rPr>
        <w:t>XIII.</w:t>
      </w:r>
    </w:p>
  </w:footnote>
  <w:footnote w:id="67">
    <w:p w:rsidR="00227D74" w:rsidRPr="00BB505D" w:rsidRDefault="00227D74" w:rsidP="003D30C1">
      <w:pPr>
        <w:pStyle w:val="Testonotaapidipagina"/>
        <w:rPr>
          <w:lang w:val="fr-FR"/>
        </w:rPr>
      </w:pPr>
      <w:r w:rsidRPr="006D76A5">
        <w:rPr>
          <w:rStyle w:val="Rimandonotaapidipagina"/>
          <w:vertAlign w:val="baseline"/>
        </w:rPr>
        <w:footnoteRef/>
      </w:r>
      <w:r w:rsidRPr="006D76A5">
        <w:rPr>
          <w:lang w:val="fr-FR"/>
        </w:rPr>
        <w:t>. </w:t>
      </w:r>
      <w:r w:rsidRPr="007D014A">
        <w:rPr>
          <w:lang w:val="fr-FR"/>
        </w:rPr>
        <w:t> </w:t>
      </w:r>
      <w:r w:rsidRPr="00BB505D">
        <w:rPr>
          <w:lang w:val="fr-FR"/>
        </w:rPr>
        <w:t>Dans l’a</w:t>
      </w:r>
      <w:r>
        <w:rPr>
          <w:lang w:val="fr-FR"/>
        </w:rPr>
        <w:t>rrêt</w:t>
      </w:r>
      <w:r w:rsidRPr="00BB505D">
        <w:rPr>
          <w:lang w:val="fr-FR"/>
        </w:rPr>
        <w:t xml:space="preserve"> </w:t>
      </w:r>
      <w:r w:rsidRPr="00BB505D">
        <w:rPr>
          <w:i/>
          <w:lang w:val="fr-FR"/>
        </w:rPr>
        <w:t>Guzzardi</w:t>
      </w:r>
      <w:r w:rsidRPr="00BB505D">
        <w:rPr>
          <w:lang w:val="fr-FR"/>
        </w:rPr>
        <w:t xml:space="preserve"> </w:t>
      </w:r>
      <w:r>
        <w:rPr>
          <w:lang w:val="fr-FR"/>
        </w:rPr>
        <w:t>(</w:t>
      </w:r>
      <w:r w:rsidRPr="00BB505D">
        <w:rPr>
          <w:lang w:val="fr-FR"/>
        </w:rPr>
        <w:t>précité, § 108</w:t>
      </w:r>
      <w:r>
        <w:rPr>
          <w:lang w:val="fr-FR"/>
        </w:rPr>
        <w:t>)</w:t>
      </w:r>
      <w:r w:rsidRPr="00BB505D">
        <w:rPr>
          <w:lang w:val="fr-FR"/>
        </w:rPr>
        <w:t xml:space="preserve">, la Cour a </w:t>
      </w:r>
      <w:r>
        <w:rPr>
          <w:lang w:val="fr-FR"/>
        </w:rPr>
        <w:t>jugé</w:t>
      </w:r>
      <w:r w:rsidRPr="00BB505D">
        <w:rPr>
          <w:lang w:val="fr-FR"/>
        </w:rPr>
        <w:t xml:space="preserve"> que l’article 6</w:t>
      </w:r>
      <w:r>
        <w:rPr>
          <w:lang w:val="fr-FR"/>
        </w:rPr>
        <w:t xml:space="preserve"> sous son </w:t>
      </w:r>
      <w:r w:rsidRPr="00BB505D">
        <w:rPr>
          <w:lang w:val="fr-FR"/>
        </w:rPr>
        <w:t xml:space="preserve">volet pénal </w:t>
      </w:r>
      <w:r>
        <w:rPr>
          <w:lang w:val="fr-FR"/>
        </w:rPr>
        <w:t>n’était pas applicable, mais elle ne s’est penchée sur aucun des arguments ci-dessus</w:t>
      </w:r>
      <w:r w:rsidRPr="00BB505D">
        <w:rPr>
          <w:lang w:val="fr-FR"/>
        </w:rPr>
        <w:t xml:space="preserve">. </w:t>
      </w:r>
    </w:p>
  </w:footnote>
  <w:footnote w:id="68">
    <w:p w:rsidR="00227D74" w:rsidRPr="00C6570F" w:rsidRDefault="00227D74" w:rsidP="003D30C1">
      <w:pPr>
        <w:pStyle w:val="Testonotaapidipagina"/>
        <w:rPr>
          <w:lang w:val="fr-FR"/>
        </w:rPr>
      </w:pPr>
      <w:r w:rsidRPr="006D76A5">
        <w:rPr>
          <w:rStyle w:val="Rimandonotaapidipagina"/>
          <w:vertAlign w:val="baseline"/>
        </w:rPr>
        <w:footnoteRef/>
      </w:r>
      <w:r w:rsidRPr="006D76A5">
        <w:rPr>
          <w:lang w:val="fr-FR"/>
        </w:rPr>
        <w:t>.  </w:t>
      </w:r>
      <w:r w:rsidRPr="00C6570F">
        <w:rPr>
          <w:i/>
          <w:lang w:val="fr-FR"/>
        </w:rPr>
        <w:t>Engel et autres</w:t>
      </w:r>
      <w:r w:rsidRPr="00C6570F">
        <w:rPr>
          <w:lang w:val="fr-FR"/>
        </w:rPr>
        <w:t>, précité</w:t>
      </w:r>
      <w:r w:rsidRPr="00C6570F">
        <w:rPr>
          <w:rFonts w:eastAsia="Times New Roman"/>
          <w:lang w:val="fr-FR"/>
        </w:rPr>
        <w:t>, §§ 82-83.</w:t>
      </w:r>
    </w:p>
  </w:footnote>
  <w:footnote w:id="69">
    <w:p w:rsidR="00227D74" w:rsidRPr="00577FE4" w:rsidRDefault="00227D74" w:rsidP="003D30C1">
      <w:pPr>
        <w:pStyle w:val="Testonotaapidipagina"/>
        <w:rPr>
          <w:lang w:val="fr-FR"/>
        </w:rPr>
      </w:pPr>
      <w:r w:rsidRPr="006D76A5">
        <w:rPr>
          <w:rStyle w:val="Rimandonotaapidipagina"/>
          <w:vertAlign w:val="baseline"/>
        </w:rPr>
        <w:footnoteRef/>
      </w:r>
      <w:r w:rsidRPr="006D76A5">
        <w:rPr>
          <w:lang w:val="fr-FR"/>
        </w:rPr>
        <w:t>.  </w:t>
      </w:r>
      <w:r w:rsidRPr="009948C5">
        <w:rPr>
          <w:lang w:val="fr-FR"/>
        </w:rPr>
        <w:t xml:space="preserve">Il n’y avait pas de base légale et factuelle aux mesures pénales appliquées, comme l’a reconnu la cour d’appel </w:t>
      </w:r>
      <w:r>
        <w:rPr>
          <w:lang w:val="fr-FR"/>
        </w:rPr>
        <w:t>en</w:t>
      </w:r>
      <w:r w:rsidRPr="009948C5">
        <w:rPr>
          <w:lang w:val="fr-FR"/>
        </w:rPr>
        <w:t xml:space="preserve"> déclarant les</w:t>
      </w:r>
      <w:r>
        <w:rPr>
          <w:b/>
          <w:lang w:val="fr-FR"/>
        </w:rPr>
        <w:t xml:space="preserve"> </w:t>
      </w:r>
      <w:r w:rsidRPr="009948C5">
        <w:rPr>
          <w:lang w:val="fr-FR"/>
        </w:rPr>
        <w:t>mesures</w:t>
      </w:r>
      <w:r>
        <w:rPr>
          <w:lang w:val="fr-FR"/>
        </w:rPr>
        <w:t xml:space="preserve"> litigieuses</w:t>
      </w:r>
      <w:r w:rsidRPr="009948C5">
        <w:rPr>
          <w:b/>
          <w:lang w:val="fr-FR"/>
        </w:rPr>
        <w:t xml:space="preserve"> </w:t>
      </w:r>
      <w:r w:rsidRPr="00A87697">
        <w:rPr>
          <w:lang w:val="fr-FR"/>
        </w:rPr>
        <w:t xml:space="preserve">nulles </w:t>
      </w:r>
      <w:r w:rsidRPr="00A87697">
        <w:rPr>
          <w:i/>
          <w:lang w:val="fr-FR"/>
        </w:rPr>
        <w:t>ex tunc</w:t>
      </w:r>
      <w:r w:rsidRPr="009948C5">
        <w:rPr>
          <w:lang w:val="fr-FR"/>
        </w:rPr>
        <w:t>. Les mesures ont été annulées (</w:t>
      </w:r>
      <w:r w:rsidRPr="009948C5">
        <w:rPr>
          <w:i/>
          <w:lang w:val="fr-FR"/>
        </w:rPr>
        <w:t>annullato</w:t>
      </w:r>
      <w:r w:rsidRPr="009948C5">
        <w:rPr>
          <w:lang w:val="fr-FR"/>
        </w:rPr>
        <w:t>)</w:t>
      </w:r>
      <w:r>
        <w:rPr>
          <w:lang w:val="fr-FR"/>
        </w:rPr>
        <w:t xml:space="preserve"> – </w:t>
      </w:r>
      <w:r w:rsidRPr="009948C5">
        <w:rPr>
          <w:lang w:val="fr-FR"/>
        </w:rPr>
        <w:t xml:space="preserve">non </w:t>
      </w:r>
      <w:r>
        <w:rPr>
          <w:lang w:val="fr-FR"/>
        </w:rPr>
        <w:t xml:space="preserve">pas </w:t>
      </w:r>
      <w:r w:rsidRPr="00A87697">
        <w:rPr>
          <w:lang w:val="fr-FR"/>
        </w:rPr>
        <w:t>révoquées</w:t>
      </w:r>
      <w:r>
        <w:rPr>
          <w:lang w:val="fr-FR"/>
        </w:rPr>
        <w:t> –</w:t>
      </w:r>
      <w:r w:rsidRPr="009948C5">
        <w:rPr>
          <w:lang w:val="fr-FR"/>
        </w:rPr>
        <w:t xml:space="preserve"> pour </w:t>
      </w:r>
      <w:r>
        <w:rPr>
          <w:lang w:val="fr-FR"/>
        </w:rPr>
        <w:t>défaut d’ob</w:t>
      </w:r>
      <w:r w:rsidRPr="009948C5">
        <w:rPr>
          <w:lang w:val="fr-FR"/>
        </w:rPr>
        <w:t xml:space="preserve">servation des </w:t>
      </w:r>
      <w:r w:rsidRPr="00A87697">
        <w:rPr>
          <w:lang w:val="fr-FR"/>
        </w:rPr>
        <w:t>exigences</w:t>
      </w:r>
      <w:r w:rsidRPr="009948C5">
        <w:rPr>
          <w:lang w:val="fr-FR"/>
        </w:rPr>
        <w:t xml:space="preserve"> légales </w:t>
      </w:r>
      <w:r w:rsidRPr="00A87697">
        <w:rPr>
          <w:lang w:val="fr-FR"/>
        </w:rPr>
        <w:t>dès le jour où avait</w:t>
      </w:r>
      <w:r w:rsidRPr="009948C5">
        <w:rPr>
          <w:lang w:val="fr-FR"/>
        </w:rPr>
        <w:t xml:space="preserve"> </w:t>
      </w:r>
      <w:r>
        <w:rPr>
          <w:lang w:val="fr-FR"/>
        </w:rPr>
        <w:t>statué</w:t>
      </w:r>
      <w:r w:rsidRPr="009948C5">
        <w:rPr>
          <w:lang w:val="fr-FR"/>
        </w:rPr>
        <w:t xml:space="preserve"> le </w:t>
      </w:r>
      <w:r w:rsidRPr="00577FE4">
        <w:rPr>
          <w:lang w:val="fr-FR"/>
        </w:rPr>
        <w:t>tribunal de première instance.</w:t>
      </w:r>
    </w:p>
  </w:footnote>
  <w:footnote w:id="70">
    <w:p w:rsidR="00227D74" w:rsidRPr="00194A1B" w:rsidRDefault="00227D74" w:rsidP="003D30C1">
      <w:pPr>
        <w:pStyle w:val="Testonotaapidipagina"/>
        <w:rPr>
          <w:lang w:val="fr-FR"/>
        </w:rPr>
      </w:pPr>
      <w:r w:rsidRPr="006D76A5">
        <w:rPr>
          <w:rStyle w:val="Rimandonotaapidipagina"/>
          <w:vertAlign w:val="baseline"/>
        </w:rPr>
        <w:footnoteRef/>
      </w:r>
      <w:r w:rsidRPr="006D76A5">
        <w:rPr>
          <w:lang w:val="fr-FR"/>
        </w:rPr>
        <w:t>. </w:t>
      </w:r>
      <w:r w:rsidRPr="007D014A">
        <w:rPr>
          <w:lang w:val="fr-FR"/>
        </w:rPr>
        <w:t> </w:t>
      </w:r>
      <w:r w:rsidRPr="00194A1B">
        <w:rPr>
          <w:lang w:val="fr-FR"/>
        </w:rPr>
        <w:t xml:space="preserve">Voir, </w:t>
      </w:r>
      <w:r>
        <w:rPr>
          <w:lang w:val="fr-FR"/>
        </w:rPr>
        <w:t xml:space="preserve">entre </w:t>
      </w:r>
      <w:r w:rsidRPr="00194A1B">
        <w:rPr>
          <w:lang w:val="fr-FR"/>
        </w:rPr>
        <w:t xml:space="preserve">autres, </w:t>
      </w:r>
      <w:r w:rsidRPr="00194A1B">
        <w:rPr>
          <w:i/>
          <w:lang w:val="fr-FR"/>
        </w:rPr>
        <w:t>Rehbock c. Slovénie</w:t>
      </w:r>
      <w:r w:rsidRPr="00194A1B">
        <w:rPr>
          <w:lang w:val="fr-FR"/>
        </w:rPr>
        <w:t>, n</w:t>
      </w:r>
      <w:r w:rsidRPr="00194A1B">
        <w:rPr>
          <w:vertAlign w:val="superscript"/>
          <w:lang w:val="fr-FR"/>
        </w:rPr>
        <w:t>o</w:t>
      </w:r>
      <w:r w:rsidRPr="00194A1B">
        <w:rPr>
          <w:lang w:val="fr-FR"/>
        </w:rPr>
        <w:t xml:space="preserve"> 29462/95, § 84, CEDH 2000</w:t>
      </w:r>
      <w:r w:rsidRPr="00194A1B">
        <w:rPr>
          <w:lang w:val="fr-FR"/>
        </w:rPr>
        <w:noBreakHyphen/>
        <w:t xml:space="preserve">XII, </w:t>
      </w:r>
      <w:r w:rsidRPr="00194A1B">
        <w:rPr>
          <w:i/>
          <w:lang w:val="fr-FR"/>
        </w:rPr>
        <w:t>Mamedova c. Russie</w:t>
      </w:r>
      <w:r w:rsidRPr="00194A1B">
        <w:rPr>
          <w:lang w:val="fr-FR"/>
        </w:rPr>
        <w:t>, n</w:t>
      </w:r>
      <w:r w:rsidRPr="00194A1B">
        <w:rPr>
          <w:vertAlign w:val="superscript"/>
          <w:lang w:val="fr-FR"/>
        </w:rPr>
        <w:t>o</w:t>
      </w:r>
      <w:r w:rsidRPr="00194A1B">
        <w:rPr>
          <w:lang w:val="fr-FR"/>
        </w:rPr>
        <w:t xml:space="preserve"> 7064/05, § 96, 1</w:t>
      </w:r>
      <w:r w:rsidRPr="00194A1B">
        <w:rPr>
          <w:vertAlign w:val="superscript"/>
          <w:lang w:val="fr-FR"/>
        </w:rPr>
        <w:t>er</w:t>
      </w:r>
      <w:r w:rsidRPr="00194A1B">
        <w:rPr>
          <w:lang w:val="fr-FR"/>
        </w:rPr>
        <w:t xml:space="preserve"> juin 2006, </w:t>
      </w:r>
      <w:r w:rsidRPr="00194A1B">
        <w:rPr>
          <w:i/>
          <w:lang w:val="fr-FR"/>
        </w:rPr>
        <w:t>G.B. c. Suisse</w:t>
      </w:r>
      <w:r w:rsidRPr="00194A1B">
        <w:rPr>
          <w:lang w:val="fr-FR"/>
        </w:rPr>
        <w:t>, n</w:t>
      </w:r>
      <w:r w:rsidRPr="00194A1B">
        <w:rPr>
          <w:vertAlign w:val="superscript"/>
          <w:lang w:val="fr-FR"/>
        </w:rPr>
        <w:t>o</w:t>
      </w:r>
      <w:r w:rsidRPr="00194A1B">
        <w:rPr>
          <w:lang w:val="fr-FR"/>
        </w:rPr>
        <w:t> 27426/95, § 33, 30</w:t>
      </w:r>
      <w:r>
        <w:rPr>
          <w:lang w:val="fr-FR"/>
        </w:rPr>
        <w:t> </w:t>
      </w:r>
      <w:r w:rsidRPr="00194A1B">
        <w:rPr>
          <w:lang w:val="fr-FR"/>
        </w:rPr>
        <w:t xml:space="preserve">novembre 2000, et </w:t>
      </w:r>
      <w:r w:rsidRPr="00194A1B">
        <w:rPr>
          <w:i/>
          <w:lang w:val="fr-FR"/>
        </w:rPr>
        <w:t>Kadem c. Malt</w:t>
      </w:r>
      <w:r>
        <w:rPr>
          <w:i/>
          <w:lang w:val="fr-FR"/>
        </w:rPr>
        <w:t>e</w:t>
      </w:r>
      <w:r w:rsidRPr="00194A1B">
        <w:rPr>
          <w:lang w:val="fr-FR"/>
        </w:rPr>
        <w:t>, n</w:t>
      </w:r>
      <w:r w:rsidRPr="00194A1B">
        <w:rPr>
          <w:vertAlign w:val="superscript"/>
          <w:lang w:val="fr-FR"/>
        </w:rPr>
        <w:t>o</w:t>
      </w:r>
      <w:r w:rsidRPr="00194A1B">
        <w:rPr>
          <w:lang w:val="fr-FR"/>
        </w:rPr>
        <w:t xml:space="preserve"> 55263/00, § 44, 9</w:t>
      </w:r>
      <w:r>
        <w:rPr>
          <w:lang w:val="fr-FR"/>
        </w:rPr>
        <w:t xml:space="preserve"> janvier </w:t>
      </w:r>
      <w:r w:rsidRPr="00194A1B">
        <w:rPr>
          <w:lang w:val="fr-FR"/>
        </w:rPr>
        <w:t>2003.</w:t>
      </w:r>
    </w:p>
  </w:footnote>
  <w:footnote w:id="71">
    <w:p w:rsidR="00227D74" w:rsidRPr="00BB5D45" w:rsidRDefault="00227D74" w:rsidP="003D30C1">
      <w:pPr>
        <w:pStyle w:val="Testonotaapidipagina"/>
        <w:rPr>
          <w:lang w:val="it-IT"/>
        </w:rPr>
      </w:pPr>
      <w:r w:rsidRPr="006D76A5">
        <w:rPr>
          <w:rStyle w:val="Rimandonotaapidipagina"/>
          <w:vertAlign w:val="baseline"/>
        </w:rPr>
        <w:footnoteRef/>
      </w:r>
      <w:r w:rsidRPr="006D76A5">
        <w:rPr>
          <w:lang w:val="it-IT"/>
        </w:rPr>
        <w:t>.</w:t>
      </w:r>
      <w:r w:rsidRPr="00BB5D45">
        <w:rPr>
          <w:lang w:val="it-IT"/>
        </w:rPr>
        <w:t>  </w:t>
      </w:r>
      <w:r w:rsidRPr="00BB5D45">
        <w:rPr>
          <w:i/>
          <w:lang w:val="it-IT"/>
        </w:rPr>
        <w:t>Rizzotto c. Italie</w:t>
      </w:r>
      <w:r w:rsidRPr="00BB5D45">
        <w:rPr>
          <w:lang w:val="it-IT"/>
        </w:rPr>
        <w:t>, n</w:t>
      </w:r>
      <w:r w:rsidRPr="00BB5D45">
        <w:rPr>
          <w:vertAlign w:val="superscript"/>
          <w:lang w:val="it-IT"/>
        </w:rPr>
        <w:t>o</w:t>
      </w:r>
      <w:r w:rsidRPr="00BB5D45">
        <w:rPr>
          <w:lang w:val="it-IT"/>
        </w:rPr>
        <w:t xml:space="preserve"> 15349/06, §§ 30-36, 24 avril 2008.</w:t>
      </w:r>
    </w:p>
  </w:footnote>
  <w:footnote w:id="72">
    <w:p w:rsidR="00227D74" w:rsidRPr="00BB3DC7" w:rsidRDefault="00227D74" w:rsidP="003D30C1">
      <w:pPr>
        <w:pStyle w:val="Testonotaapidipagina"/>
        <w:rPr>
          <w:lang w:val="es-ES_tradnl"/>
        </w:rPr>
      </w:pPr>
      <w:r w:rsidRPr="006D76A5">
        <w:rPr>
          <w:rStyle w:val="Rimandonotaapidipagina"/>
          <w:vertAlign w:val="baseline"/>
        </w:rPr>
        <w:footnoteRef/>
      </w:r>
      <w:r w:rsidRPr="006D76A5">
        <w:rPr>
          <w:lang w:val="es-ES_tradnl"/>
        </w:rPr>
        <w:t>.  </w:t>
      </w:r>
      <w:r>
        <w:rPr>
          <w:i/>
          <w:lang w:val="es-ES_tradnl"/>
        </w:rPr>
        <w:t>N.C. c</w:t>
      </w:r>
      <w:r w:rsidRPr="00BB3DC7">
        <w:rPr>
          <w:i/>
          <w:lang w:val="es-ES_tradnl"/>
        </w:rPr>
        <w:t>. Ital</w:t>
      </w:r>
      <w:r>
        <w:rPr>
          <w:i/>
          <w:lang w:val="es-ES_tradnl"/>
        </w:rPr>
        <w:t>ie</w:t>
      </w:r>
      <w:r w:rsidRPr="00BB3DC7">
        <w:rPr>
          <w:lang w:val="es-ES_tradnl"/>
        </w:rPr>
        <w:t xml:space="preserve"> [GC], n</w:t>
      </w:r>
      <w:r w:rsidRPr="00194A1B">
        <w:rPr>
          <w:vertAlign w:val="superscript"/>
          <w:lang w:val="es-ES_tradnl"/>
        </w:rPr>
        <w:t>o</w:t>
      </w:r>
      <w:r>
        <w:rPr>
          <w:lang w:val="es-ES_tradnl"/>
        </w:rPr>
        <w:t xml:space="preserve"> 24952/94, § 49, </w:t>
      </w:r>
      <w:r w:rsidRPr="00BB3DC7">
        <w:rPr>
          <w:lang w:val="es-ES_tradnl"/>
        </w:rPr>
        <w:t>C</w:t>
      </w:r>
      <w:r>
        <w:rPr>
          <w:lang w:val="es-ES_tradnl"/>
        </w:rPr>
        <w:t>ED</w:t>
      </w:r>
      <w:r w:rsidRPr="00BB3DC7">
        <w:rPr>
          <w:lang w:val="es-ES_tradnl"/>
        </w:rPr>
        <w:t>H 2002</w:t>
      </w:r>
      <w:r w:rsidRPr="00BB3DC7">
        <w:rPr>
          <w:lang w:val="es-ES_tradnl"/>
        </w:rPr>
        <w:noBreakHyphen/>
        <w:t>X.</w:t>
      </w:r>
    </w:p>
  </w:footnote>
  <w:footnote w:id="73">
    <w:p w:rsidR="00227D74" w:rsidRPr="007D014A" w:rsidRDefault="00227D74" w:rsidP="003D30C1">
      <w:pPr>
        <w:pStyle w:val="Testonotaapidipagina"/>
        <w:rPr>
          <w:lang w:val="fr-FR"/>
        </w:rPr>
      </w:pPr>
      <w:r w:rsidRPr="006D76A5">
        <w:rPr>
          <w:rStyle w:val="Rimandonotaapidipagina"/>
          <w:vertAlign w:val="baseline"/>
        </w:rPr>
        <w:footnoteRef/>
      </w:r>
      <w:r w:rsidRPr="0070292F">
        <w:t>.  </w:t>
      </w:r>
      <w:r w:rsidRPr="007D014A">
        <w:rPr>
          <w:i/>
          <w:lang w:val="fr-FR"/>
        </w:rPr>
        <w:t>Vito Sante Santoro</w:t>
      </w:r>
      <w:r w:rsidRPr="007D014A">
        <w:rPr>
          <w:lang w:val="fr-FR"/>
        </w:rPr>
        <w:t>, précité, § 45.</w:t>
      </w:r>
    </w:p>
  </w:footnote>
  <w:footnote w:id="74">
    <w:p w:rsidR="00227D74" w:rsidRPr="00F770DE" w:rsidRDefault="00227D74" w:rsidP="003D30C1">
      <w:pPr>
        <w:pStyle w:val="Testonotaapidipagina"/>
        <w:rPr>
          <w:lang w:val="fr-FR"/>
        </w:rPr>
      </w:pPr>
      <w:r w:rsidRPr="006D76A5">
        <w:rPr>
          <w:rStyle w:val="Rimandonotaapidipagina"/>
          <w:vertAlign w:val="baseline"/>
        </w:rPr>
        <w:footnoteRef/>
      </w:r>
      <w:r w:rsidRPr="006D76A5">
        <w:rPr>
          <w:lang w:val="fr-FR"/>
        </w:rPr>
        <w:t>. </w:t>
      </w:r>
      <w:r w:rsidRPr="007D014A">
        <w:rPr>
          <w:lang w:val="fr-FR"/>
        </w:rPr>
        <w:t> </w:t>
      </w:r>
      <w:r w:rsidRPr="00F770DE">
        <w:rPr>
          <w:i/>
          <w:lang w:val="fr-FR"/>
        </w:rPr>
        <w:t>Seferovic c. Italie</w:t>
      </w:r>
      <w:r w:rsidRPr="00F770DE">
        <w:rPr>
          <w:lang w:val="fr-FR"/>
        </w:rPr>
        <w:t>, n</w:t>
      </w:r>
      <w:r w:rsidRPr="00F770DE">
        <w:rPr>
          <w:vertAlign w:val="superscript"/>
          <w:lang w:val="fr-FR"/>
        </w:rPr>
        <w:t>o</w:t>
      </w:r>
      <w:r w:rsidRPr="00F770DE">
        <w:rPr>
          <w:lang w:val="fr-FR"/>
        </w:rPr>
        <w:t xml:space="preserve"> 12921/04, § 49, 8</w:t>
      </w:r>
      <w:r>
        <w:rPr>
          <w:lang w:val="fr-FR"/>
        </w:rPr>
        <w:t xml:space="preserve"> </w:t>
      </w:r>
      <w:r w:rsidRPr="00F770DE">
        <w:rPr>
          <w:lang w:val="fr-FR"/>
        </w:rPr>
        <w:t xml:space="preserve">février </w:t>
      </w:r>
      <w:r w:rsidRPr="00F770DE">
        <w:rPr>
          <w:snapToGrid w:val="0"/>
          <w:lang w:val="fr-FR"/>
        </w:rPr>
        <w:t xml:space="preserve">2011, </w:t>
      </w:r>
      <w:r w:rsidRPr="00F770DE">
        <w:rPr>
          <w:i/>
          <w:lang w:val="fr-FR"/>
        </w:rPr>
        <w:t>Pezone c. Italie</w:t>
      </w:r>
      <w:r w:rsidRPr="00F770DE">
        <w:rPr>
          <w:lang w:val="fr-FR"/>
        </w:rPr>
        <w:t>, n</w:t>
      </w:r>
      <w:r w:rsidRPr="00F770DE">
        <w:rPr>
          <w:vertAlign w:val="superscript"/>
          <w:lang w:val="fr-FR"/>
        </w:rPr>
        <w:t>o</w:t>
      </w:r>
      <w:r w:rsidRPr="00F770DE">
        <w:rPr>
          <w:lang w:val="fr-FR"/>
        </w:rPr>
        <w:t xml:space="preserve"> 42098/98, §§ 51-56, 18 décembre 2003, et </w:t>
      </w:r>
      <w:r w:rsidRPr="00F770DE">
        <w:rPr>
          <w:i/>
          <w:lang w:val="fr-FR"/>
        </w:rPr>
        <w:t>Fox, Campbell et Hartley</w:t>
      </w:r>
      <w:r w:rsidRPr="000005B7">
        <w:rPr>
          <w:lang w:val="fr-FR"/>
        </w:rPr>
        <w:t>,</w:t>
      </w:r>
      <w:r w:rsidRPr="00F770DE">
        <w:rPr>
          <w:lang w:val="fr-FR"/>
        </w:rPr>
        <w:t xml:space="preserve"> </w:t>
      </w:r>
      <w:r w:rsidRPr="007459E6">
        <w:rPr>
          <w:lang w:val="fr-FR"/>
        </w:rPr>
        <w:t>précité</w:t>
      </w:r>
      <w:r>
        <w:rPr>
          <w:lang w:val="fr-FR"/>
        </w:rPr>
        <w:t>,</w:t>
      </w:r>
      <w:r w:rsidRPr="00F770DE">
        <w:rPr>
          <w:lang w:val="fr-FR"/>
        </w:rPr>
        <w:t xml:space="preserve"> § 46.</w:t>
      </w:r>
    </w:p>
  </w:footnote>
  <w:footnote w:id="75">
    <w:p w:rsidR="00227D74" w:rsidRPr="00F770DE" w:rsidRDefault="00227D74" w:rsidP="003D30C1">
      <w:pPr>
        <w:pStyle w:val="Testonotaapidipagina"/>
        <w:rPr>
          <w:lang w:val="fr-FR"/>
        </w:rPr>
      </w:pPr>
      <w:r w:rsidRPr="006D76A5">
        <w:rPr>
          <w:rStyle w:val="Rimandonotaapidipagina"/>
          <w:vertAlign w:val="baseline"/>
        </w:rPr>
        <w:footnoteRef/>
      </w:r>
      <w:r w:rsidRPr="006D76A5">
        <w:rPr>
          <w:lang w:val="fr-FR"/>
        </w:rPr>
        <w:t>.  </w:t>
      </w:r>
      <w:r w:rsidRPr="00F770DE">
        <w:rPr>
          <w:rFonts w:ascii="Times New Roman" w:eastAsia="Times New Roman" w:hAnsi="Times New Roman" w:cs="Times New Roman"/>
          <w:i/>
          <w:lang w:val="fr-FR"/>
        </w:rPr>
        <w:t>Tyrer c. Royaume-Uni</w:t>
      </w:r>
      <w:r w:rsidRPr="00F770DE">
        <w:rPr>
          <w:rFonts w:ascii="Times New Roman" w:eastAsia="Times New Roman" w:hAnsi="Times New Roman" w:cs="Times New Roman"/>
          <w:lang w:val="fr-FR"/>
        </w:rPr>
        <w:t xml:space="preserve">, 25 </w:t>
      </w:r>
      <w:r>
        <w:rPr>
          <w:rFonts w:ascii="Times New Roman" w:eastAsia="Times New Roman" w:hAnsi="Times New Roman" w:cs="Times New Roman"/>
          <w:lang w:val="fr-FR"/>
        </w:rPr>
        <w:t>av</w:t>
      </w:r>
      <w:r w:rsidRPr="00F770DE">
        <w:rPr>
          <w:rFonts w:ascii="Times New Roman" w:eastAsia="Times New Roman" w:hAnsi="Times New Roman" w:cs="Times New Roman"/>
          <w:lang w:val="fr-FR"/>
        </w:rPr>
        <w:t xml:space="preserve">ril 1978, § 31, </w:t>
      </w:r>
      <w:r>
        <w:rPr>
          <w:rFonts w:ascii="Times New Roman" w:eastAsia="Times New Roman" w:hAnsi="Times New Roman" w:cs="Times New Roman"/>
          <w:lang w:val="fr-FR"/>
        </w:rPr>
        <w:t xml:space="preserve">série </w:t>
      </w:r>
      <w:r w:rsidRPr="00F770DE">
        <w:rPr>
          <w:rFonts w:ascii="Times New Roman" w:eastAsia="Times New Roman" w:hAnsi="Times New Roman" w:cs="Times New Roman"/>
          <w:lang w:val="fr-FR"/>
        </w:rPr>
        <w:t>A n</w:t>
      </w:r>
      <w:r w:rsidRPr="00F770DE">
        <w:rPr>
          <w:rFonts w:ascii="Times New Roman" w:eastAsia="Times New Roman" w:hAnsi="Times New Roman" w:cs="Times New Roman"/>
          <w:vertAlign w:val="superscript"/>
          <w:lang w:val="fr-FR"/>
        </w:rPr>
        <w:t>o</w:t>
      </w:r>
      <w:r w:rsidRPr="00F770DE">
        <w:rPr>
          <w:rFonts w:ascii="Times New Roman" w:eastAsia="Times New Roman" w:hAnsi="Times New Roman" w:cs="Times New Roman"/>
          <w:lang w:val="fr-FR"/>
        </w:rPr>
        <w:t xml:space="preserve">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74" w:rsidRPr="00A45145" w:rsidRDefault="00227D74" w:rsidP="00227D74">
    <w:pPr>
      <w:jc w:val="center"/>
    </w:pPr>
    <w:r>
      <w:rPr>
        <w:noProof/>
        <w:lang w:val="it-IT" w:eastAsia="it-IT"/>
      </w:rPr>
      <w:drawing>
        <wp:inline distT="0" distB="0" distL="0" distR="0" wp14:anchorId="682150BB" wp14:editId="61230CD8">
          <wp:extent cx="2962275" cy="1219200"/>
          <wp:effectExtent l="0" t="0" r="9525" b="0"/>
          <wp:docPr id="3" name="Picture 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227D74" w:rsidRDefault="00227D74" w:rsidP="00227D7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74" w:rsidRPr="00DA3F6F" w:rsidRDefault="00227D74" w:rsidP="00370B74">
    <w:pPr>
      <w:pStyle w:val="ECHRHeader"/>
      <w:rPr>
        <w:lang w:val="fr-FR"/>
      </w:rPr>
    </w:pPr>
    <w:r w:rsidRPr="00076DFF">
      <w:rPr>
        <w:lang w:val="fr-FR"/>
      </w:rPr>
      <w:fldChar w:fldCharType="begin"/>
    </w:r>
    <w:r w:rsidRPr="00076DFF">
      <w:rPr>
        <w:lang w:val="fr-FR"/>
      </w:rPr>
      <w:instrText xml:space="preserve"> PAGE </w:instrText>
    </w:r>
    <w:r w:rsidRPr="00076DFF">
      <w:rPr>
        <w:lang w:val="fr-FR"/>
      </w:rPr>
      <w:fldChar w:fldCharType="separate"/>
    </w:r>
    <w:r w:rsidR="00ED0C5B">
      <w:rPr>
        <w:noProof/>
        <w:lang w:val="fr-FR"/>
      </w:rPr>
      <w:t>42</w:t>
    </w:r>
    <w:r w:rsidRPr="00076DFF">
      <w:rPr>
        <w:lang w:val="fr-FR"/>
      </w:rPr>
      <w:fldChar w:fldCharType="end"/>
    </w:r>
    <w:r w:rsidRPr="00DA3F6F">
      <w:rPr>
        <w:lang w:val="fr-FR"/>
      </w:rPr>
      <w:tab/>
      <w:t xml:space="preserve">ARRÊT DE TOMMASO c. ITALIE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74" w:rsidRPr="00DA3F6F" w:rsidRDefault="00227D74" w:rsidP="00370B74">
    <w:pPr>
      <w:pStyle w:val="ECHRHeader"/>
      <w:rPr>
        <w:lang w:val="fr-FR"/>
      </w:rPr>
    </w:pPr>
    <w:r w:rsidRPr="00664F16">
      <w:tab/>
    </w:r>
    <w:r w:rsidRPr="00DA3F6F">
      <w:rPr>
        <w:lang w:val="fr-FR"/>
      </w:rPr>
      <w:t xml:space="preserve">ARRÊT DE TOMMASO c. ITALIE </w:t>
    </w:r>
    <w:r w:rsidRPr="00DA3F6F">
      <w:rPr>
        <w:lang w:val="fr-FR"/>
      </w:rPr>
      <w:tab/>
    </w:r>
    <w:r>
      <w:rPr>
        <w:rStyle w:val="Numeropagina"/>
      </w:rPr>
      <w:fldChar w:fldCharType="begin"/>
    </w:r>
    <w:r w:rsidRPr="00DA3F6F">
      <w:rPr>
        <w:rStyle w:val="Numeropagina"/>
        <w:lang w:val="fr-FR"/>
      </w:rPr>
      <w:instrText xml:space="preserve"> PAGE </w:instrText>
    </w:r>
    <w:r>
      <w:rPr>
        <w:rStyle w:val="Numeropagina"/>
      </w:rPr>
      <w:fldChar w:fldCharType="separate"/>
    </w:r>
    <w:r w:rsidR="00ED0C5B">
      <w:rPr>
        <w:rStyle w:val="Numeropagina"/>
        <w:noProof/>
        <w:lang w:val="fr-FR"/>
      </w:rPr>
      <w:t>43</w:t>
    </w:r>
    <w:r>
      <w:rPr>
        <w:rStyle w:val="Numeropa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74" w:rsidRDefault="00227D74">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74" w:rsidRPr="00DA3F6F" w:rsidRDefault="00227D74" w:rsidP="003102D9">
    <w:pPr>
      <w:pStyle w:val="ECHRHeader"/>
      <w:rPr>
        <w:lang w:val="fr-FR"/>
      </w:rPr>
    </w:pPr>
    <w:r>
      <w:rPr>
        <w:rStyle w:val="Numeropagina"/>
      </w:rPr>
      <w:fldChar w:fldCharType="begin"/>
    </w:r>
    <w:r w:rsidRPr="00DA3F6F">
      <w:rPr>
        <w:rStyle w:val="Numeropagina"/>
        <w:lang w:val="fr-FR"/>
      </w:rPr>
      <w:instrText xml:space="preserve"> PAGE </w:instrText>
    </w:r>
    <w:r>
      <w:rPr>
        <w:rStyle w:val="Numeropagina"/>
      </w:rPr>
      <w:fldChar w:fldCharType="separate"/>
    </w:r>
    <w:r w:rsidR="00ED0C5B">
      <w:rPr>
        <w:rStyle w:val="Numeropagina"/>
        <w:noProof/>
        <w:lang w:val="fr-FR"/>
      </w:rPr>
      <w:t>80</w:t>
    </w:r>
    <w:r>
      <w:rPr>
        <w:rStyle w:val="Numeropagina"/>
      </w:rPr>
      <w:fldChar w:fldCharType="end"/>
    </w:r>
    <w:r w:rsidRPr="00DA3F6F">
      <w:rPr>
        <w:lang w:val="fr-FR"/>
      </w:rPr>
      <w:tab/>
      <w:t>ARRÊT</w:t>
    </w:r>
    <w:r>
      <w:rPr>
        <w:lang w:val="fr-FR"/>
      </w:rPr>
      <w:t xml:space="preserve"> DE TOMMASO c. ITALIE – OPINION</w:t>
    </w:r>
    <w:r w:rsidRPr="00DA3F6F">
      <w:rPr>
        <w:lang w:val="fr-FR"/>
      </w:rPr>
      <w:t>S SÉPARÉES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74" w:rsidRPr="00DA3F6F" w:rsidRDefault="00227D74" w:rsidP="003102D9">
    <w:pPr>
      <w:pStyle w:val="ECHRHeader"/>
      <w:rPr>
        <w:lang w:val="fr-FR"/>
      </w:rPr>
    </w:pPr>
    <w:r w:rsidRPr="00664F16">
      <w:tab/>
    </w:r>
    <w:r w:rsidRPr="00DA3F6F">
      <w:rPr>
        <w:lang w:val="fr-FR"/>
      </w:rPr>
      <w:t>ARRÊT DE TOMMASO c. ITALIE – OPINIONS SÉPARÉES</w:t>
    </w:r>
    <w:r w:rsidRPr="00DA3F6F">
      <w:rPr>
        <w:lang w:val="fr-FR"/>
      </w:rPr>
      <w:tab/>
    </w:r>
    <w:r>
      <w:rPr>
        <w:rStyle w:val="Numeropagina"/>
      </w:rPr>
      <w:fldChar w:fldCharType="begin"/>
    </w:r>
    <w:r w:rsidRPr="00DA3F6F">
      <w:rPr>
        <w:rStyle w:val="Numeropagina"/>
        <w:lang w:val="fr-FR"/>
      </w:rPr>
      <w:instrText xml:space="preserve"> PAGE </w:instrText>
    </w:r>
    <w:r>
      <w:rPr>
        <w:rStyle w:val="Numeropagina"/>
      </w:rPr>
      <w:fldChar w:fldCharType="separate"/>
    </w:r>
    <w:r w:rsidR="00ED0C5B">
      <w:rPr>
        <w:rStyle w:val="Numeropagina"/>
        <w:noProof/>
        <w:lang w:val="fr-FR"/>
      </w:rPr>
      <w:t>81</w:t>
    </w:r>
    <w:r>
      <w:rPr>
        <w:rStyle w:val="Numeropagina"/>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74" w:rsidRDefault="00227D7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F876219"/>
    <w:multiLevelType w:val="hybridMultilevel"/>
    <w:tmpl w:val="5296CF76"/>
    <w:lvl w:ilvl="0" w:tplc="4F7A5F4C">
      <w:start w:val="2"/>
      <w:numFmt w:val="upperLetter"/>
      <w:lvlText w:val="%1."/>
      <w:lvlJc w:val="left"/>
      <w:pPr>
        <w:tabs>
          <w:tab w:val="num" w:pos="592"/>
        </w:tabs>
        <w:ind w:left="592" w:hanging="360"/>
      </w:pPr>
      <w:rPr>
        <w:rFonts w:hint="default"/>
      </w:rPr>
    </w:lvl>
    <w:lvl w:ilvl="1" w:tplc="08090019" w:tentative="1">
      <w:start w:val="1"/>
      <w:numFmt w:val="lowerLetter"/>
      <w:lvlText w:val="%2."/>
      <w:lvlJc w:val="left"/>
      <w:pPr>
        <w:tabs>
          <w:tab w:val="num" w:pos="1312"/>
        </w:tabs>
        <w:ind w:left="1312" w:hanging="360"/>
      </w:pPr>
    </w:lvl>
    <w:lvl w:ilvl="2" w:tplc="0809001B" w:tentative="1">
      <w:start w:val="1"/>
      <w:numFmt w:val="lowerRoman"/>
      <w:lvlText w:val="%3."/>
      <w:lvlJc w:val="right"/>
      <w:pPr>
        <w:tabs>
          <w:tab w:val="num" w:pos="2032"/>
        </w:tabs>
        <w:ind w:left="2032" w:hanging="180"/>
      </w:pPr>
    </w:lvl>
    <w:lvl w:ilvl="3" w:tplc="0809000F" w:tentative="1">
      <w:start w:val="1"/>
      <w:numFmt w:val="decimal"/>
      <w:lvlText w:val="%4."/>
      <w:lvlJc w:val="left"/>
      <w:pPr>
        <w:tabs>
          <w:tab w:val="num" w:pos="2752"/>
        </w:tabs>
        <w:ind w:left="2752" w:hanging="360"/>
      </w:pPr>
    </w:lvl>
    <w:lvl w:ilvl="4" w:tplc="08090019" w:tentative="1">
      <w:start w:val="1"/>
      <w:numFmt w:val="lowerLetter"/>
      <w:lvlText w:val="%5."/>
      <w:lvlJc w:val="left"/>
      <w:pPr>
        <w:tabs>
          <w:tab w:val="num" w:pos="3472"/>
        </w:tabs>
        <w:ind w:left="3472" w:hanging="360"/>
      </w:pPr>
    </w:lvl>
    <w:lvl w:ilvl="5" w:tplc="0809001B" w:tentative="1">
      <w:start w:val="1"/>
      <w:numFmt w:val="lowerRoman"/>
      <w:lvlText w:val="%6."/>
      <w:lvlJc w:val="right"/>
      <w:pPr>
        <w:tabs>
          <w:tab w:val="num" w:pos="4192"/>
        </w:tabs>
        <w:ind w:left="4192" w:hanging="180"/>
      </w:pPr>
    </w:lvl>
    <w:lvl w:ilvl="6" w:tplc="0809000F" w:tentative="1">
      <w:start w:val="1"/>
      <w:numFmt w:val="decimal"/>
      <w:lvlText w:val="%7."/>
      <w:lvlJc w:val="left"/>
      <w:pPr>
        <w:tabs>
          <w:tab w:val="num" w:pos="4912"/>
        </w:tabs>
        <w:ind w:left="4912" w:hanging="360"/>
      </w:pPr>
    </w:lvl>
    <w:lvl w:ilvl="7" w:tplc="08090019" w:tentative="1">
      <w:start w:val="1"/>
      <w:numFmt w:val="lowerLetter"/>
      <w:lvlText w:val="%8."/>
      <w:lvlJc w:val="left"/>
      <w:pPr>
        <w:tabs>
          <w:tab w:val="num" w:pos="5632"/>
        </w:tabs>
        <w:ind w:left="5632" w:hanging="360"/>
      </w:pPr>
    </w:lvl>
    <w:lvl w:ilvl="8" w:tplc="0809001B" w:tentative="1">
      <w:start w:val="1"/>
      <w:numFmt w:val="lowerRoman"/>
      <w:lvlText w:val="%9."/>
      <w:lvlJc w:val="right"/>
      <w:pPr>
        <w:tabs>
          <w:tab w:val="num" w:pos="6352"/>
        </w:tabs>
        <w:ind w:left="6352" w:hanging="180"/>
      </w:pPr>
    </w:lvl>
  </w:abstractNum>
  <w:abstractNum w:abstractNumId="12">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01464B"/>
    <w:multiLevelType w:val="hybridMultilevel"/>
    <w:tmpl w:val="D2E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086352"/>
    <w:multiLevelType w:val="hybridMultilevel"/>
    <w:tmpl w:val="3CAE44F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407A3D10"/>
    <w:multiLevelType w:val="multilevel"/>
    <w:tmpl w:val="B47CB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BE339DE"/>
    <w:multiLevelType w:val="hybridMultilevel"/>
    <w:tmpl w:val="6B5C47F2"/>
    <w:lvl w:ilvl="0" w:tplc="739E0924">
      <w:start w:val="1"/>
      <w:numFmt w:val="decimal"/>
      <w:lvlText w:val="%1."/>
      <w:lvlJc w:val="left"/>
      <w:pPr>
        <w:ind w:left="644" w:hanging="36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F1016B5"/>
    <w:multiLevelType w:val="multilevel"/>
    <w:tmpl w:val="8C787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1A63E47"/>
    <w:multiLevelType w:val="hybridMultilevel"/>
    <w:tmpl w:val="8558105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BBE6CBD"/>
    <w:multiLevelType w:val="hybridMultilevel"/>
    <w:tmpl w:val="5B122094"/>
    <w:lvl w:ilvl="0" w:tplc="4FDAD2AA">
      <w:start w:val="1"/>
      <w:numFmt w:val="decimal"/>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0"/>
  </w:num>
  <w:num w:numId="4">
    <w:abstractNumId w:val="1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8"/>
  </w:num>
  <w:num w:numId="16">
    <w:abstractNumId w:val="11"/>
  </w:num>
  <w:num w:numId="17">
    <w:abstractNumId w:val="13"/>
  </w:num>
  <w:num w:numId="18">
    <w:abstractNumId w:val="20"/>
  </w:num>
  <w:num w:numId="19">
    <w:abstractNumId w:val="14"/>
  </w:num>
  <w:num w:numId="20">
    <w:abstractNumId w:val="15"/>
  </w:num>
  <w:num w:numId="21">
    <w:abstractNumId w:val="19"/>
  </w:num>
  <w:num w:numId="22">
    <w:abstractNumId w:val="16"/>
  </w:num>
  <w:num w:numId="23">
    <w:abstractNumId w:val="22"/>
  </w:num>
  <w:num w:numId="24">
    <w:abstractNumId w:val="21"/>
  </w:num>
  <w:num w:numId="2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gnword-docGUID" w:val="{AED30D68-08BA-423C-BA9C-C65B067EB71C}"/>
    <w:docVar w:name="dgnword-eventsink" w:val="246750304"/>
    <w:docVar w:name="DocVarPREMATURE" w:val="0"/>
    <w:docVar w:name="EMM" w:val="0"/>
    <w:docVar w:name="ETRANSMISSION" w:val="PAR VOIE ÉLECTRONIQUE UNIQUEMENT"/>
    <w:docVar w:name="L4_1Annex" w:val="0"/>
    <w:docVar w:name="L4_1Anonymity" w:val="0"/>
    <w:docVar w:name="NBEMMDOC" w:val="0"/>
    <w:docVar w:name="SignForeName" w:val="0"/>
  </w:docVars>
  <w:rsids>
    <w:rsidRoot w:val="004405A5"/>
    <w:rsid w:val="00000482"/>
    <w:rsid w:val="00001AA4"/>
    <w:rsid w:val="000041F8"/>
    <w:rsid w:val="000042A8"/>
    <w:rsid w:val="00004308"/>
    <w:rsid w:val="00004524"/>
    <w:rsid w:val="00005B14"/>
    <w:rsid w:val="00005BF0"/>
    <w:rsid w:val="00006981"/>
    <w:rsid w:val="00007154"/>
    <w:rsid w:val="00007ADF"/>
    <w:rsid w:val="000103AE"/>
    <w:rsid w:val="00010CCA"/>
    <w:rsid w:val="00011D69"/>
    <w:rsid w:val="00012AD3"/>
    <w:rsid w:val="000130E3"/>
    <w:rsid w:val="000144F8"/>
    <w:rsid w:val="00015338"/>
    <w:rsid w:val="00015983"/>
    <w:rsid w:val="00015C2D"/>
    <w:rsid w:val="00015F00"/>
    <w:rsid w:val="000207DB"/>
    <w:rsid w:val="00021D91"/>
    <w:rsid w:val="00022189"/>
    <w:rsid w:val="000226EA"/>
    <w:rsid w:val="00022C1D"/>
    <w:rsid w:val="00024140"/>
    <w:rsid w:val="000252A7"/>
    <w:rsid w:val="0002688E"/>
    <w:rsid w:val="00026AE0"/>
    <w:rsid w:val="000330B7"/>
    <w:rsid w:val="00034987"/>
    <w:rsid w:val="0003578C"/>
    <w:rsid w:val="00035FE7"/>
    <w:rsid w:val="000360FA"/>
    <w:rsid w:val="000362D1"/>
    <w:rsid w:val="00037332"/>
    <w:rsid w:val="00042264"/>
    <w:rsid w:val="00042E37"/>
    <w:rsid w:val="00043ABF"/>
    <w:rsid w:val="00044240"/>
    <w:rsid w:val="00047398"/>
    <w:rsid w:val="0004746A"/>
    <w:rsid w:val="0005104E"/>
    <w:rsid w:val="00051DF4"/>
    <w:rsid w:val="0005330C"/>
    <w:rsid w:val="00054011"/>
    <w:rsid w:val="0005494D"/>
    <w:rsid w:val="00055100"/>
    <w:rsid w:val="00056BFD"/>
    <w:rsid w:val="000602DF"/>
    <w:rsid w:val="00061B05"/>
    <w:rsid w:val="000632D5"/>
    <w:rsid w:val="000635DA"/>
    <w:rsid w:val="000644EE"/>
    <w:rsid w:val="00064D09"/>
    <w:rsid w:val="000659D8"/>
    <w:rsid w:val="00065B36"/>
    <w:rsid w:val="00065D05"/>
    <w:rsid w:val="00066315"/>
    <w:rsid w:val="00066A71"/>
    <w:rsid w:val="00067037"/>
    <w:rsid w:val="000670A8"/>
    <w:rsid w:val="00070965"/>
    <w:rsid w:val="00070A79"/>
    <w:rsid w:val="00070E66"/>
    <w:rsid w:val="00071143"/>
    <w:rsid w:val="00073385"/>
    <w:rsid w:val="000734B2"/>
    <w:rsid w:val="000741D2"/>
    <w:rsid w:val="0007588D"/>
    <w:rsid w:val="000761D8"/>
    <w:rsid w:val="00076DFF"/>
    <w:rsid w:val="000773A5"/>
    <w:rsid w:val="00077DAD"/>
    <w:rsid w:val="0008010C"/>
    <w:rsid w:val="000808B9"/>
    <w:rsid w:val="000828F7"/>
    <w:rsid w:val="000901BE"/>
    <w:rsid w:val="000925AD"/>
    <w:rsid w:val="000977CD"/>
    <w:rsid w:val="000A0183"/>
    <w:rsid w:val="000A04DA"/>
    <w:rsid w:val="000A064C"/>
    <w:rsid w:val="000A06C6"/>
    <w:rsid w:val="000A1325"/>
    <w:rsid w:val="000A24EB"/>
    <w:rsid w:val="000A4998"/>
    <w:rsid w:val="000A4CEC"/>
    <w:rsid w:val="000A5BDE"/>
    <w:rsid w:val="000A6179"/>
    <w:rsid w:val="000A6B06"/>
    <w:rsid w:val="000A6E8B"/>
    <w:rsid w:val="000A718C"/>
    <w:rsid w:val="000B02FA"/>
    <w:rsid w:val="000B063D"/>
    <w:rsid w:val="000B0F91"/>
    <w:rsid w:val="000B1151"/>
    <w:rsid w:val="000B2100"/>
    <w:rsid w:val="000B32D1"/>
    <w:rsid w:val="000B4054"/>
    <w:rsid w:val="000B6923"/>
    <w:rsid w:val="000B6E03"/>
    <w:rsid w:val="000C0ABC"/>
    <w:rsid w:val="000C3655"/>
    <w:rsid w:val="000C42FD"/>
    <w:rsid w:val="000C4A18"/>
    <w:rsid w:val="000C5F3C"/>
    <w:rsid w:val="000C6DCB"/>
    <w:rsid w:val="000C6DCC"/>
    <w:rsid w:val="000D162E"/>
    <w:rsid w:val="000D2BE5"/>
    <w:rsid w:val="000D2C6D"/>
    <w:rsid w:val="000D34D4"/>
    <w:rsid w:val="000D3B70"/>
    <w:rsid w:val="000D4218"/>
    <w:rsid w:val="000D451E"/>
    <w:rsid w:val="000D47AA"/>
    <w:rsid w:val="000D6BAC"/>
    <w:rsid w:val="000D721F"/>
    <w:rsid w:val="000D7BD2"/>
    <w:rsid w:val="000E00F5"/>
    <w:rsid w:val="000E05B7"/>
    <w:rsid w:val="000E069B"/>
    <w:rsid w:val="000E0A3B"/>
    <w:rsid w:val="000E0E1A"/>
    <w:rsid w:val="000E0E82"/>
    <w:rsid w:val="000E1DC5"/>
    <w:rsid w:val="000E223F"/>
    <w:rsid w:val="000E22F7"/>
    <w:rsid w:val="000E579D"/>
    <w:rsid w:val="000E7D45"/>
    <w:rsid w:val="000F00EF"/>
    <w:rsid w:val="000F0AAA"/>
    <w:rsid w:val="000F1CCB"/>
    <w:rsid w:val="000F305A"/>
    <w:rsid w:val="000F6D39"/>
    <w:rsid w:val="000F7851"/>
    <w:rsid w:val="00100892"/>
    <w:rsid w:val="00101324"/>
    <w:rsid w:val="0010258F"/>
    <w:rsid w:val="001026D1"/>
    <w:rsid w:val="00104E23"/>
    <w:rsid w:val="0010555E"/>
    <w:rsid w:val="001070E9"/>
    <w:rsid w:val="00107610"/>
    <w:rsid w:val="0011027E"/>
    <w:rsid w:val="0011114D"/>
    <w:rsid w:val="001111B5"/>
    <w:rsid w:val="00111B0C"/>
    <w:rsid w:val="00112825"/>
    <w:rsid w:val="001131D2"/>
    <w:rsid w:val="00113C80"/>
    <w:rsid w:val="00114CD9"/>
    <w:rsid w:val="00114E0F"/>
    <w:rsid w:val="001175B6"/>
    <w:rsid w:val="00120386"/>
    <w:rsid w:val="00120C4D"/>
    <w:rsid w:val="00120D6C"/>
    <w:rsid w:val="00121DD1"/>
    <w:rsid w:val="00122756"/>
    <w:rsid w:val="00124B5A"/>
    <w:rsid w:val="0012540E"/>
    <w:rsid w:val="001257EC"/>
    <w:rsid w:val="0012641E"/>
    <w:rsid w:val="001274BD"/>
    <w:rsid w:val="001302D7"/>
    <w:rsid w:val="001304FD"/>
    <w:rsid w:val="00130C85"/>
    <w:rsid w:val="0013169A"/>
    <w:rsid w:val="001318AB"/>
    <w:rsid w:val="00133D33"/>
    <w:rsid w:val="0013471F"/>
    <w:rsid w:val="00134D64"/>
    <w:rsid w:val="00135A30"/>
    <w:rsid w:val="0013612C"/>
    <w:rsid w:val="00136479"/>
    <w:rsid w:val="00137B3D"/>
    <w:rsid w:val="00137FF6"/>
    <w:rsid w:val="00141650"/>
    <w:rsid w:val="00141D26"/>
    <w:rsid w:val="00141ED6"/>
    <w:rsid w:val="00142754"/>
    <w:rsid w:val="00142A8F"/>
    <w:rsid w:val="00146B9A"/>
    <w:rsid w:val="00147CA5"/>
    <w:rsid w:val="00154BA1"/>
    <w:rsid w:val="00156256"/>
    <w:rsid w:val="00156556"/>
    <w:rsid w:val="00156E7F"/>
    <w:rsid w:val="0015774A"/>
    <w:rsid w:val="0016174F"/>
    <w:rsid w:val="00161EF7"/>
    <w:rsid w:val="00162A12"/>
    <w:rsid w:val="00162A30"/>
    <w:rsid w:val="00162F1A"/>
    <w:rsid w:val="001631EE"/>
    <w:rsid w:val="001650AB"/>
    <w:rsid w:val="00165FF2"/>
    <w:rsid w:val="00166530"/>
    <w:rsid w:val="00166A94"/>
    <w:rsid w:val="00166EA3"/>
    <w:rsid w:val="00167C94"/>
    <w:rsid w:val="001704A5"/>
    <w:rsid w:val="001706E0"/>
    <w:rsid w:val="00170808"/>
    <w:rsid w:val="00170B23"/>
    <w:rsid w:val="00175060"/>
    <w:rsid w:val="00175E1C"/>
    <w:rsid w:val="001762EA"/>
    <w:rsid w:val="00181F57"/>
    <w:rsid w:val="00182315"/>
    <w:rsid w:val="001832BD"/>
    <w:rsid w:val="00183892"/>
    <w:rsid w:val="00183927"/>
    <w:rsid w:val="00183C6D"/>
    <w:rsid w:val="00184357"/>
    <w:rsid w:val="00184B06"/>
    <w:rsid w:val="0018577B"/>
    <w:rsid w:val="00186E84"/>
    <w:rsid w:val="00187450"/>
    <w:rsid w:val="0019030B"/>
    <w:rsid w:val="001914CE"/>
    <w:rsid w:val="001919B3"/>
    <w:rsid w:val="00193601"/>
    <w:rsid w:val="00193FC0"/>
    <w:rsid w:val="001943B5"/>
    <w:rsid w:val="00195134"/>
    <w:rsid w:val="00195188"/>
    <w:rsid w:val="001965E3"/>
    <w:rsid w:val="001A0270"/>
    <w:rsid w:val="001A0828"/>
    <w:rsid w:val="001A145B"/>
    <w:rsid w:val="001A154A"/>
    <w:rsid w:val="001A2F57"/>
    <w:rsid w:val="001A31B1"/>
    <w:rsid w:val="001A674C"/>
    <w:rsid w:val="001A71A1"/>
    <w:rsid w:val="001A7998"/>
    <w:rsid w:val="001A7E46"/>
    <w:rsid w:val="001B01D1"/>
    <w:rsid w:val="001B1383"/>
    <w:rsid w:val="001B3B24"/>
    <w:rsid w:val="001B787E"/>
    <w:rsid w:val="001C0F98"/>
    <w:rsid w:val="001C1370"/>
    <w:rsid w:val="001C1B1E"/>
    <w:rsid w:val="001C28F5"/>
    <w:rsid w:val="001C2A42"/>
    <w:rsid w:val="001C52D4"/>
    <w:rsid w:val="001C6B54"/>
    <w:rsid w:val="001C72AC"/>
    <w:rsid w:val="001C7648"/>
    <w:rsid w:val="001D0B42"/>
    <w:rsid w:val="001D1830"/>
    <w:rsid w:val="001D18AF"/>
    <w:rsid w:val="001D1A6E"/>
    <w:rsid w:val="001D3846"/>
    <w:rsid w:val="001D3CE4"/>
    <w:rsid w:val="001D3ED0"/>
    <w:rsid w:val="001D63ED"/>
    <w:rsid w:val="001D7348"/>
    <w:rsid w:val="001D7984"/>
    <w:rsid w:val="001E035B"/>
    <w:rsid w:val="001E0961"/>
    <w:rsid w:val="001E10F8"/>
    <w:rsid w:val="001E1ADD"/>
    <w:rsid w:val="001E3321"/>
    <w:rsid w:val="001E3EAE"/>
    <w:rsid w:val="001E49F2"/>
    <w:rsid w:val="001E587F"/>
    <w:rsid w:val="001E63D9"/>
    <w:rsid w:val="001E6939"/>
    <w:rsid w:val="001E6F32"/>
    <w:rsid w:val="001F0FF9"/>
    <w:rsid w:val="001F2145"/>
    <w:rsid w:val="001F3F01"/>
    <w:rsid w:val="001F576E"/>
    <w:rsid w:val="001F600F"/>
    <w:rsid w:val="001F6262"/>
    <w:rsid w:val="001F650F"/>
    <w:rsid w:val="001F67B0"/>
    <w:rsid w:val="001F6FCA"/>
    <w:rsid w:val="001F713B"/>
    <w:rsid w:val="001F7B3D"/>
    <w:rsid w:val="0020504D"/>
    <w:rsid w:val="00205F9F"/>
    <w:rsid w:val="002070CA"/>
    <w:rsid w:val="002072A2"/>
    <w:rsid w:val="002077DB"/>
    <w:rsid w:val="00210338"/>
    <w:rsid w:val="002115FC"/>
    <w:rsid w:val="00213449"/>
    <w:rsid w:val="002134AA"/>
    <w:rsid w:val="00213EBB"/>
    <w:rsid w:val="0021423C"/>
    <w:rsid w:val="00216448"/>
    <w:rsid w:val="00217799"/>
    <w:rsid w:val="002177D9"/>
    <w:rsid w:val="00217ABA"/>
    <w:rsid w:val="002205C9"/>
    <w:rsid w:val="00222BF9"/>
    <w:rsid w:val="00223A31"/>
    <w:rsid w:val="00225583"/>
    <w:rsid w:val="00226B2A"/>
    <w:rsid w:val="0022790E"/>
    <w:rsid w:val="00227D74"/>
    <w:rsid w:val="002308BD"/>
    <w:rsid w:val="00230D00"/>
    <w:rsid w:val="0023164A"/>
    <w:rsid w:val="00231DF7"/>
    <w:rsid w:val="00231FD1"/>
    <w:rsid w:val="0023326C"/>
    <w:rsid w:val="002339E0"/>
    <w:rsid w:val="00233CF8"/>
    <w:rsid w:val="00235121"/>
    <w:rsid w:val="0023575D"/>
    <w:rsid w:val="00235CBF"/>
    <w:rsid w:val="00237148"/>
    <w:rsid w:val="00240228"/>
    <w:rsid w:val="0024222D"/>
    <w:rsid w:val="00242BD6"/>
    <w:rsid w:val="002431AB"/>
    <w:rsid w:val="0024428D"/>
    <w:rsid w:val="00244B0E"/>
    <w:rsid w:val="00244F6C"/>
    <w:rsid w:val="002501DA"/>
    <w:rsid w:val="00251C23"/>
    <w:rsid w:val="002532C5"/>
    <w:rsid w:val="00256212"/>
    <w:rsid w:val="00256511"/>
    <w:rsid w:val="00256763"/>
    <w:rsid w:val="0025771F"/>
    <w:rsid w:val="00257FDA"/>
    <w:rsid w:val="00260C03"/>
    <w:rsid w:val="00260DB5"/>
    <w:rsid w:val="00261626"/>
    <w:rsid w:val="002622F1"/>
    <w:rsid w:val="00263C8A"/>
    <w:rsid w:val="002645B9"/>
    <w:rsid w:val="00264AC0"/>
    <w:rsid w:val="0026540E"/>
    <w:rsid w:val="00265E83"/>
    <w:rsid w:val="0026714E"/>
    <w:rsid w:val="0027006F"/>
    <w:rsid w:val="00270658"/>
    <w:rsid w:val="00275123"/>
    <w:rsid w:val="00275201"/>
    <w:rsid w:val="0027544B"/>
    <w:rsid w:val="00275DBC"/>
    <w:rsid w:val="00275F6F"/>
    <w:rsid w:val="00277E54"/>
    <w:rsid w:val="00280BE7"/>
    <w:rsid w:val="00282240"/>
    <w:rsid w:val="00282606"/>
    <w:rsid w:val="00282FE0"/>
    <w:rsid w:val="002837F4"/>
    <w:rsid w:val="00283AE0"/>
    <w:rsid w:val="00285509"/>
    <w:rsid w:val="00290B26"/>
    <w:rsid w:val="002913AE"/>
    <w:rsid w:val="00292ABE"/>
    <w:rsid w:val="00293635"/>
    <w:rsid w:val="00293870"/>
    <w:rsid w:val="002939E8"/>
    <w:rsid w:val="00293BAB"/>
    <w:rsid w:val="002948AD"/>
    <w:rsid w:val="002969E4"/>
    <w:rsid w:val="00297E6A"/>
    <w:rsid w:val="00297F8D"/>
    <w:rsid w:val="002A01CC"/>
    <w:rsid w:val="002A242E"/>
    <w:rsid w:val="002A33EF"/>
    <w:rsid w:val="002A36A8"/>
    <w:rsid w:val="002A45A3"/>
    <w:rsid w:val="002A46A9"/>
    <w:rsid w:val="002A61B1"/>
    <w:rsid w:val="002A6353"/>
    <w:rsid w:val="002A663C"/>
    <w:rsid w:val="002B154A"/>
    <w:rsid w:val="002B21D8"/>
    <w:rsid w:val="002B333C"/>
    <w:rsid w:val="002B444B"/>
    <w:rsid w:val="002B44B9"/>
    <w:rsid w:val="002B4FD3"/>
    <w:rsid w:val="002B5887"/>
    <w:rsid w:val="002B621A"/>
    <w:rsid w:val="002B62A3"/>
    <w:rsid w:val="002C0304"/>
    <w:rsid w:val="002C0E27"/>
    <w:rsid w:val="002C13E0"/>
    <w:rsid w:val="002C3040"/>
    <w:rsid w:val="002C3E90"/>
    <w:rsid w:val="002C6479"/>
    <w:rsid w:val="002C6521"/>
    <w:rsid w:val="002C6A44"/>
    <w:rsid w:val="002C6CEC"/>
    <w:rsid w:val="002D022D"/>
    <w:rsid w:val="002D10BA"/>
    <w:rsid w:val="002D16AB"/>
    <w:rsid w:val="002D24BB"/>
    <w:rsid w:val="002D5647"/>
    <w:rsid w:val="002E02CB"/>
    <w:rsid w:val="002E0B78"/>
    <w:rsid w:val="002E1353"/>
    <w:rsid w:val="002E2498"/>
    <w:rsid w:val="002E375E"/>
    <w:rsid w:val="002E4503"/>
    <w:rsid w:val="002E59CC"/>
    <w:rsid w:val="002E7F41"/>
    <w:rsid w:val="002F06A5"/>
    <w:rsid w:val="002F1615"/>
    <w:rsid w:val="002F22B6"/>
    <w:rsid w:val="002F2988"/>
    <w:rsid w:val="002F2AF7"/>
    <w:rsid w:val="002F3539"/>
    <w:rsid w:val="002F3E91"/>
    <w:rsid w:val="002F495F"/>
    <w:rsid w:val="002F6581"/>
    <w:rsid w:val="002F6677"/>
    <w:rsid w:val="002F7501"/>
    <w:rsid w:val="002F7E1C"/>
    <w:rsid w:val="0030166F"/>
    <w:rsid w:val="00301A75"/>
    <w:rsid w:val="003026CD"/>
    <w:rsid w:val="00302799"/>
    <w:rsid w:val="003028CA"/>
    <w:rsid w:val="00302F70"/>
    <w:rsid w:val="0030336F"/>
    <w:rsid w:val="00303652"/>
    <w:rsid w:val="0030375E"/>
    <w:rsid w:val="00303CB2"/>
    <w:rsid w:val="00304013"/>
    <w:rsid w:val="00304B00"/>
    <w:rsid w:val="00304E0F"/>
    <w:rsid w:val="0030670B"/>
    <w:rsid w:val="003075E2"/>
    <w:rsid w:val="0031026C"/>
    <w:rsid w:val="003102D9"/>
    <w:rsid w:val="00312A30"/>
    <w:rsid w:val="00312ED4"/>
    <w:rsid w:val="00313D25"/>
    <w:rsid w:val="003140B9"/>
    <w:rsid w:val="0031458D"/>
    <w:rsid w:val="003152CA"/>
    <w:rsid w:val="0031571A"/>
    <w:rsid w:val="00315BA9"/>
    <w:rsid w:val="00315C92"/>
    <w:rsid w:val="00316143"/>
    <w:rsid w:val="00320222"/>
    <w:rsid w:val="00320F72"/>
    <w:rsid w:val="00322872"/>
    <w:rsid w:val="0032463E"/>
    <w:rsid w:val="00324A98"/>
    <w:rsid w:val="00326224"/>
    <w:rsid w:val="003262BE"/>
    <w:rsid w:val="0032648C"/>
    <w:rsid w:val="00327B2F"/>
    <w:rsid w:val="003312B6"/>
    <w:rsid w:val="00331FF1"/>
    <w:rsid w:val="00332C8B"/>
    <w:rsid w:val="00334464"/>
    <w:rsid w:val="00335399"/>
    <w:rsid w:val="0033727B"/>
    <w:rsid w:val="00337EE4"/>
    <w:rsid w:val="0034093E"/>
    <w:rsid w:val="00340FFD"/>
    <w:rsid w:val="003426E6"/>
    <w:rsid w:val="0034338D"/>
    <w:rsid w:val="0034397D"/>
    <w:rsid w:val="003454E1"/>
    <w:rsid w:val="0034629C"/>
    <w:rsid w:val="00346359"/>
    <w:rsid w:val="00347694"/>
    <w:rsid w:val="00347F95"/>
    <w:rsid w:val="00350395"/>
    <w:rsid w:val="0035051B"/>
    <w:rsid w:val="003506B1"/>
    <w:rsid w:val="00354F8C"/>
    <w:rsid w:val="00355F1E"/>
    <w:rsid w:val="00356AC7"/>
    <w:rsid w:val="00356F29"/>
    <w:rsid w:val="003579A8"/>
    <w:rsid w:val="003609FA"/>
    <w:rsid w:val="003612C7"/>
    <w:rsid w:val="00361D3E"/>
    <w:rsid w:val="00363985"/>
    <w:rsid w:val="00363CA6"/>
    <w:rsid w:val="00364477"/>
    <w:rsid w:val="00365304"/>
    <w:rsid w:val="003663DA"/>
    <w:rsid w:val="003678EA"/>
    <w:rsid w:val="003703B1"/>
    <w:rsid w:val="00370B74"/>
    <w:rsid w:val="003710C8"/>
    <w:rsid w:val="003719E7"/>
    <w:rsid w:val="003747DD"/>
    <w:rsid w:val="00374B0A"/>
    <w:rsid w:val="003750BE"/>
    <w:rsid w:val="003779B5"/>
    <w:rsid w:val="00382C78"/>
    <w:rsid w:val="00383248"/>
    <w:rsid w:val="00387B9D"/>
    <w:rsid w:val="00390D51"/>
    <w:rsid w:val="00391701"/>
    <w:rsid w:val="003920F8"/>
    <w:rsid w:val="0039364F"/>
    <w:rsid w:val="003939C2"/>
    <w:rsid w:val="00394986"/>
    <w:rsid w:val="00394D08"/>
    <w:rsid w:val="00395522"/>
    <w:rsid w:val="00395ABE"/>
    <w:rsid w:val="00396686"/>
    <w:rsid w:val="0039778E"/>
    <w:rsid w:val="00397D43"/>
    <w:rsid w:val="003A0F85"/>
    <w:rsid w:val="003A5214"/>
    <w:rsid w:val="003A614A"/>
    <w:rsid w:val="003A65C0"/>
    <w:rsid w:val="003A6705"/>
    <w:rsid w:val="003A7BA6"/>
    <w:rsid w:val="003A7E59"/>
    <w:rsid w:val="003A7F36"/>
    <w:rsid w:val="003B229D"/>
    <w:rsid w:val="003B250C"/>
    <w:rsid w:val="003B2708"/>
    <w:rsid w:val="003B2814"/>
    <w:rsid w:val="003B4941"/>
    <w:rsid w:val="003B4DC5"/>
    <w:rsid w:val="003C0749"/>
    <w:rsid w:val="003C1071"/>
    <w:rsid w:val="003C179F"/>
    <w:rsid w:val="003C1DAE"/>
    <w:rsid w:val="003C2DA3"/>
    <w:rsid w:val="003C3380"/>
    <w:rsid w:val="003C5714"/>
    <w:rsid w:val="003C6B9F"/>
    <w:rsid w:val="003C6E2A"/>
    <w:rsid w:val="003C7402"/>
    <w:rsid w:val="003D0299"/>
    <w:rsid w:val="003D30C1"/>
    <w:rsid w:val="003D347F"/>
    <w:rsid w:val="003D3828"/>
    <w:rsid w:val="003D4305"/>
    <w:rsid w:val="003D552E"/>
    <w:rsid w:val="003D57C0"/>
    <w:rsid w:val="003D59C2"/>
    <w:rsid w:val="003E0371"/>
    <w:rsid w:val="003E0ACC"/>
    <w:rsid w:val="003E25E2"/>
    <w:rsid w:val="003E6D80"/>
    <w:rsid w:val="003E776B"/>
    <w:rsid w:val="003F05FA"/>
    <w:rsid w:val="003F0724"/>
    <w:rsid w:val="003F0C68"/>
    <w:rsid w:val="003F1198"/>
    <w:rsid w:val="003F244A"/>
    <w:rsid w:val="003F30B8"/>
    <w:rsid w:val="003F3D1D"/>
    <w:rsid w:val="003F4C45"/>
    <w:rsid w:val="003F5F7B"/>
    <w:rsid w:val="003F60A8"/>
    <w:rsid w:val="003F7A1B"/>
    <w:rsid w:val="003F7D64"/>
    <w:rsid w:val="003F7F4B"/>
    <w:rsid w:val="004006B4"/>
    <w:rsid w:val="00402734"/>
    <w:rsid w:val="00403304"/>
    <w:rsid w:val="004033F6"/>
    <w:rsid w:val="00404743"/>
    <w:rsid w:val="004078A7"/>
    <w:rsid w:val="00407EEE"/>
    <w:rsid w:val="004110D0"/>
    <w:rsid w:val="00411813"/>
    <w:rsid w:val="0041181B"/>
    <w:rsid w:val="00414043"/>
    <w:rsid w:val="00414300"/>
    <w:rsid w:val="00415584"/>
    <w:rsid w:val="00417E95"/>
    <w:rsid w:val="004204CF"/>
    <w:rsid w:val="00420E2B"/>
    <w:rsid w:val="004211BC"/>
    <w:rsid w:val="00422359"/>
    <w:rsid w:val="004231C1"/>
    <w:rsid w:val="00425C67"/>
    <w:rsid w:val="004264B7"/>
    <w:rsid w:val="00426EBF"/>
    <w:rsid w:val="00427E7A"/>
    <w:rsid w:val="004301F0"/>
    <w:rsid w:val="00430E33"/>
    <w:rsid w:val="0043114D"/>
    <w:rsid w:val="00433657"/>
    <w:rsid w:val="00433B64"/>
    <w:rsid w:val="00433F00"/>
    <w:rsid w:val="0043483C"/>
    <w:rsid w:val="00434CA0"/>
    <w:rsid w:val="00434EC4"/>
    <w:rsid w:val="00436C49"/>
    <w:rsid w:val="004402ED"/>
    <w:rsid w:val="004405A5"/>
    <w:rsid w:val="004420B7"/>
    <w:rsid w:val="004442B6"/>
    <w:rsid w:val="00445366"/>
    <w:rsid w:val="00446664"/>
    <w:rsid w:val="00447F5B"/>
    <w:rsid w:val="00450BB5"/>
    <w:rsid w:val="00451749"/>
    <w:rsid w:val="004553B3"/>
    <w:rsid w:val="00460344"/>
    <w:rsid w:val="00461DB0"/>
    <w:rsid w:val="00462D6E"/>
    <w:rsid w:val="00463926"/>
    <w:rsid w:val="00464C9A"/>
    <w:rsid w:val="00470C14"/>
    <w:rsid w:val="004741F5"/>
    <w:rsid w:val="00474F3D"/>
    <w:rsid w:val="00475551"/>
    <w:rsid w:val="00477E3A"/>
    <w:rsid w:val="00477F01"/>
    <w:rsid w:val="00477FF9"/>
    <w:rsid w:val="00481EDC"/>
    <w:rsid w:val="00483225"/>
    <w:rsid w:val="00483CA9"/>
    <w:rsid w:val="00483E5F"/>
    <w:rsid w:val="00484049"/>
    <w:rsid w:val="00484073"/>
    <w:rsid w:val="00484F1B"/>
    <w:rsid w:val="00485E8E"/>
    <w:rsid w:val="00485F4F"/>
    <w:rsid w:val="00485FF9"/>
    <w:rsid w:val="0049044C"/>
    <w:rsid w:val="004907F0"/>
    <w:rsid w:val="0049140B"/>
    <w:rsid w:val="00492310"/>
    <w:rsid w:val="004923A5"/>
    <w:rsid w:val="00492F98"/>
    <w:rsid w:val="00492FF5"/>
    <w:rsid w:val="0049400D"/>
    <w:rsid w:val="0049493E"/>
    <w:rsid w:val="00495FDC"/>
    <w:rsid w:val="00496BFB"/>
    <w:rsid w:val="0049752F"/>
    <w:rsid w:val="004A0649"/>
    <w:rsid w:val="004A15C7"/>
    <w:rsid w:val="004A22BF"/>
    <w:rsid w:val="004A412F"/>
    <w:rsid w:val="004A4C6C"/>
    <w:rsid w:val="004A510D"/>
    <w:rsid w:val="004A6619"/>
    <w:rsid w:val="004A6C11"/>
    <w:rsid w:val="004A777D"/>
    <w:rsid w:val="004A7902"/>
    <w:rsid w:val="004B013B"/>
    <w:rsid w:val="004B112B"/>
    <w:rsid w:val="004B2EA2"/>
    <w:rsid w:val="004B337D"/>
    <w:rsid w:val="004B3976"/>
    <w:rsid w:val="004B3E12"/>
    <w:rsid w:val="004B3E30"/>
    <w:rsid w:val="004B4021"/>
    <w:rsid w:val="004B4400"/>
    <w:rsid w:val="004B4DDD"/>
    <w:rsid w:val="004B6148"/>
    <w:rsid w:val="004B794D"/>
    <w:rsid w:val="004C01E4"/>
    <w:rsid w:val="004C086C"/>
    <w:rsid w:val="004C1F56"/>
    <w:rsid w:val="004C27BC"/>
    <w:rsid w:val="004C29D7"/>
    <w:rsid w:val="004C3009"/>
    <w:rsid w:val="004C33F7"/>
    <w:rsid w:val="004C6A6B"/>
    <w:rsid w:val="004C79C4"/>
    <w:rsid w:val="004D15F3"/>
    <w:rsid w:val="004D18EB"/>
    <w:rsid w:val="004D1D59"/>
    <w:rsid w:val="004D1E82"/>
    <w:rsid w:val="004D2BA0"/>
    <w:rsid w:val="004D36FC"/>
    <w:rsid w:val="004D512D"/>
    <w:rsid w:val="004D5311"/>
    <w:rsid w:val="004D5DCC"/>
    <w:rsid w:val="004D635A"/>
    <w:rsid w:val="004D6E71"/>
    <w:rsid w:val="004E2832"/>
    <w:rsid w:val="004E3440"/>
    <w:rsid w:val="004E59F0"/>
    <w:rsid w:val="004E61D3"/>
    <w:rsid w:val="004E7D5A"/>
    <w:rsid w:val="004F10AF"/>
    <w:rsid w:val="004F11A4"/>
    <w:rsid w:val="004F1B43"/>
    <w:rsid w:val="004F1BF9"/>
    <w:rsid w:val="004F2389"/>
    <w:rsid w:val="004F25E2"/>
    <w:rsid w:val="004F2979"/>
    <w:rsid w:val="004F304D"/>
    <w:rsid w:val="004F393F"/>
    <w:rsid w:val="004F3B9E"/>
    <w:rsid w:val="004F4A59"/>
    <w:rsid w:val="004F61BE"/>
    <w:rsid w:val="004F66B1"/>
    <w:rsid w:val="004F7DC8"/>
    <w:rsid w:val="004F7F77"/>
    <w:rsid w:val="00500B75"/>
    <w:rsid w:val="00500FC7"/>
    <w:rsid w:val="00502E59"/>
    <w:rsid w:val="00504C8E"/>
    <w:rsid w:val="005103F7"/>
    <w:rsid w:val="00510813"/>
    <w:rsid w:val="00510F2F"/>
    <w:rsid w:val="005119D6"/>
    <w:rsid w:val="00511C07"/>
    <w:rsid w:val="0051251A"/>
    <w:rsid w:val="00515574"/>
    <w:rsid w:val="005173A6"/>
    <w:rsid w:val="005205EF"/>
    <w:rsid w:val="00520738"/>
    <w:rsid w:val="00520978"/>
    <w:rsid w:val="00520BAA"/>
    <w:rsid w:val="00520F2A"/>
    <w:rsid w:val="00521FEC"/>
    <w:rsid w:val="00522393"/>
    <w:rsid w:val="00522588"/>
    <w:rsid w:val="0052335A"/>
    <w:rsid w:val="00523C49"/>
    <w:rsid w:val="00524463"/>
    <w:rsid w:val="0052454A"/>
    <w:rsid w:val="00525208"/>
    <w:rsid w:val="005257A5"/>
    <w:rsid w:val="00525984"/>
    <w:rsid w:val="005264C0"/>
    <w:rsid w:val="00526A8A"/>
    <w:rsid w:val="0053006F"/>
    <w:rsid w:val="00531CE4"/>
    <w:rsid w:val="00531DF2"/>
    <w:rsid w:val="0053226B"/>
    <w:rsid w:val="0053273F"/>
    <w:rsid w:val="005333C2"/>
    <w:rsid w:val="00533AE2"/>
    <w:rsid w:val="00533C5F"/>
    <w:rsid w:val="00534146"/>
    <w:rsid w:val="0053437D"/>
    <w:rsid w:val="005347FD"/>
    <w:rsid w:val="005356FD"/>
    <w:rsid w:val="00535F49"/>
    <w:rsid w:val="0054193E"/>
    <w:rsid w:val="005442EE"/>
    <w:rsid w:val="00545634"/>
    <w:rsid w:val="00546275"/>
    <w:rsid w:val="00547353"/>
    <w:rsid w:val="005474E7"/>
    <w:rsid w:val="00550346"/>
    <w:rsid w:val="00550A02"/>
    <w:rsid w:val="0055125A"/>
    <w:rsid w:val="005512A3"/>
    <w:rsid w:val="005523BA"/>
    <w:rsid w:val="00553431"/>
    <w:rsid w:val="005534A2"/>
    <w:rsid w:val="0055589A"/>
    <w:rsid w:val="00555C32"/>
    <w:rsid w:val="00556368"/>
    <w:rsid w:val="005565AC"/>
    <w:rsid w:val="005578CE"/>
    <w:rsid w:val="00557EB4"/>
    <w:rsid w:val="0056075E"/>
    <w:rsid w:val="00560979"/>
    <w:rsid w:val="00560B1F"/>
    <w:rsid w:val="0056223D"/>
    <w:rsid w:val="00562724"/>
    <w:rsid w:val="00562781"/>
    <w:rsid w:val="00565ACC"/>
    <w:rsid w:val="005661AF"/>
    <w:rsid w:val="0056634A"/>
    <w:rsid w:val="00566482"/>
    <w:rsid w:val="00567F11"/>
    <w:rsid w:val="00570E14"/>
    <w:rsid w:val="00570F00"/>
    <w:rsid w:val="00571114"/>
    <w:rsid w:val="005717F7"/>
    <w:rsid w:val="0057263E"/>
    <w:rsid w:val="0057271C"/>
    <w:rsid w:val="00572845"/>
    <w:rsid w:val="005735FC"/>
    <w:rsid w:val="005746D1"/>
    <w:rsid w:val="0057534B"/>
    <w:rsid w:val="00575C18"/>
    <w:rsid w:val="00577BCF"/>
    <w:rsid w:val="0058126E"/>
    <w:rsid w:val="0058164B"/>
    <w:rsid w:val="00584395"/>
    <w:rsid w:val="00585D45"/>
    <w:rsid w:val="00585E85"/>
    <w:rsid w:val="00586896"/>
    <w:rsid w:val="00586D1F"/>
    <w:rsid w:val="00592772"/>
    <w:rsid w:val="00592896"/>
    <w:rsid w:val="00593FE7"/>
    <w:rsid w:val="0059493B"/>
    <w:rsid w:val="005950A2"/>
    <w:rsid w:val="0059556D"/>
    <w:rsid w:val="0059574A"/>
    <w:rsid w:val="00595B79"/>
    <w:rsid w:val="0059645F"/>
    <w:rsid w:val="00596468"/>
    <w:rsid w:val="00597386"/>
    <w:rsid w:val="00597509"/>
    <w:rsid w:val="005978E3"/>
    <w:rsid w:val="0059791E"/>
    <w:rsid w:val="005A02CB"/>
    <w:rsid w:val="005A1B9B"/>
    <w:rsid w:val="005A60F3"/>
    <w:rsid w:val="005A62F8"/>
    <w:rsid w:val="005A6751"/>
    <w:rsid w:val="005B092E"/>
    <w:rsid w:val="005B0E19"/>
    <w:rsid w:val="005B152C"/>
    <w:rsid w:val="005B1EE0"/>
    <w:rsid w:val="005B27BF"/>
    <w:rsid w:val="005B2B24"/>
    <w:rsid w:val="005B4425"/>
    <w:rsid w:val="005B493E"/>
    <w:rsid w:val="005B4B94"/>
    <w:rsid w:val="005B50E7"/>
    <w:rsid w:val="005B5E05"/>
    <w:rsid w:val="005B636A"/>
    <w:rsid w:val="005B6DE4"/>
    <w:rsid w:val="005C12F3"/>
    <w:rsid w:val="005C183F"/>
    <w:rsid w:val="005C3EE8"/>
    <w:rsid w:val="005C4B90"/>
    <w:rsid w:val="005C5744"/>
    <w:rsid w:val="005C70CA"/>
    <w:rsid w:val="005C7139"/>
    <w:rsid w:val="005C79AD"/>
    <w:rsid w:val="005D086F"/>
    <w:rsid w:val="005D34F9"/>
    <w:rsid w:val="005D39C4"/>
    <w:rsid w:val="005D3E0A"/>
    <w:rsid w:val="005D4190"/>
    <w:rsid w:val="005D563C"/>
    <w:rsid w:val="005D67A3"/>
    <w:rsid w:val="005E030D"/>
    <w:rsid w:val="005E0C8A"/>
    <w:rsid w:val="005E1E88"/>
    <w:rsid w:val="005E2639"/>
    <w:rsid w:val="005E2988"/>
    <w:rsid w:val="005E2EEA"/>
    <w:rsid w:val="005E3085"/>
    <w:rsid w:val="005E37C6"/>
    <w:rsid w:val="005E70A5"/>
    <w:rsid w:val="005E73BB"/>
    <w:rsid w:val="005F0A08"/>
    <w:rsid w:val="005F121F"/>
    <w:rsid w:val="005F2526"/>
    <w:rsid w:val="005F252A"/>
    <w:rsid w:val="005F31EB"/>
    <w:rsid w:val="005F325B"/>
    <w:rsid w:val="005F3997"/>
    <w:rsid w:val="005F3D8F"/>
    <w:rsid w:val="005F4574"/>
    <w:rsid w:val="005F51E1"/>
    <w:rsid w:val="005F5DE9"/>
    <w:rsid w:val="005F6354"/>
    <w:rsid w:val="005F63D7"/>
    <w:rsid w:val="005F76D6"/>
    <w:rsid w:val="00600D75"/>
    <w:rsid w:val="00600F60"/>
    <w:rsid w:val="00601522"/>
    <w:rsid w:val="0060645D"/>
    <w:rsid w:val="00606BC8"/>
    <w:rsid w:val="00607728"/>
    <w:rsid w:val="00611B47"/>
    <w:rsid w:val="00611C80"/>
    <w:rsid w:val="00612379"/>
    <w:rsid w:val="00612626"/>
    <w:rsid w:val="00613255"/>
    <w:rsid w:val="00614B26"/>
    <w:rsid w:val="0061547B"/>
    <w:rsid w:val="00615E47"/>
    <w:rsid w:val="00620032"/>
    <w:rsid w:val="00620692"/>
    <w:rsid w:val="00622156"/>
    <w:rsid w:val="00622FB0"/>
    <w:rsid w:val="0062423E"/>
    <w:rsid w:val="006242CA"/>
    <w:rsid w:val="00624A08"/>
    <w:rsid w:val="00625740"/>
    <w:rsid w:val="0062593E"/>
    <w:rsid w:val="00626064"/>
    <w:rsid w:val="00626C5F"/>
    <w:rsid w:val="00627507"/>
    <w:rsid w:val="00627CFA"/>
    <w:rsid w:val="0063078D"/>
    <w:rsid w:val="00630923"/>
    <w:rsid w:val="006316A9"/>
    <w:rsid w:val="00631B54"/>
    <w:rsid w:val="0063332F"/>
    <w:rsid w:val="00633717"/>
    <w:rsid w:val="006344E1"/>
    <w:rsid w:val="006347C7"/>
    <w:rsid w:val="006357A0"/>
    <w:rsid w:val="006360A5"/>
    <w:rsid w:val="0063638B"/>
    <w:rsid w:val="0063782A"/>
    <w:rsid w:val="00641DDA"/>
    <w:rsid w:val="00643999"/>
    <w:rsid w:val="00644F2A"/>
    <w:rsid w:val="0064510A"/>
    <w:rsid w:val="00645F95"/>
    <w:rsid w:val="00646292"/>
    <w:rsid w:val="0064638A"/>
    <w:rsid w:val="006513FB"/>
    <w:rsid w:val="00651B91"/>
    <w:rsid w:val="006530E8"/>
    <w:rsid w:val="00653BE1"/>
    <w:rsid w:val="006545C4"/>
    <w:rsid w:val="00655980"/>
    <w:rsid w:val="00655FF7"/>
    <w:rsid w:val="00660392"/>
    <w:rsid w:val="006603B9"/>
    <w:rsid w:val="0066149A"/>
    <w:rsid w:val="00661971"/>
    <w:rsid w:val="00661CE8"/>
    <w:rsid w:val="006623D9"/>
    <w:rsid w:val="00663AD1"/>
    <w:rsid w:val="00663C3C"/>
    <w:rsid w:val="0066432B"/>
    <w:rsid w:val="0066550C"/>
    <w:rsid w:val="00667040"/>
    <w:rsid w:val="006674A3"/>
    <w:rsid w:val="00667B26"/>
    <w:rsid w:val="00667D40"/>
    <w:rsid w:val="00670C12"/>
    <w:rsid w:val="00670DA7"/>
    <w:rsid w:val="00670DA8"/>
    <w:rsid w:val="006716F2"/>
    <w:rsid w:val="006726C1"/>
    <w:rsid w:val="006737BD"/>
    <w:rsid w:val="00673DF2"/>
    <w:rsid w:val="006741D6"/>
    <w:rsid w:val="00680408"/>
    <w:rsid w:val="006822FF"/>
    <w:rsid w:val="00682BF2"/>
    <w:rsid w:val="006839E6"/>
    <w:rsid w:val="006859CE"/>
    <w:rsid w:val="0068695A"/>
    <w:rsid w:val="00686F39"/>
    <w:rsid w:val="00687D65"/>
    <w:rsid w:val="00687E03"/>
    <w:rsid w:val="006901CB"/>
    <w:rsid w:val="0069043E"/>
    <w:rsid w:val="00691259"/>
    <w:rsid w:val="00691270"/>
    <w:rsid w:val="0069249F"/>
    <w:rsid w:val="00692C1A"/>
    <w:rsid w:val="00693248"/>
    <w:rsid w:val="00693A70"/>
    <w:rsid w:val="00694A2E"/>
    <w:rsid w:val="00694BA8"/>
    <w:rsid w:val="0069645C"/>
    <w:rsid w:val="006964C8"/>
    <w:rsid w:val="00697B2C"/>
    <w:rsid w:val="006A037C"/>
    <w:rsid w:val="006A2248"/>
    <w:rsid w:val="006A2D0E"/>
    <w:rsid w:val="006A36F4"/>
    <w:rsid w:val="006A406F"/>
    <w:rsid w:val="006A4A15"/>
    <w:rsid w:val="006A5AAF"/>
    <w:rsid w:val="006A5D3A"/>
    <w:rsid w:val="006A5F21"/>
    <w:rsid w:val="006A6FD2"/>
    <w:rsid w:val="006B1678"/>
    <w:rsid w:val="006B2233"/>
    <w:rsid w:val="006B30F5"/>
    <w:rsid w:val="006B5139"/>
    <w:rsid w:val="006C0A76"/>
    <w:rsid w:val="006C0FD5"/>
    <w:rsid w:val="006C12B0"/>
    <w:rsid w:val="006C199E"/>
    <w:rsid w:val="006C1BCB"/>
    <w:rsid w:val="006C2230"/>
    <w:rsid w:val="006C23D4"/>
    <w:rsid w:val="006C38D0"/>
    <w:rsid w:val="006C4F09"/>
    <w:rsid w:val="006C5EA5"/>
    <w:rsid w:val="006C653E"/>
    <w:rsid w:val="006C6B38"/>
    <w:rsid w:val="006C7BB0"/>
    <w:rsid w:val="006C7DC7"/>
    <w:rsid w:val="006D0F68"/>
    <w:rsid w:val="006D303A"/>
    <w:rsid w:val="006D3237"/>
    <w:rsid w:val="006D47B8"/>
    <w:rsid w:val="006D4931"/>
    <w:rsid w:val="006D56F5"/>
    <w:rsid w:val="006D5EA6"/>
    <w:rsid w:val="006D76A5"/>
    <w:rsid w:val="006E06A3"/>
    <w:rsid w:val="006E1323"/>
    <w:rsid w:val="006E17C2"/>
    <w:rsid w:val="006E188B"/>
    <w:rsid w:val="006E1F99"/>
    <w:rsid w:val="006E2E37"/>
    <w:rsid w:val="006E3BCC"/>
    <w:rsid w:val="006E3CF1"/>
    <w:rsid w:val="006E4F5B"/>
    <w:rsid w:val="006E67C3"/>
    <w:rsid w:val="006E6868"/>
    <w:rsid w:val="006E7E80"/>
    <w:rsid w:val="006F0934"/>
    <w:rsid w:val="006F2DE1"/>
    <w:rsid w:val="006F3B3E"/>
    <w:rsid w:val="006F48CA"/>
    <w:rsid w:val="006F4A71"/>
    <w:rsid w:val="006F57C3"/>
    <w:rsid w:val="006F60C3"/>
    <w:rsid w:val="006F6287"/>
    <w:rsid w:val="006F64DD"/>
    <w:rsid w:val="006F703A"/>
    <w:rsid w:val="00701399"/>
    <w:rsid w:val="007026FC"/>
    <w:rsid w:val="0070292F"/>
    <w:rsid w:val="007032D5"/>
    <w:rsid w:val="00703D6E"/>
    <w:rsid w:val="007054D1"/>
    <w:rsid w:val="00706024"/>
    <w:rsid w:val="007076FF"/>
    <w:rsid w:val="007148C4"/>
    <w:rsid w:val="00715127"/>
    <w:rsid w:val="00715E8E"/>
    <w:rsid w:val="00716C14"/>
    <w:rsid w:val="00716F51"/>
    <w:rsid w:val="00721431"/>
    <w:rsid w:val="00721C14"/>
    <w:rsid w:val="0072237A"/>
    <w:rsid w:val="00722C49"/>
    <w:rsid w:val="00723580"/>
    <w:rsid w:val="00723755"/>
    <w:rsid w:val="00724573"/>
    <w:rsid w:val="00730648"/>
    <w:rsid w:val="00730798"/>
    <w:rsid w:val="007308F5"/>
    <w:rsid w:val="00730EBB"/>
    <w:rsid w:val="0073136C"/>
    <w:rsid w:val="00731F0F"/>
    <w:rsid w:val="00731FDB"/>
    <w:rsid w:val="0073258D"/>
    <w:rsid w:val="00733250"/>
    <w:rsid w:val="00734B1C"/>
    <w:rsid w:val="0073665B"/>
    <w:rsid w:val="00736E7C"/>
    <w:rsid w:val="00737DB1"/>
    <w:rsid w:val="00740EB8"/>
    <w:rsid w:val="007410F5"/>
    <w:rsid w:val="00741404"/>
    <w:rsid w:val="00742300"/>
    <w:rsid w:val="0074244C"/>
    <w:rsid w:val="00742A56"/>
    <w:rsid w:val="00743AEB"/>
    <w:rsid w:val="007449E5"/>
    <w:rsid w:val="00745950"/>
    <w:rsid w:val="00745EA6"/>
    <w:rsid w:val="00746016"/>
    <w:rsid w:val="00747B8E"/>
    <w:rsid w:val="00747FF0"/>
    <w:rsid w:val="007503E6"/>
    <w:rsid w:val="00750AA4"/>
    <w:rsid w:val="00751FF4"/>
    <w:rsid w:val="007525D0"/>
    <w:rsid w:val="00752CB1"/>
    <w:rsid w:val="00753626"/>
    <w:rsid w:val="00754A25"/>
    <w:rsid w:val="0076186B"/>
    <w:rsid w:val="00761DC6"/>
    <w:rsid w:val="00761E63"/>
    <w:rsid w:val="007646A0"/>
    <w:rsid w:val="00764D4E"/>
    <w:rsid w:val="00765229"/>
    <w:rsid w:val="007658D0"/>
    <w:rsid w:val="00765A1F"/>
    <w:rsid w:val="00766937"/>
    <w:rsid w:val="007676AA"/>
    <w:rsid w:val="00767AB6"/>
    <w:rsid w:val="00767D25"/>
    <w:rsid w:val="00770E63"/>
    <w:rsid w:val="00771E8F"/>
    <w:rsid w:val="00774DCA"/>
    <w:rsid w:val="00775B6D"/>
    <w:rsid w:val="0077617B"/>
    <w:rsid w:val="00776A8C"/>
    <w:rsid w:val="00776D68"/>
    <w:rsid w:val="007805DD"/>
    <w:rsid w:val="007808BE"/>
    <w:rsid w:val="00782BAE"/>
    <w:rsid w:val="00784187"/>
    <w:rsid w:val="00784506"/>
    <w:rsid w:val="00784AB1"/>
    <w:rsid w:val="00784D5C"/>
    <w:rsid w:val="007850EE"/>
    <w:rsid w:val="00785B95"/>
    <w:rsid w:val="007863A4"/>
    <w:rsid w:val="007871D4"/>
    <w:rsid w:val="00787828"/>
    <w:rsid w:val="00790E96"/>
    <w:rsid w:val="007910F8"/>
    <w:rsid w:val="0079168E"/>
    <w:rsid w:val="00791B7F"/>
    <w:rsid w:val="00793366"/>
    <w:rsid w:val="00793A8E"/>
    <w:rsid w:val="007952DA"/>
    <w:rsid w:val="00795985"/>
    <w:rsid w:val="007A716F"/>
    <w:rsid w:val="007B009A"/>
    <w:rsid w:val="007B01CE"/>
    <w:rsid w:val="007B09E2"/>
    <w:rsid w:val="007B2432"/>
    <w:rsid w:val="007B270A"/>
    <w:rsid w:val="007B29F1"/>
    <w:rsid w:val="007B2CA4"/>
    <w:rsid w:val="007B347B"/>
    <w:rsid w:val="007B4B56"/>
    <w:rsid w:val="007B4B90"/>
    <w:rsid w:val="007B684F"/>
    <w:rsid w:val="007C015C"/>
    <w:rsid w:val="007C0695"/>
    <w:rsid w:val="007C1462"/>
    <w:rsid w:val="007C24C8"/>
    <w:rsid w:val="007C3B4D"/>
    <w:rsid w:val="007C3EC1"/>
    <w:rsid w:val="007C419A"/>
    <w:rsid w:val="007C4CC8"/>
    <w:rsid w:val="007C5426"/>
    <w:rsid w:val="007C5798"/>
    <w:rsid w:val="007D1E61"/>
    <w:rsid w:val="007D4832"/>
    <w:rsid w:val="007D703C"/>
    <w:rsid w:val="007D7261"/>
    <w:rsid w:val="007E0D4E"/>
    <w:rsid w:val="007E14EE"/>
    <w:rsid w:val="007E21B2"/>
    <w:rsid w:val="007E2C4E"/>
    <w:rsid w:val="007E3ED4"/>
    <w:rsid w:val="007E48C2"/>
    <w:rsid w:val="007E48C4"/>
    <w:rsid w:val="007E4B6A"/>
    <w:rsid w:val="007F1905"/>
    <w:rsid w:val="007F1DE7"/>
    <w:rsid w:val="007F3F38"/>
    <w:rsid w:val="007F5F3A"/>
    <w:rsid w:val="007F7590"/>
    <w:rsid w:val="00801300"/>
    <w:rsid w:val="00802C64"/>
    <w:rsid w:val="00802F55"/>
    <w:rsid w:val="008038C6"/>
    <w:rsid w:val="00804BC5"/>
    <w:rsid w:val="00805E52"/>
    <w:rsid w:val="008061D0"/>
    <w:rsid w:val="00810B38"/>
    <w:rsid w:val="00815DC2"/>
    <w:rsid w:val="00817806"/>
    <w:rsid w:val="008204C7"/>
    <w:rsid w:val="00820992"/>
    <w:rsid w:val="00822458"/>
    <w:rsid w:val="00823602"/>
    <w:rsid w:val="00823C55"/>
    <w:rsid w:val="0082477B"/>
    <w:rsid w:val="008255F5"/>
    <w:rsid w:val="0083014E"/>
    <w:rsid w:val="00830FE8"/>
    <w:rsid w:val="008310DC"/>
    <w:rsid w:val="00831DEE"/>
    <w:rsid w:val="0083214A"/>
    <w:rsid w:val="00833308"/>
    <w:rsid w:val="00833A89"/>
    <w:rsid w:val="00833C07"/>
    <w:rsid w:val="00833FCA"/>
    <w:rsid w:val="00834220"/>
    <w:rsid w:val="00834583"/>
    <w:rsid w:val="00835EDF"/>
    <w:rsid w:val="008365E3"/>
    <w:rsid w:val="00837729"/>
    <w:rsid w:val="00841A81"/>
    <w:rsid w:val="00841B95"/>
    <w:rsid w:val="0084351A"/>
    <w:rsid w:val="0084447E"/>
    <w:rsid w:val="00845723"/>
    <w:rsid w:val="008457E5"/>
    <w:rsid w:val="00845851"/>
    <w:rsid w:val="00845A17"/>
    <w:rsid w:val="00846275"/>
    <w:rsid w:val="00846AD4"/>
    <w:rsid w:val="00850024"/>
    <w:rsid w:val="008513C7"/>
    <w:rsid w:val="00851EF9"/>
    <w:rsid w:val="0085459D"/>
    <w:rsid w:val="008554E6"/>
    <w:rsid w:val="008560E1"/>
    <w:rsid w:val="008570DC"/>
    <w:rsid w:val="008577FD"/>
    <w:rsid w:val="00857E53"/>
    <w:rsid w:val="00860B03"/>
    <w:rsid w:val="00860C98"/>
    <w:rsid w:val="00860D5E"/>
    <w:rsid w:val="008622D1"/>
    <w:rsid w:val="00863E03"/>
    <w:rsid w:val="0086497A"/>
    <w:rsid w:val="00864C5E"/>
    <w:rsid w:val="00864D94"/>
    <w:rsid w:val="00864F63"/>
    <w:rsid w:val="008650F1"/>
    <w:rsid w:val="008657CA"/>
    <w:rsid w:val="008670AF"/>
    <w:rsid w:val="0087128D"/>
    <w:rsid w:val="008713A1"/>
    <w:rsid w:val="0087143B"/>
    <w:rsid w:val="00871704"/>
    <w:rsid w:val="008734ED"/>
    <w:rsid w:val="0087449F"/>
    <w:rsid w:val="00875012"/>
    <w:rsid w:val="008754AB"/>
    <w:rsid w:val="00876C07"/>
    <w:rsid w:val="0088060C"/>
    <w:rsid w:val="0088163A"/>
    <w:rsid w:val="0088383C"/>
    <w:rsid w:val="00884020"/>
    <w:rsid w:val="0088500E"/>
    <w:rsid w:val="008854AB"/>
    <w:rsid w:val="00885B08"/>
    <w:rsid w:val="008864B0"/>
    <w:rsid w:val="008865D0"/>
    <w:rsid w:val="0088757F"/>
    <w:rsid w:val="00892B16"/>
    <w:rsid w:val="00893576"/>
    <w:rsid w:val="00893B36"/>
    <w:rsid w:val="00893E73"/>
    <w:rsid w:val="008942BA"/>
    <w:rsid w:val="00895BA8"/>
    <w:rsid w:val="00895FB4"/>
    <w:rsid w:val="00896EE1"/>
    <w:rsid w:val="0089785E"/>
    <w:rsid w:val="0089793C"/>
    <w:rsid w:val="00897D0F"/>
    <w:rsid w:val="008A1A76"/>
    <w:rsid w:val="008A1BA5"/>
    <w:rsid w:val="008A28DE"/>
    <w:rsid w:val="008A5BCB"/>
    <w:rsid w:val="008A7487"/>
    <w:rsid w:val="008B02DC"/>
    <w:rsid w:val="008B1531"/>
    <w:rsid w:val="008B1A33"/>
    <w:rsid w:val="008B38AC"/>
    <w:rsid w:val="008B454B"/>
    <w:rsid w:val="008B46B9"/>
    <w:rsid w:val="008B57CE"/>
    <w:rsid w:val="008B76EC"/>
    <w:rsid w:val="008C1505"/>
    <w:rsid w:val="008C1E94"/>
    <w:rsid w:val="008C26DE"/>
    <w:rsid w:val="008C33DB"/>
    <w:rsid w:val="008C4EEF"/>
    <w:rsid w:val="008C565F"/>
    <w:rsid w:val="008C6593"/>
    <w:rsid w:val="008C671D"/>
    <w:rsid w:val="008C6908"/>
    <w:rsid w:val="008D10EA"/>
    <w:rsid w:val="008D2225"/>
    <w:rsid w:val="008D2962"/>
    <w:rsid w:val="008D435B"/>
    <w:rsid w:val="008D4564"/>
    <w:rsid w:val="008D4752"/>
    <w:rsid w:val="008D5BCF"/>
    <w:rsid w:val="008D7298"/>
    <w:rsid w:val="008E09AD"/>
    <w:rsid w:val="008E14CE"/>
    <w:rsid w:val="008E161C"/>
    <w:rsid w:val="008E1A50"/>
    <w:rsid w:val="008E271C"/>
    <w:rsid w:val="008E3D07"/>
    <w:rsid w:val="008E418E"/>
    <w:rsid w:val="008E46AA"/>
    <w:rsid w:val="008E4C73"/>
    <w:rsid w:val="008E5270"/>
    <w:rsid w:val="008E5BC6"/>
    <w:rsid w:val="008E622C"/>
    <w:rsid w:val="008E6615"/>
    <w:rsid w:val="008E6A25"/>
    <w:rsid w:val="008F39DA"/>
    <w:rsid w:val="008F3E54"/>
    <w:rsid w:val="008F3E58"/>
    <w:rsid w:val="008F4840"/>
    <w:rsid w:val="008F4EFB"/>
    <w:rsid w:val="008F4F1E"/>
    <w:rsid w:val="008F5193"/>
    <w:rsid w:val="008F7A90"/>
    <w:rsid w:val="00900093"/>
    <w:rsid w:val="009013A7"/>
    <w:rsid w:val="009017FB"/>
    <w:rsid w:val="009017FC"/>
    <w:rsid w:val="00902676"/>
    <w:rsid w:val="00902775"/>
    <w:rsid w:val="00903B49"/>
    <w:rsid w:val="0090506B"/>
    <w:rsid w:val="009050C9"/>
    <w:rsid w:val="00905B52"/>
    <w:rsid w:val="00905FB4"/>
    <w:rsid w:val="009066FC"/>
    <w:rsid w:val="00906D10"/>
    <w:rsid w:val="009106DF"/>
    <w:rsid w:val="009128BF"/>
    <w:rsid w:val="009140A3"/>
    <w:rsid w:val="009144A2"/>
    <w:rsid w:val="0091510C"/>
    <w:rsid w:val="0091574D"/>
    <w:rsid w:val="009162B8"/>
    <w:rsid w:val="00917B3D"/>
    <w:rsid w:val="00917C78"/>
    <w:rsid w:val="00921842"/>
    <w:rsid w:val="00921844"/>
    <w:rsid w:val="009223F0"/>
    <w:rsid w:val="00923E68"/>
    <w:rsid w:val="00924C56"/>
    <w:rsid w:val="00925171"/>
    <w:rsid w:val="009259AC"/>
    <w:rsid w:val="009259F7"/>
    <w:rsid w:val="00926173"/>
    <w:rsid w:val="00926AD5"/>
    <w:rsid w:val="00926F38"/>
    <w:rsid w:val="00927FF6"/>
    <w:rsid w:val="00930AB9"/>
    <w:rsid w:val="00932BD9"/>
    <w:rsid w:val="00934301"/>
    <w:rsid w:val="00936C2D"/>
    <w:rsid w:val="00936CD1"/>
    <w:rsid w:val="00937C16"/>
    <w:rsid w:val="00941747"/>
    <w:rsid w:val="00941EFB"/>
    <w:rsid w:val="00943573"/>
    <w:rsid w:val="0094426C"/>
    <w:rsid w:val="009447A6"/>
    <w:rsid w:val="00944F59"/>
    <w:rsid w:val="00945691"/>
    <w:rsid w:val="00947AFB"/>
    <w:rsid w:val="00950D65"/>
    <w:rsid w:val="00950E43"/>
    <w:rsid w:val="00951D7D"/>
    <w:rsid w:val="00952EC3"/>
    <w:rsid w:val="009538F0"/>
    <w:rsid w:val="00953C7A"/>
    <w:rsid w:val="00954088"/>
    <w:rsid w:val="00954330"/>
    <w:rsid w:val="00960F89"/>
    <w:rsid w:val="009630C7"/>
    <w:rsid w:val="0096327C"/>
    <w:rsid w:val="009652EE"/>
    <w:rsid w:val="00965BF9"/>
    <w:rsid w:val="00966258"/>
    <w:rsid w:val="009677F5"/>
    <w:rsid w:val="009679A7"/>
    <w:rsid w:val="00972B55"/>
    <w:rsid w:val="009743B7"/>
    <w:rsid w:val="00975BC5"/>
    <w:rsid w:val="00976BED"/>
    <w:rsid w:val="00977A95"/>
    <w:rsid w:val="0098228B"/>
    <w:rsid w:val="009828DA"/>
    <w:rsid w:val="00982E81"/>
    <w:rsid w:val="0098370D"/>
    <w:rsid w:val="0098454A"/>
    <w:rsid w:val="0098583C"/>
    <w:rsid w:val="00985BAB"/>
    <w:rsid w:val="00990698"/>
    <w:rsid w:val="00990D2F"/>
    <w:rsid w:val="0099173C"/>
    <w:rsid w:val="009924F7"/>
    <w:rsid w:val="009926ED"/>
    <w:rsid w:val="009934AA"/>
    <w:rsid w:val="00993561"/>
    <w:rsid w:val="0099496A"/>
    <w:rsid w:val="00994E90"/>
    <w:rsid w:val="009A02F3"/>
    <w:rsid w:val="009A0822"/>
    <w:rsid w:val="009A1E0A"/>
    <w:rsid w:val="009A3573"/>
    <w:rsid w:val="009A3716"/>
    <w:rsid w:val="009A3813"/>
    <w:rsid w:val="009A564C"/>
    <w:rsid w:val="009A5A9C"/>
    <w:rsid w:val="009A5B24"/>
    <w:rsid w:val="009A6F55"/>
    <w:rsid w:val="009A7174"/>
    <w:rsid w:val="009A7270"/>
    <w:rsid w:val="009A7C1C"/>
    <w:rsid w:val="009A7D57"/>
    <w:rsid w:val="009B1B5F"/>
    <w:rsid w:val="009B1BB5"/>
    <w:rsid w:val="009B233D"/>
    <w:rsid w:val="009B34B0"/>
    <w:rsid w:val="009B41DE"/>
    <w:rsid w:val="009B46F1"/>
    <w:rsid w:val="009B5CBE"/>
    <w:rsid w:val="009B663B"/>
    <w:rsid w:val="009B6673"/>
    <w:rsid w:val="009B7848"/>
    <w:rsid w:val="009C010D"/>
    <w:rsid w:val="009C191B"/>
    <w:rsid w:val="009C22D1"/>
    <w:rsid w:val="009C2BD6"/>
    <w:rsid w:val="009C3E7E"/>
    <w:rsid w:val="009C3E9E"/>
    <w:rsid w:val="009C62D8"/>
    <w:rsid w:val="009C7B6D"/>
    <w:rsid w:val="009D019F"/>
    <w:rsid w:val="009D11DA"/>
    <w:rsid w:val="009D13EC"/>
    <w:rsid w:val="009D2BE6"/>
    <w:rsid w:val="009D3116"/>
    <w:rsid w:val="009D554C"/>
    <w:rsid w:val="009D6FF1"/>
    <w:rsid w:val="009D7859"/>
    <w:rsid w:val="009D79CE"/>
    <w:rsid w:val="009E13A9"/>
    <w:rsid w:val="009E1F32"/>
    <w:rsid w:val="009E2582"/>
    <w:rsid w:val="009E3529"/>
    <w:rsid w:val="009E473E"/>
    <w:rsid w:val="009E55A7"/>
    <w:rsid w:val="009E66EB"/>
    <w:rsid w:val="009E755A"/>
    <w:rsid w:val="009E776C"/>
    <w:rsid w:val="009F0472"/>
    <w:rsid w:val="009F0681"/>
    <w:rsid w:val="009F32D4"/>
    <w:rsid w:val="009F3487"/>
    <w:rsid w:val="009F3AD8"/>
    <w:rsid w:val="009F6D2A"/>
    <w:rsid w:val="009F7E18"/>
    <w:rsid w:val="009F7F37"/>
    <w:rsid w:val="00A00144"/>
    <w:rsid w:val="00A001B1"/>
    <w:rsid w:val="00A0161B"/>
    <w:rsid w:val="00A019A9"/>
    <w:rsid w:val="00A0259A"/>
    <w:rsid w:val="00A032E8"/>
    <w:rsid w:val="00A047E5"/>
    <w:rsid w:val="00A06B8A"/>
    <w:rsid w:val="00A1052A"/>
    <w:rsid w:val="00A11C0C"/>
    <w:rsid w:val="00A1263F"/>
    <w:rsid w:val="00A13BA8"/>
    <w:rsid w:val="00A149FE"/>
    <w:rsid w:val="00A15661"/>
    <w:rsid w:val="00A16099"/>
    <w:rsid w:val="00A1726E"/>
    <w:rsid w:val="00A204CF"/>
    <w:rsid w:val="00A220D2"/>
    <w:rsid w:val="00A22378"/>
    <w:rsid w:val="00A2286E"/>
    <w:rsid w:val="00A2294B"/>
    <w:rsid w:val="00A23D49"/>
    <w:rsid w:val="00A24629"/>
    <w:rsid w:val="00A24667"/>
    <w:rsid w:val="00A253D2"/>
    <w:rsid w:val="00A27004"/>
    <w:rsid w:val="00A307C4"/>
    <w:rsid w:val="00A30C29"/>
    <w:rsid w:val="00A31D9D"/>
    <w:rsid w:val="00A3297F"/>
    <w:rsid w:val="00A33C88"/>
    <w:rsid w:val="00A34784"/>
    <w:rsid w:val="00A34D5E"/>
    <w:rsid w:val="00A34DD6"/>
    <w:rsid w:val="00A34E4F"/>
    <w:rsid w:val="00A365FD"/>
    <w:rsid w:val="00A36819"/>
    <w:rsid w:val="00A36989"/>
    <w:rsid w:val="00A36BDA"/>
    <w:rsid w:val="00A36D0C"/>
    <w:rsid w:val="00A421A8"/>
    <w:rsid w:val="00A423A9"/>
    <w:rsid w:val="00A4260E"/>
    <w:rsid w:val="00A426D5"/>
    <w:rsid w:val="00A43628"/>
    <w:rsid w:val="00A43ADA"/>
    <w:rsid w:val="00A43DF4"/>
    <w:rsid w:val="00A51A67"/>
    <w:rsid w:val="00A52192"/>
    <w:rsid w:val="00A54104"/>
    <w:rsid w:val="00A54192"/>
    <w:rsid w:val="00A561C1"/>
    <w:rsid w:val="00A56CAF"/>
    <w:rsid w:val="00A571D5"/>
    <w:rsid w:val="00A600F4"/>
    <w:rsid w:val="00A6035E"/>
    <w:rsid w:val="00A6144C"/>
    <w:rsid w:val="00A6192A"/>
    <w:rsid w:val="00A62189"/>
    <w:rsid w:val="00A622C8"/>
    <w:rsid w:val="00A63689"/>
    <w:rsid w:val="00A66617"/>
    <w:rsid w:val="00A66897"/>
    <w:rsid w:val="00A66FF1"/>
    <w:rsid w:val="00A671F8"/>
    <w:rsid w:val="00A673A4"/>
    <w:rsid w:val="00A703B4"/>
    <w:rsid w:val="00A704F7"/>
    <w:rsid w:val="00A716C5"/>
    <w:rsid w:val="00A724AE"/>
    <w:rsid w:val="00A73329"/>
    <w:rsid w:val="00A73419"/>
    <w:rsid w:val="00A74055"/>
    <w:rsid w:val="00A74BC1"/>
    <w:rsid w:val="00A74C9A"/>
    <w:rsid w:val="00A77D49"/>
    <w:rsid w:val="00A8132B"/>
    <w:rsid w:val="00A8199D"/>
    <w:rsid w:val="00A822CE"/>
    <w:rsid w:val="00A82359"/>
    <w:rsid w:val="00A83D22"/>
    <w:rsid w:val="00A843EB"/>
    <w:rsid w:val="00A85EC6"/>
    <w:rsid w:val="00A865D2"/>
    <w:rsid w:val="00A91C36"/>
    <w:rsid w:val="00A93616"/>
    <w:rsid w:val="00A94719"/>
    <w:rsid w:val="00A94C20"/>
    <w:rsid w:val="00A94E41"/>
    <w:rsid w:val="00A9562C"/>
    <w:rsid w:val="00A9571F"/>
    <w:rsid w:val="00A96C91"/>
    <w:rsid w:val="00AA052E"/>
    <w:rsid w:val="00AA147C"/>
    <w:rsid w:val="00AA227F"/>
    <w:rsid w:val="00AA2405"/>
    <w:rsid w:val="00AA25F1"/>
    <w:rsid w:val="00AA34FA"/>
    <w:rsid w:val="00AA3BC7"/>
    <w:rsid w:val="00AA46A3"/>
    <w:rsid w:val="00AA5F81"/>
    <w:rsid w:val="00AA6A47"/>
    <w:rsid w:val="00AA754A"/>
    <w:rsid w:val="00AB04F5"/>
    <w:rsid w:val="00AB0906"/>
    <w:rsid w:val="00AB099E"/>
    <w:rsid w:val="00AB0E71"/>
    <w:rsid w:val="00AB1E38"/>
    <w:rsid w:val="00AB25A0"/>
    <w:rsid w:val="00AB37A0"/>
    <w:rsid w:val="00AB4328"/>
    <w:rsid w:val="00AB444E"/>
    <w:rsid w:val="00AB566A"/>
    <w:rsid w:val="00AB60D5"/>
    <w:rsid w:val="00AB7C1B"/>
    <w:rsid w:val="00AC0824"/>
    <w:rsid w:val="00AC0D6A"/>
    <w:rsid w:val="00AC245F"/>
    <w:rsid w:val="00AC2B0A"/>
    <w:rsid w:val="00AC5D44"/>
    <w:rsid w:val="00AC6222"/>
    <w:rsid w:val="00AC6ED2"/>
    <w:rsid w:val="00AC6F02"/>
    <w:rsid w:val="00AC6FDA"/>
    <w:rsid w:val="00AC7B9B"/>
    <w:rsid w:val="00AD10F7"/>
    <w:rsid w:val="00AD1123"/>
    <w:rsid w:val="00AD1FF1"/>
    <w:rsid w:val="00AD33E0"/>
    <w:rsid w:val="00AD412E"/>
    <w:rsid w:val="00AD4E50"/>
    <w:rsid w:val="00AD4FCF"/>
    <w:rsid w:val="00AD780C"/>
    <w:rsid w:val="00AD7C7F"/>
    <w:rsid w:val="00AE0347"/>
    <w:rsid w:val="00AE0A2E"/>
    <w:rsid w:val="00AE0BFB"/>
    <w:rsid w:val="00AE2E76"/>
    <w:rsid w:val="00AE354C"/>
    <w:rsid w:val="00AE3CB4"/>
    <w:rsid w:val="00AE677F"/>
    <w:rsid w:val="00AE6D13"/>
    <w:rsid w:val="00AF152A"/>
    <w:rsid w:val="00AF1A35"/>
    <w:rsid w:val="00AF1E7A"/>
    <w:rsid w:val="00AF2158"/>
    <w:rsid w:val="00AF3232"/>
    <w:rsid w:val="00AF4043"/>
    <w:rsid w:val="00AF4B07"/>
    <w:rsid w:val="00AF6186"/>
    <w:rsid w:val="00AF635A"/>
    <w:rsid w:val="00AF7A3A"/>
    <w:rsid w:val="00B0001B"/>
    <w:rsid w:val="00B0056E"/>
    <w:rsid w:val="00B00B85"/>
    <w:rsid w:val="00B04E2B"/>
    <w:rsid w:val="00B052B2"/>
    <w:rsid w:val="00B05481"/>
    <w:rsid w:val="00B058AE"/>
    <w:rsid w:val="00B05991"/>
    <w:rsid w:val="00B075B9"/>
    <w:rsid w:val="00B110C5"/>
    <w:rsid w:val="00B12B0C"/>
    <w:rsid w:val="00B160DB"/>
    <w:rsid w:val="00B2003E"/>
    <w:rsid w:val="00B20836"/>
    <w:rsid w:val="00B21F33"/>
    <w:rsid w:val="00B235BB"/>
    <w:rsid w:val="00B2461D"/>
    <w:rsid w:val="00B247F1"/>
    <w:rsid w:val="00B251A9"/>
    <w:rsid w:val="00B26958"/>
    <w:rsid w:val="00B27A44"/>
    <w:rsid w:val="00B3093F"/>
    <w:rsid w:val="00B30B53"/>
    <w:rsid w:val="00B30B7B"/>
    <w:rsid w:val="00B30BBF"/>
    <w:rsid w:val="00B31A78"/>
    <w:rsid w:val="00B3201F"/>
    <w:rsid w:val="00B33C03"/>
    <w:rsid w:val="00B35923"/>
    <w:rsid w:val="00B35A47"/>
    <w:rsid w:val="00B409FD"/>
    <w:rsid w:val="00B40AE5"/>
    <w:rsid w:val="00B413F8"/>
    <w:rsid w:val="00B43C4F"/>
    <w:rsid w:val="00B442DC"/>
    <w:rsid w:val="00B44E56"/>
    <w:rsid w:val="00B46067"/>
    <w:rsid w:val="00B46543"/>
    <w:rsid w:val="00B47D33"/>
    <w:rsid w:val="00B5044D"/>
    <w:rsid w:val="00B507CF"/>
    <w:rsid w:val="00B514C1"/>
    <w:rsid w:val="00B5220D"/>
    <w:rsid w:val="00B52BE0"/>
    <w:rsid w:val="00B54133"/>
    <w:rsid w:val="00B54E77"/>
    <w:rsid w:val="00B5601E"/>
    <w:rsid w:val="00B60F19"/>
    <w:rsid w:val="00B61DBE"/>
    <w:rsid w:val="00B631CA"/>
    <w:rsid w:val="00B63705"/>
    <w:rsid w:val="00B64577"/>
    <w:rsid w:val="00B651C0"/>
    <w:rsid w:val="00B6610D"/>
    <w:rsid w:val="00B672FC"/>
    <w:rsid w:val="00B67342"/>
    <w:rsid w:val="00B701ED"/>
    <w:rsid w:val="00B70420"/>
    <w:rsid w:val="00B70E33"/>
    <w:rsid w:val="00B7194F"/>
    <w:rsid w:val="00B721F6"/>
    <w:rsid w:val="00B72772"/>
    <w:rsid w:val="00B728DF"/>
    <w:rsid w:val="00B72CD5"/>
    <w:rsid w:val="00B72DDF"/>
    <w:rsid w:val="00B74CF9"/>
    <w:rsid w:val="00B7605E"/>
    <w:rsid w:val="00B801D8"/>
    <w:rsid w:val="00B80208"/>
    <w:rsid w:val="00B80595"/>
    <w:rsid w:val="00B8086C"/>
    <w:rsid w:val="00B81D66"/>
    <w:rsid w:val="00B82A2A"/>
    <w:rsid w:val="00B82BD4"/>
    <w:rsid w:val="00B832E6"/>
    <w:rsid w:val="00B861B4"/>
    <w:rsid w:val="00B86DDF"/>
    <w:rsid w:val="00B86DFE"/>
    <w:rsid w:val="00B86F33"/>
    <w:rsid w:val="00B903B3"/>
    <w:rsid w:val="00B90990"/>
    <w:rsid w:val="00B922FF"/>
    <w:rsid w:val="00B9281E"/>
    <w:rsid w:val="00B936E5"/>
    <w:rsid w:val="00B93925"/>
    <w:rsid w:val="00B94790"/>
    <w:rsid w:val="00B95187"/>
    <w:rsid w:val="00B959FF"/>
    <w:rsid w:val="00B96ACA"/>
    <w:rsid w:val="00B97633"/>
    <w:rsid w:val="00B9776F"/>
    <w:rsid w:val="00B97F40"/>
    <w:rsid w:val="00BA1BFA"/>
    <w:rsid w:val="00BA1E81"/>
    <w:rsid w:val="00BA2D55"/>
    <w:rsid w:val="00BA3AF8"/>
    <w:rsid w:val="00BA4EB4"/>
    <w:rsid w:val="00BA5160"/>
    <w:rsid w:val="00BA71B1"/>
    <w:rsid w:val="00BB0637"/>
    <w:rsid w:val="00BB0EC4"/>
    <w:rsid w:val="00BB1014"/>
    <w:rsid w:val="00BB2C19"/>
    <w:rsid w:val="00BB345F"/>
    <w:rsid w:val="00BB3F65"/>
    <w:rsid w:val="00BB3F98"/>
    <w:rsid w:val="00BB4C7C"/>
    <w:rsid w:val="00BB5B4F"/>
    <w:rsid w:val="00BB5D45"/>
    <w:rsid w:val="00BB6715"/>
    <w:rsid w:val="00BB68EA"/>
    <w:rsid w:val="00BB75DE"/>
    <w:rsid w:val="00BC1030"/>
    <w:rsid w:val="00BC1AB7"/>
    <w:rsid w:val="00BC1C27"/>
    <w:rsid w:val="00BC236D"/>
    <w:rsid w:val="00BC25EE"/>
    <w:rsid w:val="00BC4A8F"/>
    <w:rsid w:val="00BC5328"/>
    <w:rsid w:val="00BC6BBF"/>
    <w:rsid w:val="00BD0AEE"/>
    <w:rsid w:val="00BD1572"/>
    <w:rsid w:val="00BD17B1"/>
    <w:rsid w:val="00BD1B9A"/>
    <w:rsid w:val="00BD1C61"/>
    <w:rsid w:val="00BD22BF"/>
    <w:rsid w:val="00BE0355"/>
    <w:rsid w:val="00BE0DE8"/>
    <w:rsid w:val="00BE14E3"/>
    <w:rsid w:val="00BE1F2A"/>
    <w:rsid w:val="00BE3774"/>
    <w:rsid w:val="00BE41E5"/>
    <w:rsid w:val="00BE587E"/>
    <w:rsid w:val="00BF4109"/>
    <w:rsid w:val="00BF43DF"/>
    <w:rsid w:val="00BF48AA"/>
    <w:rsid w:val="00BF4CC3"/>
    <w:rsid w:val="00BF559C"/>
    <w:rsid w:val="00BF72BA"/>
    <w:rsid w:val="00BF7C74"/>
    <w:rsid w:val="00C0027E"/>
    <w:rsid w:val="00C0303D"/>
    <w:rsid w:val="00C030A6"/>
    <w:rsid w:val="00C03697"/>
    <w:rsid w:val="00C03AFB"/>
    <w:rsid w:val="00C054C7"/>
    <w:rsid w:val="00C057B5"/>
    <w:rsid w:val="00C067D2"/>
    <w:rsid w:val="00C06E15"/>
    <w:rsid w:val="00C06E5C"/>
    <w:rsid w:val="00C0757E"/>
    <w:rsid w:val="00C0780A"/>
    <w:rsid w:val="00C07CA1"/>
    <w:rsid w:val="00C107F0"/>
    <w:rsid w:val="00C11454"/>
    <w:rsid w:val="00C11CC2"/>
    <w:rsid w:val="00C11F35"/>
    <w:rsid w:val="00C1262B"/>
    <w:rsid w:val="00C1570B"/>
    <w:rsid w:val="00C157F3"/>
    <w:rsid w:val="00C165E2"/>
    <w:rsid w:val="00C169DA"/>
    <w:rsid w:val="00C17F47"/>
    <w:rsid w:val="00C20655"/>
    <w:rsid w:val="00C2110C"/>
    <w:rsid w:val="00C22687"/>
    <w:rsid w:val="00C22827"/>
    <w:rsid w:val="00C22DD0"/>
    <w:rsid w:val="00C2462A"/>
    <w:rsid w:val="00C272DA"/>
    <w:rsid w:val="00C3068D"/>
    <w:rsid w:val="00C31083"/>
    <w:rsid w:val="00C312C8"/>
    <w:rsid w:val="00C318E5"/>
    <w:rsid w:val="00C31E4D"/>
    <w:rsid w:val="00C32414"/>
    <w:rsid w:val="00C32834"/>
    <w:rsid w:val="00C32E4D"/>
    <w:rsid w:val="00C32FB8"/>
    <w:rsid w:val="00C33121"/>
    <w:rsid w:val="00C333A0"/>
    <w:rsid w:val="00C343CF"/>
    <w:rsid w:val="00C35880"/>
    <w:rsid w:val="00C36119"/>
    <w:rsid w:val="00C36408"/>
    <w:rsid w:val="00C36A81"/>
    <w:rsid w:val="00C370D5"/>
    <w:rsid w:val="00C40090"/>
    <w:rsid w:val="00C40960"/>
    <w:rsid w:val="00C417BF"/>
    <w:rsid w:val="00C41974"/>
    <w:rsid w:val="00C441B3"/>
    <w:rsid w:val="00C446F3"/>
    <w:rsid w:val="00C44BB3"/>
    <w:rsid w:val="00C46AE6"/>
    <w:rsid w:val="00C4796C"/>
    <w:rsid w:val="00C50287"/>
    <w:rsid w:val="00C51573"/>
    <w:rsid w:val="00C52C7A"/>
    <w:rsid w:val="00C53F4A"/>
    <w:rsid w:val="00C54125"/>
    <w:rsid w:val="00C555C2"/>
    <w:rsid w:val="00C55B54"/>
    <w:rsid w:val="00C55BC8"/>
    <w:rsid w:val="00C56AB6"/>
    <w:rsid w:val="00C600BC"/>
    <w:rsid w:val="00C6098E"/>
    <w:rsid w:val="00C60D5A"/>
    <w:rsid w:val="00C611D8"/>
    <w:rsid w:val="00C6152C"/>
    <w:rsid w:val="00C617DA"/>
    <w:rsid w:val="00C61ADB"/>
    <w:rsid w:val="00C62E72"/>
    <w:rsid w:val="00C63990"/>
    <w:rsid w:val="00C64EF6"/>
    <w:rsid w:val="00C65EDC"/>
    <w:rsid w:val="00C66EE7"/>
    <w:rsid w:val="00C66FB1"/>
    <w:rsid w:val="00C6730F"/>
    <w:rsid w:val="00C70673"/>
    <w:rsid w:val="00C71D0E"/>
    <w:rsid w:val="00C73F73"/>
    <w:rsid w:val="00C74252"/>
    <w:rsid w:val="00C74661"/>
    <w:rsid w:val="00C7466D"/>
    <w:rsid w:val="00C74810"/>
    <w:rsid w:val="00C76838"/>
    <w:rsid w:val="00C80C42"/>
    <w:rsid w:val="00C81A18"/>
    <w:rsid w:val="00C82112"/>
    <w:rsid w:val="00C8270F"/>
    <w:rsid w:val="00C8398C"/>
    <w:rsid w:val="00C83AA5"/>
    <w:rsid w:val="00C83AAC"/>
    <w:rsid w:val="00C83EC3"/>
    <w:rsid w:val="00C849B8"/>
    <w:rsid w:val="00C84DA5"/>
    <w:rsid w:val="00C8588B"/>
    <w:rsid w:val="00C90069"/>
    <w:rsid w:val="00C90D68"/>
    <w:rsid w:val="00C91F6C"/>
    <w:rsid w:val="00C939FE"/>
    <w:rsid w:val="00CA256F"/>
    <w:rsid w:val="00CA28AF"/>
    <w:rsid w:val="00CA3360"/>
    <w:rsid w:val="00CA449E"/>
    <w:rsid w:val="00CA4806"/>
    <w:rsid w:val="00CA4BDA"/>
    <w:rsid w:val="00CA5F08"/>
    <w:rsid w:val="00CA6397"/>
    <w:rsid w:val="00CA649E"/>
    <w:rsid w:val="00CA71D1"/>
    <w:rsid w:val="00CB099A"/>
    <w:rsid w:val="00CB0F37"/>
    <w:rsid w:val="00CB14CA"/>
    <w:rsid w:val="00CB1F66"/>
    <w:rsid w:val="00CB2951"/>
    <w:rsid w:val="00CB29A1"/>
    <w:rsid w:val="00CB3A13"/>
    <w:rsid w:val="00CB520A"/>
    <w:rsid w:val="00CB6C48"/>
    <w:rsid w:val="00CB7012"/>
    <w:rsid w:val="00CB7A52"/>
    <w:rsid w:val="00CC05BC"/>
    <w:rsid w:val="00CC06D7"/>
    <w:rsid w:val="00CC1A9A"/>
    <w:rsid w:val="00CC2FD8"/>
    <w:rsid w:val="00CC4704"/>
    <w:rsid w:val="00CC4FCD"/>
    <w:rsid w:val="00CC4FFA"/>
    <w:rsid w:val="00CC5652"/>
    <w:rsid w:val="00CC71E6"/>
    <w:rsid w:val="00CD282B"/>
    <w:rsid w:val="00CD43C2"/>
    <w:rsid w:val="00CD45A1"/>
    <w:rsid w:val="00CD4C35"/>
    <w:rsid w:val="00CD5416"/>
    <w:rsid w:val="00CD7369"/>
    <w:rsid w:val="00CE04D6"/>
    <w:rsid w:val="00CE0B0E"/>
    <w:rsid w:val="00CE3831"/>
    <w:rsid w:val="00CE3F53"/>
    <w:rsid w:val="00CE40EB"/>
    <w:rsid w:val="00CE4A17"/>
    <w:rsid w:val="00CE5F49"/>
    <w:rsid w:val="00CE6E9E"/>
    <w:rsid w:val="00CF06CB"/>
    <w:rsid w:val="00CF21E7"/>
    <w:rsid w:val="00CF3229"/>
    <w:rsid w:val="00D00ABB"/>
    <w:rsid w:val="00D01599"/>
    <w:rsid w:val="00D01ACE"/>
    <w:rsid w:val="00D02EEC"/>
    <w:rsid w:val="00D03551"/>
    <w:rsid w:val="00D04808"/>
    <w:rsid w:val="00D056B2"/>
    <w:rsid w:val="00D06A63"/>
    <w:rsid w:val="00D07E0E"/>
    <w:rsid w:val="00D10B9F"/>
    <w:rsid w:val="00D11478"/>
    <w:rsid w:val="00D1154F"/>
    <w:rsid w:val="00D14759"/>
    <w:rsid w:val="00D15ED0"/>
    <w:rsid w:val="00D163FE"/>
    <w:rsid w:val="00D16479"/>
    <w:rsid w:val="00D21B3E"/>
    <w:rsid w:val="00D21FED"/>
    <w:rsid w:val="00D23636"/>
    <w:rsid w:val="00D24251"/>
    <w:rsid w:val="00D250D7"/>
    <w:rsid w:val="00D25898"/>
    <w:rsid w:val="00D2669C"/>
    <w:rsid w:val="00D26CB1"/>
    <w:rsid w:val="00D27AEE"/>
    <w:rsid w:val="00D33C14"/>
    <w:rsid w:val="00D343E2"/>
    <w:rsid w:val="00D3607A"/>
    <w:rsid w:val="00D361A2"/>
    <w:rsid w:val="00D37C1F"/>
    <w:rsid w:val="00D40131"/>
    <w:rsid w:val="00D41E7A"/>
    <w:rsid w:val="00D42612"/>
    <w:rsid w:val="00D42AFF"/>
    <w:rsid w:val="00D444E9"/>
    <w:rsid w:val="00D4470A"/>
    <w:rsid w:val="00D44C2E"/>
    <w:rsid w:val="00D44E1D"/>
    <w:rsid w:val="00D45414"/>
    <w:rsid w:val="00D45AAA"/>
    <w:rsid w:val="00D47055"/>
    <w:rsid w:val="00D50802"/>
    <w:rsid w:val="00D50DE3"/>
    <w:rsid w:val="00D51BEC"/>
    <w:rsid w:val="00D531AC"/>
    <w:rsid w:val="00D536C8"/>
    <w:rsid w:val="00D566BD"/>
    <w:rsid w:val="00D56965"/>
    <w:rsid w:val="00D56D03"/>
    <w:rsid w:val="00D575A1"/>
    <w:rsid w:val="00D576CF"/>
    <w:rsid w:val="00D57A4D"/>
    <w:rsid w:val="00D60AA7"/>
    <w:rsid w:val="00D6132C"/>
    <w:rsid w:val="00D62842"/>
    <w:rsid w:val="00D637D8"/>
    <w:rsid w:val="00D6435F"/>
    <w:rsid w:val="00D65453"/>
    <w:rsid w:val="00D658B3"/>
    <w:rsid w:val="00D66130"/>
    <w:rsid w:val="00D67CFD"/>
    <w:rsid w:val="00D70079"/>
    <w:rsid w:val="00D707F9"/>
    <w:rsid w:val="00D70E0D"/>
    <w:rsid w:val="00D7185D"/>
    <w:rsid w:val="00D72032"/>
    <w:rsid w:val="00D73339"/>
    <w:rsid w:val="00D74571"/>
    <w:rsid w:val="00D74718"/>
    <w:rsid w:val="00D747CA"/>
    <w:rsid w:val="00D75905"/>
    <w:rsid w:val="00D75E28"/>
    <w:rsid w:val="00D76CF8"/>
    <w:rsid w:val="00D772C2"/>
    <w:rsid w:val="00D77599"/>
    <w:rsid w:val="00D8008E"/>
    <w:rsid w:val="00D82C45"/>
    <w:rsid w:val="00D82EC2"/>
    <w:rsid w:val="00D82F6A"/>
    <w:rsid w:val="00D83129"/>
    <w:rsid w:val="00D8437E"/>
    <w:rsid w:val="00D8474D"/>
    <w:rsid w:val="00D85929"/>
    <w:rsid w:val="00D85A80"/>
    <w:rsid w:val="00D85C72"/>
    <w:rsid w:val="00D876C1"/>
    <w:rsid w:val="00D908A8"/>
    <w:rsid w:val="00D92191"/>
    <w:rsid w:val="00D92FE8"/>
    <w:rsid w:val="00D933FF"/>
    <w:rsid w:val="00D93BC5"/>
    <w:rsid w:val="00D944E2"/>
    <w:rsid w:val="00D9466E"/>
    <w:rsid w:val="00D94AAF"/>
    <w:rsid w:val="00D96599"/>
    <w:rsid w:val="00D977B6"/>
    <w:rsid w:val="00D97839"/>
    <w:rsid w:val="00DA04FA"/>
    <w:rsid w:val="00DA39BC"/>
    <w:rsid w:val="00DA421A"/>
    <w:rsid w:val="00DA4961"/>
    <w:rsid w:val="00DA4A31"/>
    <w:rsid w:val="00DA4E19"/>
    <w:rsid w:val="00DA5E06"/>
    <w:rsid w:val="00DA6CCB"/>
    <w:rsid w:val="00DA7B04"/>
    <w:rsid w:val="00DB00DF"/>
    <w:rsid w:val="00DB0151"/>
    <w:rsid w:val="00DB1871"/>
    <w:rsid w:val="00DB1ACC"/>
    <w:rsid w:val="00DB36C2"/>
    <w:rsid w:val="00DB4232"/>
    <w:rsid w:val="00DB48AA"/>
    <w:rsid w:val="00DB7487"/>
    <w:rsid w:val="00DC0168"/>
    <w:rsid w:val="00DC1195"/>
    <w:rsid w:val="00DC122C"/>
    <w:rsid w:val="00DC12E2"/>
    <w:rsid w:val="00DC169B"/>
    <w:rsid w:val="00DC16FF"/>
    <w:rsid w:val="00DC1AC5"/>
    <w:rsid w:val="00DC1DE8"/>
    <w:rsid w:val="00DC2AB9"/>
    <w:rsid w:val="00DC2FC7"/>
    <w:rsid w:val="00DC63F0"/>
    <w:rsid w:val="00DC69B6"/>
    <w:rsid w:val="00DC71E9"/>
    <w:rsid w:val="00DC740B"/>
    <w:rsid w:val="00DC7A75"/>
    <w:rsid w:val="00DD00EC"/>
    <w:rsid w:val="00DD0F71"/>
    <w:rsid w:val="00DD1034"/>
    <w:rsid w:val="00DD4376"/>
    <w:rsid w:val="00DD4AAB"/>
    <w:rsid w:val="00DD5146"/>
    <w:rsid w:val="00DD62B1"/>
    <w:rsid w:val="00DD6EE5"/>
    <w:rsid w:val="00DE172E"/>
    <w:rsid w:val="00DE334A"/>
    <w:rsid w:val="00DE386C"/>
    <w:rsid w:val="00DE3B59"/>
    <w:rsid w:val="00DE3D78"/>
    <w:rsid w:val="00DE437A"/>
    <w:rsid w:val="00DE4D35"/>
    <w:rsid w:val="00DF046D"/>
    <w:rsid w:val="00DF098B"/>
    <w:rsid w:val="00DF11C4"/>
    <w:rsid w:val="00DF147B"/>
    <w:rsid w:val="00DF15BF"/>
    <w:rsid w:val="00DF1FE3"/>
    <w:rsid w:val="00DF210C"/>
    <w:rsid w:val="00DF40AF"/>
    <w:rsid w:val="00DF4B6A"/>
    <w:rsid w:val="00DF4E6C"/>
    <w:rsid w:val="00DF5931"/>
    <w:rsid w:val="00E00BD5"/>
    <w:rsid w:val="00E00E8C"/>
    <w:rsid w:val="00E00F95"/>
    <w:rsid w:val="00E0163E"/>
    <w:rsid w:val="00E01E65"/>
    <w:rsid w:val="00E02C09"/>
    <w:rsid w:val="00E04D59"/>
    <w:rsid w:val="00E059B7"/>
    <w:rsid w:val="00E05B2B"/>
    <w:rsid w:val="00E0653F"/>
    <w:rsid w:val="00E07609"/>
    <w:rsid w:val="00E077F1"/>
    <w:rsid w:val="00E07DA1"/>
    <w:rsid w:val="00E07F6A"/>
    <w:rsid w:val="00E1014F"/>
    <w:rsid w:val="00E1059B"/>
    <w:rsid w:val="00E11B40"/>
    <w:rsid w:val="00E123CB"/>
    <w:rsid w:val="00E129DC"/>
    <w:rsid w:val="00E13079"/>
    <w:rsid w:val="00E137AD"/>
    <w:rsid w:val="00E154B9"/>
    <w:rsid w:val="00E206E3"/>
    <w:rsid w:val="00E20E13"/>
    <w:rsid w:val="00E21DBC"/>
    <w:rsid w:val="00E23767"/>
    <w:rsid w:val="00E2555A"/>
    <w:rsid w:val="00E26E2A"/>
    <w:rsid w:val="00E275D7"/>
    <w:rsid w:val="00E27DBE"/>
    <w:rsid w:val="00E309C6"/>
    <w:rsid w:val="00E31491"/>
    <w:rsid w:val="00E32AB1"/>
    <w:rsid w:val="00E33800"/>
    <w:rsid w:val="00E36453"/>
    <w:rsid w:val="00E36C71"/>
    <w:rsid w:val="00E377C6"/>
    <w:rsid w:val="00E37932"/>
    <w:rsid w:val="00E37A14"/>
    <w:rsid w:val="00E37AF8"/>
    <w:rsid w:val="00E40125"/>
    <w:rsid w:val="00E40404"/>
    <w:rsid w:val="00E40595"/>
    <w:rsid w:val="00E40DE0"/>
    <w:rsid w:val="00E43BDD"/>
    <w:rsid w:val="00E4529A"/>
    <w:rsid w:val="00E4595F"/>
    <w:rsid w:val="00E459C6"/>
    <w:rsid w:val="00E474A3"/>
    <w:rsid w:val="00E47589"/>
    <w:rsid w:val="00E5030E"/>
    <w:rsid w:val="00E55A5A"/>
    <w:rsid w:val="00E572C4"/>
    <w:rsid w:val="00E5733C"/>
    <w:rsid w:val="00E575CE"/>
    <w:rsid w:val="00E60AF2"/>
    <w:rsid w:val="00E6145B"/>
    <w:rsid w:val="00E63065"/>
    <w:rsid w:val="00E63D38"/>
    <w:rsid w:val="00E641C0"/>
    <w:rsid w:val="00E64347"/>
    <w:rsid w:val="00E6438F"/>
    <w:rsid w:val="00E64915"/>
    <w:rsid w:val="00E64D9D"/>
    <w:rsid w:val="00E64EC5"/>
    <w:rsid w:val="00E661D4"/>
    <w:rsid w:val="00E6656A"/>
    <w:rsid w:val="00E667F3"/>
    <w:rsid w:val="00E70091"/>
    <w:rsid w:val="00E704E8"/>
    <w:rsid w:val="00E720F5"/>
    <w:rsid w:val="00E7213C"/>
    <w:rsid w:val="00E72301"/>
    <w:rsid w:val="00E73EFA"/>
    <w:rsid w:val="00E74100"/>
    <w:rsid w:val="00E74812"/>
    <w:rsid w:val="00E74C6D"/>
    <w:rsid w:val="00E76D47"/>
    <w:rsid w:val="00E77CB3"/>
    <w:rsid w:val="00E80995"/>
    <w:rsid w:val="00E82B0C"/>
    <w:rsid w:val="00E839C5"/>
    <w:rsid w:val="00E83EA0"/>
    <w:rsid w:val="00E8467C"/>
    <w:rsid w:val="00E849F7"/>
    <w:rsid w:val="00E854B0"/>
    <w:rsid w:val="00E86619"/>
    <w:rsid w:val="00E86E04"/>
    <w:rsid w:val="00E90302"/>
    <w:rsid w:val="00E90767"/>
    <w:rsid w:val="00E90D73"/>
    <w:rsid w:val="00E9231D"/>
    <w:rsid w:val="00E92592"/>
    <w:rsid w:val="00E926C6"/>
    <w:rsid w:val="00E9323C"/>
    <w:rsid w:val="00E9399A"/>
    <w:rsid w:val="00E946DF"/>
    <w:rsid w:val="00E95B8B"/>
    <w:rsid w:val="00E97396"/>
    <w:rsid w:val="00EA040E"/>
    <w:rsid w:val="00EA160F"/>
    <w:rsid w:val="00EA185E"/>
    <w:rsid w:val="00EA2417"/>
    <w:rsid w:val="00EA2453"/>
    <w:rsid w:val="00EA417F"/>
    <w:rsid w:val="00EA5852"/>
    <w:rsid w:val="00EA592A"/>
    <w:rsid w:val="00EA59AE"/>
    <w:rsid w:val="00EA6552"/>
    <w:rsid w:val="00EA6B84"/>
    <w:rsid w:val="00EA744D"/>
    <w:rsid w:val="00EB14E4"/>
    <w:rsid w:val="00EB2C3A"/>
    <w:rsid w:val="00EB2E91"/>
    <w:rsid w:val="00EB2F48"/>
    <w:rsid w:val="00EB32A5"/>
    <w:rsid w:val="00EB34ED"/>
    <w:rsid w:val="00EB3A56"/>
    <w:rsid w:val="00EB6328"/>
    <w:rsid w:val="00EB79E3"/>
    <w:rsid w:val="00EB7BE0"/>
    <w:rsid w:val="00EB7E63"/>
    <w:rsid w:val="00EC1E77"/>
    <w:rsid w:val="00EC280A"/>
    <w:rsid w:val="00EC315E"/>
    <w:rsid w:val="00EC4869"/>
    <w:rsid w:val="00EC511F"/>
    <w:rsid w:val="00EC555B"/>
    <w:rsid w:val="00EC5766"/>
    <w:rsid w:val="00ED006B"/>
    <w:rsid w:val="00ED077C"/>
    <w:rsid w:val="00ED0C5B"/>
    <w:rsid w:val="00ED1190"/>
    <w:rsid w:val="00ED1CCB"/>
    <w:rsid w:val="00ED251D"/>
    <w:rsid w:val="00ED42FE"/>
    <w:rsid w:val="00ED5415"/>
    <w:rsid w:val="00ED574C"/>
    <w:rsid w:val="00ED57FC"/>
    <w:rsid w:val="00ED6544"/>
    <w:rsid w:val="00ED68FA"/>
    <w:rsid w:val="00ED6F4E"/>
    <w:rsid w:val="00EE0277"/>
    <w:rsid w:val="00EE12D1"/>
    <w:rsid w:val="00EE2D77"/>
    <w:rsid w:val="00EE3E00"/>
    <w:rsid w:val="00EE5DD2"/>
    <w:rsid w:val="00EE703E"/>
    <w:rsid w:val="00EF05AB"/>
    <w:rsid w:val="00EF14BD"/>
    <w:rsid w:val="00EF15CA"/>
    <w:rsid w:val="00EF1651"/>
    <w:rsid w:val="00EF393C"/>
    <w:rsid w:val="00EF47BE"/>
    <w:rsid w:val="00EF4825"/>
    <w:rsid w:val="00EF54BC"/>
    <w:rsid w:val="00EF63C2"/>
    <w:rsid w:val="00EF6B37"/>
    <w:rsid w:val="00EF76B5"/>
    <w:rsid w:val="00F005D3"/>
    <w:rsid w:val="00F00A79"/>
    <w:rsid w:val="00F00ABD"/>
    <w:rsid w:val="00F00E86"/>
    <w:rsid w:val="00F01B64"/>
    <w:rsid w:val="00F02871"/>
    <w:rsid w:val="00F0421A"/>
    <w:rsid w:val="00F051F7"/>
    <w:rsid w:val="00F063C7"/>
    <w:rsid w:val="00F07C1E"/>
    <w:rsid w:val="00F105DB"/>
    <w:rsid w:val="00F1107C"/>
    <w:rsid w:val="00F12900"/>
    <w:rsid w:val="00F132BC"/>
    <w:rsid w:val="00F13D80"/>
    <w:rsid w:val="00F16001"/>
    <w:rsid w:val="00F1655F"/>
    <w:rsid w:val="00F16979"/>
    <w:rsid w:val="00F16AAA"/>
    <w:rsid w:val="00F17BD3"/>
    <w:rsid w:val="00F20813"/>
    <w:rsid w:val="00F21161"/>
    <w:rsid w:val="00F2154E"/>
    <w:rsid w:val="00F218EF"/>
    <w:rsid w:val="00F21BC7"/>
    <w:rsid w:val="00F227AF"/>
    <w:rsid w:val="00F231B1"/>
    <w:rsid w:val="00F23CC3"/>
    <w:rsid w:val="00F24E36"/>
    <w:rsid w:val="00F2527B"/>
    <w:rsid w:val="00F25F53"/>
    <w:rsid w:val="00F266A2"/>
    <w:rsid w:val="00F27F77"/>
    <w:rsid w:val="00F31C89"/>
    <w:rsid w:val="00F32269"/>
    <w:rsid w:val="00F341A2"/>
    <w:rsid w:val="00F4120B"/>
    <w:rsid w:val="00F41D72"/>
    <w:rsid w:val="00F42DA5"/>
    <w:rsid w:val="00F42E3C"/>
    <w:rsid w:val="00F441FB"/>
    <w:rsid w:val="00F4453B"/>
    <w:rsid w:val="00F45D9E"/>
    <w:rsid w:val="00F45FBE"/>
    <w:rsid w:val="00F473CC"/>
    <w:rsid w:val="00F54192"/>
    <w:rsid w:val="00F561A0"/>
    <w:rsid w:val="00F56A6F"/>
    <w:rsid w:val="00F5709C"/>
    <w:rsid w:val="00F63CE7"/>
    <w:rsid w:val="00F64EF1"/>
    <w:rsid w:val="00F653E5"/>
    <w:rsid w:val="00F65F86"/>
    <w:rsid w:val="00F65FEC"/>
    <w:rsid w:val="00F70E93"/>
    <w:rsid w:val="00F7118D"/>
    <w:rsid w:val="00F72CA5"/>
    <w:rsid w:val="00F72CF8"/>
    <w:rsid w:val="00F736A3"/>
    <w:rsid w:val="00F7412A"/>
    <w:rsid w:val="00F75A55"/>
    <w:rsid w:val="00F769B4"/>
    <w:rsid w:val="00F77D9D"/>
    <w:rsid w:val="00F806C2"/>
    <w:rsid w:val="00F8184C"/>
    <w:rsid w:val="00F832BF"/>
    <w:rsid w:val="00F83C53"/>
    <w:rsid w:val="00F83F3E"/>
    <w:rsid w:val="00F84766"/>
    <w:rsid w:val="00F8507A"/>
    <w:rsid w:val="00F85083"/>
    <w:rsid w:val="00F85757"/>
    <w:rsid w:val="00F86366"/>
    <w:rsid w:val="00F8765F"/>
    <w:rsid w:val="00F87F14"/>
    <w:rsid w:val="00F90767"/>
    <w:rsid w:val="00F90E06"/>
    <w:rsid w:val="00F9295F"/>
    <w:rsid w:val="00F92A26"/>
    <w:rsid w:val="00F93C23"/>
    <w:rsid w:val="00F942F2"/>
    <w:rsid w:val="00F95008"/>
    <w:rsid w:val="00F9559B"/>
    <w:rsid w:val="00F96142"/>
    <w:rsid w:val="00F9682F"/>
    <w:rsid w:val="00F97053"/>
    <w:rsid w:val="00F97DF4"/>
    <w:rsid w:val="00FA019D"/>
    <w:rsid w:val="00FA36A5"/>
    <w:rsid w:val="00FA685B"/>
    <w:rsid w:val="00FA6A84"/>
    <w:rsid w:val="00FA7106"/>
    <w:rsid w:val="00FA75FA"/>
    <w:rsid w:val="00FB0C01"/>
    <w:rsid w:val="00FB4D57"/>
    <w:rsid w:val="00FC18F2"/>
    <w:rsid w:val="00FC3069"/>
    <w:rsid w:val="00FC39E5"/>
    <w:rsid w:val="00FC3A78"/>
    <w:rsid w:val="00FC3CF8"/>
    <w:rsid w:val="00FC5414"/>
    <w:rsid w:val="00FC5DC6"/>
    <w:rsid w:val="00FC6844"/>
    <w:rsid w:val="00FC6CB6"/>
    <w:rsid w:val="00FD017A"/>
    <w:rsid w:val="00FD0293"/>
    <w:rsid w:val="00FD1005"/>
    <w:rsid w:val="00FD1463"/>
    <w:rsid w:val="00FD1750"/>
    <w:rsid w:val="00FD360D"/>
    <w:rsid w:val="00FD4ACD"/>
    <w:rsid w:val="00FD62A0"/>
    <w:rsid w:val="00FD6C75"/>
    <w:rsid w:val="00FD79E9"/>
    <w:rsid w:val="00FE22A2"/>
    <w:rsid w:val="00FE258D"/>
    <w:rsid w:val="00FE2D77"/>
    <w:rsid w:val="00FE2DB9"/>
    <w:rsid w:val="00FE4940"/>
    <w:rsid w:val="00FE604F"/>
    <w:rsid w:val="00FE6E29"/>
    <w:rsid w:val="00FE71B3"/>
    <w:rsid w:val="00FE72A1"/>
    <w:rsid w:val="00FE7CD0"/>
    <w:rsid w:val="00FF1483"/>
    <w:rsid w:val="00FF342B"/>
    <w:rsid w:val="00FF3CC6"/>
    <w:rsid w:val="00FF42C5"/>
    <w:rsid w:val="00FF57F2"/>
    <w:rsid w:val="00FF75B7"/>
    <w:rsid w:val="00FF76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0"/>
    <w:lsdException w:name="header" w:uiPriority="57"/>
    <w:lsdException w:name="footer" w:uiPriority="57"/>
    <w:lsdException w:name="caption" w:qFormat="1"/>
    <w:lsdException w:name="annotation reference" w:uiPriority="0"/>
    <w:lsdException w:name="page number"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FollowedHyperlink" w:uiPriority="0"/>
    <w:lsdException w:name="Strong" w:semiHidden="0" w:unhideWhenUsed="0" w:qFormat="1"/>
    <w:lsdException w:name="Emphasis" w:semiHidden="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41181B"/>
    <w:pPr>
      <w:jc w:val="both"/>
    </w:pPr>
    <w:rPr>
      <w:rFonts w:eastAsiaTheme="minorEastAsia"/>
      <w:sz w:val="24"/>
    </w:rPr>
  </w:style>
  <w:style w:type="paragraph" w:styleId="Titolo1">
    <w:name w:val="heading 1"/>
    <w:basedOn w:val="Normale"/>
    <w:next w:val="Normale"/>
    <w:link w:val="Titolo1Carattere"/>
    <w:uiPriority w:val="99"/>
    <w:semiHidden/>
    <w:rsid w:val="0041181B"/>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41181B"/>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41181B"/>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41181B"/>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41181B"/>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41181B"/>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41181B"/>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41181B"/>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41181B"/>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4118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181B"/>
    <w:rPr>
      <w:rFonts w:ascii="Tahoma" w:eastAsiaTheme="minorEastAsia" w:hAnsi="Tahoma" w:cs="Tahoma"/>
      <w:sz w:val="16"/>
      <w:szCs w:val="16"/>
    </w:rPr>
  </w:style>
  <w:style w:type="character" w:styleId="Titolodellibro">
    <w:name w:val="Book Title"/>
    <w:uiPriority w:val="99"/>
    <w:semiHidden/>
    <w:qFormat/>
    <w:rsid w:val="0041181B"/>
    <w:rPr>
      <w:i/>
      <w:iCs/>
      <w:smallCaps/>
      <w:spacing w:val="5"/>
    </w:rPr>
  </w:style>
  <w:style w:type="paragraph" w:customStyle="1" w:styleId="ECHRHeader">
    <w:name w:val="ECHR_Header"/>
    <w:aliases w:val="Ju_Header"/>
    <w:basedOn w:val="Intestazione"/>
    <w:uiPriority w:val="4"/>
    <w:qFormat/>
    <w:rsid w:val="0041181B"/>
    <w:pPr>
      <w:tabs>
        <w:tab w:val="clear" w:pos="4536"/>
        <w:tab w:val="clear" w:pos="9072"/>
        <w:tab w:val="center" w:pos="3686"/>
        <w:tab w:val="right" w:pos="7371"/>
      </w:tabs>
      <w:jc w:val="left"/>
    </w:pPr>
    <w:rPr>
      <w:rFonts w:eastAsiaTheme="minorHAnsi"/>
      <w:sz w:val="18"/>
    </w:rPr>
  </w:style>
  <w:style w:type="paragraph" w:customStyle="1" w:styleId="ECHRFooter">
    <w:name w:val="ECHR_Footer"/>
    <w:aliases w:val="Footer_ECHR"/>
    <w:basedOn w:val="Pidipagina"/>
    <w:uiPriority w:val="57"/>
    <w:semiHidden/>
    <w:rsid w:val="0041181B"/>
    <w:pPr>
      <w:jc w:val="left"/>
    </w:pPr>
    <w:rPr>
      <w:sz w:val="8"/>
    </w:rPr>
  </w:style>
  <w:style w:type="character" w:styleId="Enfasigrassetto">
    <w:name w:val="Strong"/>
    <w:uiPriority w:val="99"/>
    <w:semiHidden/>
    <w:qFormat/>
    <w:rsid w:val="0041181B"/>
    <w:rPr>
      <w:b/>
      <w:bCs/>
    </w:rPr>
  </w:style>
  <w:style w:type="paragraph" w:styleId="Nessunaspaziatura">
    <w:name w:val="No Spacing"/>
    <w:basedOn w:val="Normale"/>
    <w:link w:val="NessunaspaziaturaCarattere"/>
    <w:semiHidden/>
    <w:qFormat/>
    <w:rsid w:val="0041181B"/>
    <w:rPr>
      <w:sz w:val="22"/>
    </w:rPr>
  </w:style>
  <w:style w:type="character" w:customStyle="1" w:styleId="NessunaspaziaturaCarattere">
    <w:name w:val="Nessuna spaziatura Carattere"/>
    <w:basedOn w:val="Carpredefinitoparagrafo"/>
    <w:link w:val="Nessunaspaziatura"/>
    <w:semiHidden/>
    <w:rsid w:val="0041181B"/>
    <w:rPr>
      <w:rFonts w:eastAsiaTheme="minorEastAsia"/>
    </w:rPr>
  </w:style>
  <w:style w:type="paragraph" w:customStyle="1" w:styleId="ECHRFooterLine">
    <w:name w:val="ECHR_Footer_Line"/>
    <w:aliases w:val="Footer_Line"/>
    <w:basedOn w:val="Normale"/>
    <w:next w:val="ECHRFooter"/>
    <w:uiPriority w:val="57"/>
    <w:semiHidden/>
    <w:rsid w:val="0041181B"/>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41181B"/>
  </w:style>
  <w:style w:type="paragraph" w:customStyle="1" w:styleId="OpiPara">
    <w:name w:val="Opi_Para"/>
    <w:basedOn w:val="ECHRPara"/>
    <w:uiPriority w:val="46"/>
    <w:qFormat/>
    <w:rsid w:val="0041181B"/>
  </w:style>
  <w:style w:type="paragraph" w:customStyle="1" w:styleId="DecList">
    <w:name w:val="Dec_List"/>
    <w:basedOn w:val="Normale"/>
    <w:uiPriority w:val="9"/>
    <w:semiHidden/>
    <w:qFormat/>
    <w:rsid w:val="0041181B"/>
    <w:pPr>
      <w:spacing w:before="240"/>
      <w:ind w:left="284"/>
    </w:pPr>
  </w:style>
  <w:style w:type="paragraph" w:customStyle="1" w:styleId="ECHRTitleCentre3">
    <w:name w:val="ECHR_Title_Centre_3"/>
    <w:aliases w:val="Ju_H_Article"/>
    <w:basedOn w:val="Normale"/>
    <w:next w:val="ECHRParaQuote"/>
    <w:uiPriority w:val="27"/>
    <w:qFormat/>
    <w:rsid w:val="0041181B"/>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41181B"/>
    <w:pPr>
      <w:keepNext/>
      <w:keepLines/>
      <w:spacing w:after="240"/>
      <w:jc w:val="center"/>
      <w:outlineLvl w:val="0"/>
    </w:pPr>
    <w:rPr>
      <w:rFonts w:asciiTheme="majorHAnsi" w:hAnsiTheme="majorHAnsi"/>
      <w:sz w:val="28"/>
    </w:rPr>
  </w:style>
  <w:style w:type="paragraph" w:customStyle="1" w:styleId="DummyStyle">
    <w:name w:val="Dummy_Style"/>
    <w:basedOn w:val="Normale"/>
    <w:semiHidden/>
    <w:qFormat/>
    <w:rsid w:val="0041181B"/>
    <w:rPr>
      <w:color w:val="00B050"/>
    </w:rPr>
  </w:style>
  <w:style w:type="paragraph" w:customStyle="1" w:styleId="JuAppQuestion">
    <w:name w:val="Ju_App_Question"/>
    <w:basedOn w:val="Normale"/>
    <w:uiPriority w:val="5"/>
    <w:semiHidden/>
    <w:qFormat/>
    <w:rsid w:val="0041181B"/>
    <w:pPr>
      <w:numPr>
        <w:numId w:val="25"/>
      </w:numPr>
      <w:jc w:val="left"/>
    </w:pPr>
    <w:rPr>
      <w:b/>
    </w:rPr>
  </w:style>
  <w:style w:type="paragraph" w:customStyle="1" w:styleId="JuHeaderLandscape">
    <w:name w:val="Ju_Header_Landscape"/>
    <w:basedOn w:val="ECHRHeader"/>
    <w:uiPriority w:val="4"/>
    <w:qFormat/>
    <w:rsid w:val="0041181B"/>
    <w:pPr>
      <w:tabs>
        <w:tab w:val="clear" w:pos="3686"/>
        <w:tab w:val="clear" w:pos="7371"/>
        <w:tab w:val="center" w:pos="6146"/>
        <w:tab w:val="right" w:pos="12293"/>
      </w:tabs>
    </w:pPr>
  </w:style>
  <w:style w:type="paragraph" w:customStyle="1" w:styleId="ECHRTitleCentre2">
    <w:name w:val="ECHR_Title_Centre_2"/>
    <w:aliases w:val="Dec_H_Case"/>
    <w:basedOn w:val="Normale"/>
    <w:next w:val="ECHRPara"/>
    <w:uiPriority w:val="8"/>
    <w:qFormat/>
    <w:rsid w:val="0041181B"/>
    <w:pPr>
      <w:spacing w:after="240"/>
      <w:jc w:val="center"/>
      <w:outlineLvl w:val="0"/>
    </w:pPr>
    <w:rPr>
      <w:rFonts w:asciiTheme="majorHAnsi" w:hAnsiTheme="majorHAnsi"/>
    </w:rPr>
  </w:style>
  <w:style w:type="character" w:customStyle="1" w:styleId="JuITMark">
    <w:name w:val="Ju_ITMark"/>
    <w:basedOn w:val="Carpredefinitoparagrafo"/>
    <w:uiPriority w:val="38"/>
    <w:qFormat/>
    <w:rsid w:val="0041181B"/>
    <w:rPr>
      <w:vanish w:val="0"/>
      <w:color w:val="auto"/>
      <w:sz w:val="14"/>
      <w:bdr w:val="none" w:sz="0" w:space="0" w:color="auto"/>
      <w:shd w:val="clear" w:color="auto" w:fill="BEE5FF" w:themeFill="background1" w:themeFillTint="33"/>
    </w:rPr>
  </w:style>
  <w:style w:type="paragraph" w:styleId="Titolo">
    <w:name w:val="Title"/>
    <w:basedOn w:val="Normale"/>
    <w:next w:val="Normale"/>
    <w:link w:val="TitoloCarattere"/>
    <w:uiPriority w:val="99"/>
    <w:semiHidden/>
    <w:qFormat/>
    <w:rsid w:val="0041181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41181B"/>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41181B"/>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41181B"/>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41181B"/>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41181B"/>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41181B"/>
    <w:pPr>
      <w:keepNext/>
      <w:keepLines/>
      <w:spacing w:before="240" w:after="120"/>
      <w:ind w:left="1236"/>
    </w:pPr>
    <w:rPr>
      <w:sz w:val="20"/>
    </w:rPr>
  </w:style>
  <w:style w:type="paragraph" w:customStyle="1" w:styleId="JuQuotSub">
    <w:name w:val="Ju_Quot_Sub"/>
    <w:basedOn w:val="ECHRParaQuote"/>
    <w:uiPriority w:val="15"/>
    <w:qFormat/>
    <w:rsid w:val="0041181B"/>
    <w:pPr>
      <w:ind w:left="567"/>
    </w:pPr>
  </w:style>
  <w:style w:type="paragraph" w:customStyle="1" w:styleId="JuInitialled">
    <w:name w:val="Ju_Initialled"/>
    <w:basedOn w:val="Normale"/>
    <w:uiPriority w:val="31"/>
    <w:qFormat/>
    <w:rsid w:val="0041181B"/>
    <w:pPr>
      <w:tabs>
        <w:tab w:val="center" w:pos="6407"/>
      </w:tabs>
      <w:spacing w:before="720"/>
      <w:jc w:val="right"/>
    </w:pPr>
  </w:style>
  <w:style w:type="paragraph" w:customStyle="1" w:styleId="OpiHA">
    <w:name w:val="Opi_H_A"/>
    <w:basedOn w:val="ECHRHeading1"/>
    <w:next w:val="OpiPara"/>
    <w:uiPriority w:val="41"/>
    <w:qFormat/>
    <w:rsid w:val="0041181B"/>
    <w:pPr>
      <w:tabs>
        <w:tab w:val="clear" w:pos="357"/>
      </w:tabs>
      <w:outlineLvl w:val="1"/>
    </w:pPr>
    <w:rPr>
      <w:b/>
    </w:rPr>
  </w:style>
  <w:style w:type="paragraph" w:styleId="Intestazione">
    <w:name w:val="header"/>
    <w:basedOn w:val="Normale"/>
    <w:link w:val="IntestazioneCarattere"/>
    <w:uiPriority w:val="57"/>
    <w:semiHidden/>
    <w:rsid w:val="0041181B"/>
    <w:pPr>
      <w:tabs>
        <w:tab w:val="center" w:pos="4536"/>
        <w:tab w:val="right" w:pos="9072"/>
      </w:tabs>
    </w:pPr>
  </w:style>
  <w:style w:type="character" w:customStyle="1" w:styleId="IntestazioneCarattere">
    <w:name w:val="Intestazione Carattere"/>
    <w:basedOn w:val="Carpredefinitoparagrafo"/>
    <w:link w:val="Intestazione"/>
    <w:uiPriority w:val="57"/>
    <w:semiHidden/>
    <w:rsid w:val="0041181B"/>
    <w:rPr>
      <w:sz w:val="24"/>
    </w:rPr>
  </w:style>
  <w:style w:type="character" w:customStyle="1" w:styleId="Titolo1Carattere">
    <w:name w:val="Titolo 1 Carattere"/>
    <w:basedOn w:val="Carpredefinitoparagrafo"/>
    <w:link w:val="Titolo1"/>
    <w:uiPriority w:val="99"/>
    <w:semiHidden/>
    <w:rsid w:val="0041181B"/>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41181B"/>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41181B"/>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41181B"/>
    <w:rPr>
      <w:rFonts w:asciiTheme="majorHAnsi" w:eastAsiaTheme="majorEastAsia" w:hAnsiTheme="majorHAnsi" w:cstheme="majorBidi"/>
      <w:b/>
      <w:bCs/>
      <w:color w:val="4D4D4D"/>
      <w:sz w:val="26"/>
      <w:szCs w:val="26"/>
    </w:rPr>
  </w:style>
  <w:style w:type="character" w:customStyle="1" w:styleId="JUNAMES">
    <w:name w:val="JU_NAMES"/>
    <w:uiPriority w:val="17"/>
    <w:qFormat/>
    <w:rsid w:val="0041181B"/>
    <w:rPr>
      <w:caps w:val="0"/>
      <w:smallCaps/>
    </w:rPr>
  </w:style>
  <w:style w:type="paragraph" w:customStyle="1" w:styleId="ECHRDecisionBody">
    <w:name w:val="ECHR_Decision_Body"/>
    <w:aliases w:val="Ju_Judges"/>
    <w:basedOn w:val="Normale"/>
    <w:uiPriority w:val="11"/>
    <w:qFormat/>
    <w:rsid w:val="0041181B"/>
    <w:pPr>
      <w:tabs>
        <w:tab w:val="left" w:pos="567"/>
        <w:tab w:val="left" w:pos="1134"/>
      </w:tabs>
      <w:jc w:val="left"/>
    </w:pPr>
  </w:style>
  <w:style w:type="character" w:customStyle="1" w:styleId="Titolo3Carattere">
    <w:name w:val="Titolo 3 Carattere"/>
    <w:basedOn w:val="Carpredefinitoparagrafo"/>
    <w:link w:val="Titolo3"/>
    <w:uiPriority w:val="99"/>
    <w:semiHidden/>
    <w:rsid w:val="0041181B"/>
    <w:rPr>
      <w:rFonts w:asciiTheme="majorHAnsi" w:eastAsiaTheme="majorEastAsia" w:hAnsiTheme="majorHAnsi" w:cstheme="majorBidi"/>
      <w:b/>
      <w:bCs/>
      <w:color w:val="5F5F5F"/>
      <w:sz w:val="24"/>
    </w:rPr>
  </w:style>
  <w:style w:type="paragraph" w:customStyle="1" w:styleId="ECHRPara">
    <w:name w:val="ECHR_Para"/>
    <w:aliases w:val="Ju_Para"/>
    <w:basedOn w:val="Normale"/>
    <w:link w:val="JuParaCar"/>
    <w:uiPriority w:val="12"/>
    <w:qFormat/>
    <w:rsid w:val="0041181B"/>
    <w:pPr>
      <w:ind w:firstLine="284"/>
    </w:pPr>
  </w:style>
  <w:style w:type="character" w:customStyle="1" w:styleId="Titolo4Carattere">
    <w:name w:val="Titolo 4 Carattere"/>
    <w:basedOn w:val="Carpredefinitoparagrafo"/>
    <w:link w:val="Titolo4"/>
    <w:uiPriority w:val="99"/>
    <w:semiHidden/>
    <w:rsid w:val="0041181B"/>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41181B"/>
    <w:rPr>
      <w:rFonts w:asciiTheme="majorHAnsi" w:eastAsiaTheme="majorEastAsia" w:hAnsiTheme="majorHAnsi" w:cstheme="majorBidi"/>
      <w:b/>
      <w:bCs/>
      <w:color w:val="808080"/>
    </w:rPr>
  </w:style>
  <w:style w:type="character" w:styleId="Enfasidelicata">
    <w:name w:val="Subtle Emphasis"/>
    <w:uiPriority w:val="99"/>
    <w:semiHidden/>
    <w:qFormat/>
    <w:rsid w:val="0041181B"/>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41181B"/>
    <w:pPr>
      <w:keepNext/>
      <w:keepLines/>
      <w:spacing w:before="720" w:after="240"/>
      <w:outlineLvl w:val="0"/>
    </w:pPr>
    <w:rPr>
      <w:rFonts w:asciiTheme="majorHAnsi" w:hAnsiTheme="majorHAnsi"/>
      <w:sz w:val="28"/>
    </w:rPr>
  </w:style>
  <w:style w:type="character" w:styleId="Enfasicorsivo">
    <w:name w:val="Emphasis"/>
    <w:uiPriority w:val="99"/>
    <w:semiHidden/>
    <w:qFormat/>
    <w:rsid w:val="0041181B"/>
    <w:rPr>
      <w:b/>
      <w:bCs/>
      <w:i/>
      <w:iCs/>
      <w:spacing w:val="10"/>
      <w:bdr w:val="none" w:sz="0" w:space="0" w:color="auto"/>
      <w:shd w:val="clear" w:color="auto" w:fill="auto"/>
    </w:rPr>
  </w:style>
  <w:style w:type="paragraph" w:styleId="Pidipagina">
    <w:name w:val="footer"/>
    <w:basedOn w:val="Normale"/>
    <w:link w:val="PidipaginaCarattere"/>
    <w:uiPriority w:val="57"/>
    <w:semiHidden/>
    <w:rsid w:val="0041181B"/>
    <w:pPr>
      <w:tabs>
        <w:tab w:val="center" w:pos="4536"/>
        <w:tab w:val="right" w:pos="9696"/>
      </w:tabs>
      <w:ind w:left="-680" w:right="-680"/>
    </w:pPr>
  </w:style>
  <w:style w:type="character" w:customStyle="1" w:styleId="PidipaginaCarattere">
    <w:name w:val="Piè di pagina Carattere"/>
    <w:basedOn w:val="Carpredefinitoparagrafo"/>
    <w:link w:val="Pidipagina"/>
    <w:uiPriority w:val="57"/>
    <w:semiHidden/>
    <w:rsid w:val="0041181B"/>
    <w:rPr>
      <w:sz w:val="24"/>
    </w:rPr>
  </w:style>
  <w:style w:type="character" w:styleId="Rimandonotaapidipagina">
    <w:name w:val="footnote reference"/>
    <w:basedOn w:val="Carpredefinitoparagrafo"/>
    <w:uiPriority w:val="99"/>
    <w:semiHidden/>
    <w:rsid w:val="0041181B"/>
    <w:rPr>
      <w:vertAlign w:val="superscript"/>
    </w:rPr>
  </w:style>
  <w:style w:type="paragraph" w:styleId="Testonotaapidipagina">
    <w:name w:val="footnote text"/>
    <w:basedOn w:val="Normale"/>
    <w:link w:val="TestonotaapidipaginaCarattere"/>
    <w:uiPriority w:val="99"/>
    <w:semiHidden/>
    <w:rsid w:val="0041181B"/>
    <w:rPr>
      <w:sz w:val="20"/>
      <w:szCs w:val="20"/>
    </w:rPr>
  </w:style>
  <w:style w:type="character" w:customStyle="1" w:styleId="TestonotaapidipaginaCarattere">
    <w:name w:val="Testo nota a piè di pagina Carattere"/>
    <w:basedOn w:val="Carpredefinitoparagrafo"/>
    <w:link w:val="Testonotaapidipagina"/>
    <w:uiPriority w:val="99"/>
    <w:semiHidden/>
    <w:rsid w:val="0041181B"/>
    <w:rPr>
      <w:rFonts w:eastAsiaTheme="minorEastAsia"/>
      <w:sz w:val="20"/>
      <w:szCs w:val="20"/>
    </w:rPr>
  </w:style>
  <w:style w:type="character" w:customStyle="1" w:styleId="Titolo6Carattere">
    <w:name w:val="Titolo 6 Carattere"/>
    <w:basedOn w:val="Carpredefinitoparagrafo"/>
    <w:link w:val="Titolo6"/>
    <w:uiPriority w:val="99"/>
    <w:semiHidden/>
    <w:rsid w:val="0041181B"/>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41181B"/>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41181B"/>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41181B"/>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rsid w:val="0041181B"/>
    <w:rPr>
      <w:color w:val="0072BC" w:themeColor="hyperlink"/>
      <w:u w:val="single"/>
    </w:rPr>
  </w:style>
  <w:style w:type="character" w:styleId="Enfasiintensa">
    <w:name w:val="Intense Emphasis"/>
    <w:uiPriority w:val="99"/>
    <w:semiHidden/>
    <w:qFormat/>
    <w:rsid w:val="0041181B"/>
    <w:rPr>
      <w:b/>
      <w:bCs/>
    </w:rPr>
  </w:style>
  <w:style w:type="paragraph" w:styleId="Citazioneintensa">
    <w:name w:val="Intense Quote"/>
    <w:basedOn w:val="Normale"/>
    <w:next w:val="Normale"/>
    <w:link w:val="CitazioneintensaCarattere"/>
    <w:uiPriority w:val="99"/>
    <w:semiHidden/>
    <w:qFormat/>
    <w:rsid w:val="0041181B"/>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41181B"/>
    <w:rPr>
      <w:rFonts w:eastAsiaTheme="minorEastAsia"/>
      <w:b/>
      <w:bCs/>
      <w:i/>
      <w:iCs/>
      <w:lang w:bidi="en-US"/>
    </w:rPr>
  </w:style>
  <w:style w:type="character" w:styleId="Riferimentointenso">
    <w:name w:val="Intense Reference"/>
    <w:uiPriority w:val="99"/>
    <w:semiHidden/>
    <w:qFormat/>
    <w:rsid w:val="0041181B"/>
    <w:rPr>
      <w:smallCaps/>
      <w:spacing w:val="5"/>
      <w:u w:val="single"/>
    </w:rPr>
  </w:style>
  <w:style w:type="paragraph" w:styleId="Paragrafoelenco">
    <w:name w:val="List Paragraph"/>
    <w:basedOn w:val="Normale"/>
    <w:uiPriority w:val="99"/>
    <w:semiHidden/>
    <w:qFormat/>
    <w:rsid w:val="0041181B"/>
    <w:pPr>
      <w:ind w:left="720"/>
      <w:contextualSpacing/>
    </w:pPr>
  </w:style>
  <w:style w:type="table" w:customStyle="1" w:styleId="LtrTableAddress">
    <w:name w:val="Ltr_Table_Address"/>
    <w:basedOn w:val="Tabellanormale"/>
    <w:uiPriority w:val="99"/>
    <w:rsid w:val="001E6F32"/>
    <w:tblPr>
      <w:tblInd w:w="5103" w:type="dxa"/>
      <w:tblCellMar>
        <w:top w:w="0" w:type="dxa"/>
        <w:left w:w="108" w:type="dxa"/>
        <w:bottom w:w="0" w:type="dxa"/>
        <w:right w:w="108" w:type="dxa"/>
      </w:tblCellMar>
    </w:tblPr>
  </w:style>
  <w:style w:type="paragraph" w:styleId="Citazione">
    <w:name w:val="Quote"/>
    <w:basedOn w:val="Normale"/>
    <w:next w:val="Normale"/>
    <w:link w:val="CitazioneCarattere"/>
    <w:uiPriority w:val="99"/>
    <w:semiHidden/>
    <w:qFormat/>
    <w:rsid w:val="0041181B"/>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41181B"/>
    <w:rPr>
      <w:rFonts w:eastAsiaTheme="minorEastAsia"/>
      <w:i/>
      <w:iCs/>
      <w:lang w:bidi="en-US"/>
    </w:rPr>
  </w:style>
  <w:style w:type="character" w:styleId="Riferimentodelicato">
    <w:name w:val="Subtle Reference"/>
    <w:uiPriority w:val="99"/>
    <w:semiHidden/>
    <w:qFormat/>
    <w:rsid w:val="0041181B"/>
    <w:rPr>
      <w:smallCaps/>
    </w:rPr>
  </w:style>
  <w:style w:type="table" w:styleId="Grigliatabella">
    <w:name w:val="Table Grid"/>
    <w:basedOn w:val="Tabellanormale"/>
    <w:uiPriority w:val="59"/>
    <w:semiHidden/>
    <w:rsid w:val="0041181B"/>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1">
    <w:name w:val="toc 1"/>
    <w:basedOn w:val="Normale"/>
    <w:next w:val="Normale"/>
    <w:autoRedefine/>
    <w:uiPriority w:val="39"/>
    <w:rsid w:val="0041181B"/>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39"/>
    <w:rsid w:val="0041181B"/>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39"/>
    <w:rsid w:val="0041181B"/>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41181B"/>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41181B"/>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41181B"/>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ellanormale"/>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41181B"/>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41181B"/>
    <w:pPr>
      <w:spacing w:before="120" w:after="120"/>
      <w:ind w:left="425" w:firstLine="142"/>
    </w:pPr>
    <w:rPr>
      <w:sz w:val="20"/>
    </w:rPr>
  </w:style>
  <w:style w:type="table" w:customStyle="1" w:styleId="ECHRTableSimpleBox">
    <w:name w:val="ECHR_Table_Simple_Box"/>
    <w:basedOn w:val="Tabellanormale"/>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ellanormale"/>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41181B"/>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41181B"/>
    <w:pPr>
      <w:tabs>
        <w:tab w:val="center" w:pos="851"/>
        <w:tab w:val="center" w:pos="6407"/>
      </w:tabs>
      <w:spacing w:before="720"/>
      <w:jc w:val="left"/>
    </w:pPr>
  </w:style>
  <w:style w:type="paragraph" w:customStyle="1" w:styleId="JuParaLast">
    <w:name w:val="Ju_Para_Last"/>
    <w:basedOn w:val="Normale"/>
    <w:next w:val="ECHRPara"/>
    <w:uiPriority w:val="30"/>
    <w:qFormat/>
    <w:rsid w:val="0041181B"/>
    <w:pPr>
      <w:keepNext/>
      <w:keepLines/>
      <w:spacing w:before="240"/>
      <w:ind w:firstLine="284"/>
    </w:pPr>
  </w:style>
  <w:style w:type="paragraph" w:customStyle="1" w:styleId="JuCase">
    <w:name w:val="Ju_Case"/>
    <w:basedOn w:val="Normale"/>
    <w:next w:val="ECHRPara"/>
    <w:uiPriority w:val="10"/>
    <w:rsid w:val="0041181B"/>
    <w:pPr>
      <w:ind w:firstLine="284"/>
    </w:pPr>
    <w:rPr>
      <w:b/>
    </w:rPr>
  </w:style>
  <w:style w:type="paragraph" w:customStyle="1" w:styleId="JuList">
    <w:name w:val="Ju_List"/>
    <w:basedOn w:val="Normale"/>
    <w:uiPriority w:val="28"/>
    <w:qFormat/>
    <w:rsid w:val="0041181B"/>
    <w:pPr>
      <w:ind w:left="340" w:hanging="340"/>
    </w:pPr>
  </w:style>
  <w:style w:type="paragraph" w:customStyle="1" w:styleId="OpiTranslation">
    <w:name w:val="Opi_Translation"/>
    <w:basedOn w:val="Normale"/>
    <w:next w:val="OpiPara"/>
    <w:uiPriority w:val="40"/>
    <w:qFormat/>
    <w:rsid w:val="0041181B"/>
    <w:pPr>
      <w:jc w:val="center"/>
      <w:outlineLvl w:val="0"/>
    </w:pPr>
    <w:rPr>
      <w:i/>
    </w:rPr>
  </w:style>
  <w:style w:type="character" w:styleId="Numeropagina">
    <w:name w:val="page number"/>
    <w:semiHidden/>
    <w:rsid w:val="00E77CB3"/>
    <w:rPr>
      <w:rFonts w:ascii="Times New Roman" w:hAnsi="Times New Roman" w:cs="Times New Roman"/>
      <w:sz w:val="18"/>
    </w:rPr>
  </w:style>
  <w:style w:type="paragraph" w:customStyle="1" w:styleId="JuLista">
    <w:name w:val="Ju_List_a"/>
    <w:basedOn w:val="JuList"/>
    <w:uiPriority w:val="28"/>
    <w:qFormat/>
    <w:rsid w:val="0041181B"/>
    <w:pPr>
      <w:ind w:left="346" w:firstLine="0"/>
    </w:pPr>
  </w:style>
  <w:style w:type="paragraph" w:customStyle="1" w:styleId="JuListi">
    <w:name w:val="Ju_List_i"/>
    <w:basedOn w:val="Normale"/>
    <w:next w:val="JuLista"/>
    <w:uiPriority w:val="28"/>
    <w:qFormat/>
    <w:rsid w:val="0041181B"/>
    <w:pPr>
      <w:ind w:left="794"/>
    </w:pPr>
  </w:style>
  <w:style w:type="character" w:styleId="Rimandocommento">
    <w:name w:val="annotation reference"/>
    <w:semiHidden/>
    <w:rsid w:val="00E77CB3"/>
    <w:rPr>
      <w:sz w:val="16"/>
    </w:rPr>
  </w:style>
  <w:style w:type="paragraph" w:styleId="Testocommento">
    <w:name w:val="annotation text"/>
    <w:basedOn w:val="Normale"/>
    <w:link w:val="TestocommentoCarattere"/>
    <w:semiHidden/>
    <w:rsid w:val="00E77CB3"/>
    <w:rPr>
      <w:sz w:val="20"/>
    </w:rPr>
  </w:style>
  <w:style w:type="character" w:customStyle="1" w:styleId="TestocommentoCarattere">
    <w:name w:val="Testo commento Carattere"/>
    <w:basedOn w:val="Carpredefinitoparagrafo"/>
    <w:link w:val="Testocommento"/>
    <w:semiHidden/>
    <w:rsid w:val="00E77CB3"/>
    <w:rPr>
      <w:rFonts w:eastAsiaTheme="minorEastAsia"/>
      <w:sz w:val="20"/>
    </w:rPr>
  </w:style>
  <w:style w:type="character" w:styleId="Rimandonotadichiusura">
    <w:name w:val="endnote reference"/>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semiHidden/>
    <w:rsid w:val="00E77CB3"/>
    <w:rPr>
      <w:rFonts w:ascii="Times New Roman" w:hAnsi="Times New Roman" w:cs="Times New Roman"/>
      <w:color w:val="800080"/>
      <w:u w:val="single"/>
    </w:rPr>
  </w:style>
  <w:style w:type="paragraph" w:styleId="Puntoelenco">
    <w:name w:val="List Bullet"/>
    <w:basedOn w:val="Normale"/>
    <w:semiHidden/>
    <w:rsid w:val="00E77CB3"/>
    <w:pPr>
      <w:numPr>
        <w:numId w:val="1"/>
      </w:numPr>
    </w:pPr>
  </w:style>
  <w:style w:type="paragraph" w:customStyle="1" w:styleId="JuParaSub">
    <w:name w:val="Ju_Para_Sub"/>
    <w:basedOn w:val="ECHRPara"/>
    <w:uiPriority w:val="13"/>
    <w:qFormat/>
    <w:rsid w:val="0041181B"/>
    <w:pPr>
      <w:ind w:left="284"/>
    </w:pPr>
  </w:style>
  <w:style w:type="paragraph" w:styleId="Soggettocommento">
    <w:name w:val="annotation subject"/>
    <w:basedOn w:val="Testocommento"/>
    <w:next w:val="Testocommento"/>
    <w:link w:val="SoggettocommentoCarattere"/>
    <w:semiHidden/>
    <w:rsid w:val="00E77CB3"/>
    <w:rPr>
      <w:b/>
      <w:bCs/>
    </w:rPr>
  </w:style>
  <w:style w:type="character" w:customStyle="1" w:styleId="SoggettocommentoCarattere">
    <w:name w:val="Soggetto commento Carattere"/>
    <w:basedOn w:val="TestocommentoCarattere"/>
    <w:link w:val="Soggettocommento"/>
    <w:semiHidden/>
    <w:rsid w:val="00E77CB3"/>
    <w:rPr>
      <w:rFonts w:eastAsiaTheme="minorEastAsia"/>
      <w:b/>
      <w:bCs/>
      <w:sz w:val="20"/>
    </w:rPr>
  </w:style>
  <w:style w:type="paragraph" w:styleId="Mappadocumento">
    <w:name w:val="Document Map"/>
    <w:basedOn w:val="Normale"/>
    <w:link w:val="MappadocumentoCarattere"/>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semiHidden/>
    <w:rsid w:val="00E77CB3"/>
    <w:rPr>
      <w:rFonts w:ascii="Tahoma" w:eastAsiaTheme="minorEastAsia" w:hAnsi="Tahoma" w:cs="Tahoma"/>
      <w:sz w:val="20"/>
      <w:shd w:val="clear" w:color="auto" w:fill="000080"/>
    </w:rPr>
  </w:style>
  <w:style w:type="paragraph" w:customStyle="1" w:styleId="JuTitle">
    <w:name w:val="Ju_Title"/>
    <w:basedOn w:val="Normale"/>
    <w:next w:val="ECHRPara"/>
    <w:uiPriority w:val="3"/>
    <w:semiHidden/>
    <w:qFormat/>
    <w:rsid w:val="0041181B"/>
    <w:pPr>
      <w:spacing w:before="720" w:after="240"/>
      <w:jc w:val="center"/>
      <w:outlineLvl w:val="0"/>
    </w:pPr>
    <w:rPr>
      <w:rFonts w:asciiTheme="majorHAnsi" w:hAnsiTheme="majorHAnsi"/>
      <w:b/>
      <w:caps/>
    </w:rPr>
  </w:style>
  <w:style w:type="paragraph" w:styleId="Sottotitolo">
    <w:name w:val="Subtitle"/>
    <w:basedOn w:val="Normale"/>
    <w:next w:val="Normale"/>
    <w:link w:val="SottotitoloCarattere"/>
    <w:uiPriority w:val="99"/>
    <w:semiHidden/>
    <w:qFormat/>
    <w:rsid w:val="0041181B"/>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41181B"/>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41181B"/>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E77CB3"/>
    <w:pPr>
      <w:jc w:val="both"/>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E77CB3"/>
    <w:pPr>
      <w:jc w:val="both"/>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E77CB3"/>
    <w:pPr>
      <w:jc w:val="both"/>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E77CB3"/>
    <w:pPr>
      <w:jc w:val="both"/>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E77CB3"/>
    <w:pPr>
      <w:jc w:val="both"/>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E77CB3"/>
    <w:pPr>
      <w:jc w:val="both"/>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E77CB3"/>
    <w:pPr>
      <w:jc w:val="both"/>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E77CB3"/>
    <w:pPr>
      <w:jc w:val="both"/>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E77CB3"/>
    <w:pPr>
      <w:jc w:val="both"/>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uiPriority w:val="99"/>
    <w:semiHidden/>
    <w:rsid w:val="00E77CB3"/>
    <w:pPr>
      <w:jc w:val="both"/>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41181B"/>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41181B"/>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OpiHa0">
    <w:name w:val="Opi_H_a"/>
    <w:basedOn w:val="ECHRHeading3"/>
    <w:uiPriority w:val="43"/>
    <w:qFormat/>
    <w:rsid w:val="0041181B"/>
    <w:pPr>
      <w:ind w:left="833" w:hanging="357"/>
      <w:outlineLvl w:val="3"/>
    </w:pPr>
    <w:rPr>
      <w:b/>
      <w:i w:val="0"/>
      <w:sz w:val="20"/>
    </w:rPr>
  </w:style>
  <w:style w:type="paragraph" w:customStyle="1" w:styleId="JuCourt">
    <w:name w:val="Ju_Court"/>
    <w:basedOn w:val="Normale"/>
    <w:next w:val="Normale"/>
    <w:uiPriority w:val="16"/>
    <w:qFormat/>
    <w:rsid w:val="0041181B"/>
    <w:pPr>
      <w:tabs>
        <w:tab w:val="left" w:pos="907"/>
        <w:tab w:val="left" w:pos="1701"/>
        <w:tab w:val="right" w:pos="7371"/>
      </w:tabs>
      <w:spacing w:before="240"/>
      <w:ind w:left="397" w:hanging="397"/>
      <w:jc w:val="left"/>
    </w:pPr>
    <w:rPr>
      <w:lang w:bidi="en-US"/>
    </w:rPr>
  </w:style>
  <w:style w:type="paragraph" w:customStyle="1" w:styleId="OpiHi">
    <w:name w:val="Opi_H_i"/>
    <w:basedOn w:val="ECHRHeading4"/>
    <w:uiPriority w:val="44"/>
    <w:qFormat/>
    <w:rsid w:val="0041181B"/>
    <w:pPr>
      <w:ind w:left="1037" w:hanging="357"/>
      <w:outlineLvl w:val="4"/>
    </w:pPr>
    <w:rPr>
      <w:b w:val="0"/>
      <w:i/>
    </w:rPr>
  </w:style>
  <w:style w:type="paragraph" w:customStyle="1" w:styleId="OpiH1">
    <w:name w:val="Opi_H_1"/>
    <w:basedOn w:val="ECHRHeading2"/>
    <w:uiPriority w:val="42"/>
    <w:qFormat/>
    <w:rsid w:val="0041181B"/>
    <w:pPr>
      <w:ind w:left="635" w:hanging="357"/>
      <w:outlineLvl w:val="2"/>
    </w:pPr>
  </w:style>
  <w:style w:type="paragraph" w:customStyle="1" w:styleId="OpiParaSub">
    <w:name w:val="Opi_Para_Sub"/>
    <w:basedOn w:val="JuParaSub"/>
    <w:uiPriority w:val="47"/>
    <w:qFormat/>
    <w:rsid w:val="0041181B"/>
  </w:style>
  <w:style w:type="paragraph" w:customStyle="1" w:styleId="OpiQuot">
    <w:name w:val="Opi_Quot"/>
    <w:basedOn w:val="ECHRParaQuote"/>
    <w:uiPriority w:val="48"/>
    <w:qFormat/>
    <w:rsid w:val="0041181B"/>
  </w:style>
  <w:style w:type="paragraph" w:customStyle="1" w:styleId="OpiQuotSub">
    <w:name w:val="Opi_Quot_Sub"/>
    <w:basedOn w:val="JuQuotSub"/>
    <w:uiPriority w:val="49"/>
    <w:qFormat/>
    <w:rsid w:val="0041181B"/>
  </w:style>
  <w:style w:type="paragraph" w:styleId="Revisione">
    <w:name w:val="Revision"/>
    <w:hidden/>
    <w:uiPriority w:val="99"/>
    <w:semiHidden/>
    <w:rsid w:val="001F576E"/>
    <w:rPr>
      <w:rFonts w:eastAsiaTheme="minorEastAsia"/>
      <w:sz w:val="24"/>
    </w:rPr>
  </w:style>
  <w:style w:type="character" w:customStyle="1" w:styleId="JuParaCar">
    <w:name w:val="Ju_Para Car"/>
    <w:link w:val="ECHRPara"/>
    <w:uiPriority w:val="12"/>
    <w:rsid w:val="004E3440"/>
    <w:rPr>
      <w:rFonts w:eastAsiaTheme="minorEastAsia"/>
      <w:sz w:val="24"/>
    </w:rPr>
  </w:style>
  <w:style w:type="paragraph" w:customStyle="1" w:styleId="ECHRParaSpaced">
    <w:name w:val="ECHR_Para_Spaced"/>
    <w:aliases w:val="Para_Spaced"/>
    <w:basedOn w:val="Normale"/>
    <w:uiPriority w:val="5"/>
    <w:rsid w:val="00D33C14"/>
    <w:pPr>
      <w:spacing w:before="120" w:after="120"/>
    </w:pPr>
    <w:rPr>
      <w:rFonts w:eastAsia="Cambria"/>
      <w:sz w:val="22"/>
    </w:rPr>
  </w:style>
  <w:style w:type="character" w:customStyle="1" w:styleId="sb8d990e2">
    <w:name w:val="sb8d990e2"/>
    <w:basedOn w:val="Carpredefinitoparagrafo"/>
    <w:rsid w:val="00080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0"/>
    <w:lsdException w:name="header" w:uiPriority="57"/>
    <w:lsdException w:name="footer" w:uiPriority="57"/>
    <w:lsdException w:name="caption" w:qFormat="1"/>
    <w:lsdException w:name="annotation reference" w:uiPriority="0"/>
    <w:lsdException w:name="page number"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FollowedHyperlink" w:uiPriority="0"/>
    <w:lsdException w:name="Strong" w:semiHidden="0" w:unhideWhenUsed="0" w:qFormat="1"/>
    <w:lsdException w:name="Emphasis" w:semiHidden="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41181B"/>
    <w:pPr>
      <w:jc w:val="both"/>
    </w:pPr>
    <w:rPr>
      <w:rFonts w:eastAsiaTheme="minorEastAsia"/>
      <w:sz w:val="24"/>
    </w:rPr>
  </w:style>
  <w:style w:type="paragraph" w:styleId="Titolo1">
    <w:name w:val="heading 1"/>
    <w:basedOn w:val="Normale"/>
    <w:next w:val="Normale"/>
    <w:link w:val="Titolo1Carattere"/>
    <w:uiPriority w:val="99"/>
    <w:semiHidden/>
    <w:rsid w:val="0041181B"/>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41181B"/>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41181B"/>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41181B"/>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41181B"/>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41181B"/>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41181B"/>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41181B"/>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41181B"/>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4118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181B"/>
    <w:rPr>
      <w:rFonts w:ascii="Tahoma" w:eastAsiaTheme="minorEastAsia" w:hAnsi="Tahoma" w:cs="Tahoma"/>
      <w:sz w:val="16"/>
      <w:szCs w:val="16"/>
    </w:rPr>
  </w:style>
  <w:style w:type="character" w:styleId="Titolodellibro">
    <w:name w:val="Book Title"/>
    <w:uiPriority w:val="99"/>
    <w:semiHidden/>
    <w:qFormat/>
    <w:rsid w:val="0041181B"/>
    <w:rPr>
      <w:i/>
      <w:iCs/>
      <w:smallCaps/>
      <w:spacing w:val="5"/>
    </w:rPr>
  </w:style>
  <w:style w:type="paragraph" w:customStyle="1" w:styleId="ECHRHeader">
    <w:name w:val="ECHR_Header"/>
    <w:aliases w:val="Ju_Header"/>
    <w:basedOn w:val="Intestazione"/>
    <w:uiPriority w:val="4"/>
    <w:qFormat/>
    <w:rsid w:val="0041181B"/>
    <w:pPr>
      <w:tabs>
        <w:tab w:val="clear" w:pos="4536"/>
        <w:tab w:val="clear" w:pos="9072"/>
        <w:tab w:val="center" w:pos="3686"/>
        <w:tab w:val="right" w:pos="7371"/>
      </w:tabs>
      <w:jc w:val="left"/>
    </w:pPr>
    <w:rPr>
      <w:rFonts w:eastAsiaTheme="minorHAnsi"/>
      <w:sz w:val="18"/>
    </w:rPr>
  </w:style>
  <w:style w:type="paragraph" w:customStyle="1" w:styleId="ECHRFooter">
    <w:name w:val="ECHR_Footer"/>
    <w:aliases w:val="Footer_ECHR"/>
    <w:basedOn w:val="Pidipagina"/>
    <w:uiPriority w:val="57"/>
    <w:semiHidden/>
    <w:rsid w:val="0041181B"/>
    <w:pPr>
      <w:jc w:val="left"/>
    </w:pPr>
    <w:rPr>
      <w:sz w:val="8"/>
    </w:rPr>
  </w:style>
  <w:style w:type="character" w:styleId="Enfasigrassetto">
    <w:name w:val="Strong"/>
    <w:uiPriority w:val="99"/>
    <w:semiHidden/>
    <w:qFormat/>
    <w:rsid w:val="0041181B"/>
    <w:rPr>
      <w:b/>
      <w:bCs/>
    </w:rPr>
  </w:style>
  <w:style w:type="paragraph" w:styleId="Nessunaspaziatura">
    <w:name w:val="No Spacing"/>
    <w:basedOn w:val="Normale"/>
    <w:link w:val="NessunaspaziaturaCarattere"/>
    <w:semiHidden/>
    <w:qFormat/>
    <w:rsid w:val="0041181B"/>
    <w:rPr>
      <w:sz w:val="22"/>
    </w:rPr>
  </w:style>
  <w:style w:type="character" w:customStyle="1" w:styleId="NessunaspaziaturaCarattere">
    <w:name w:val="Nessuna spaziatura Carattere"/>
    <w:basedOn w:val="Carpredefinitoparagrafo"/>
    <w:link w:val="Nessunaspaziatura"/>
    <w:semiHidden/>
    <w:rsid w:val="0041181B"/>
    <w:rPr>
      <w:rFonts w:eastAsiaTheme="minorEastAsia"/>
    </w:rPr>
  </w:style>
  <w:style w:type="paragraph" w:customStyle="1" w:styleId="ECHRFooterLine">
    <w:name w:val="ECHR_Footer_Line"/>
    <w:aliases w:val="Footer_Line"/>
    <w:basedOn w:val="Normale"/>
    <w:next w:val="ECHRFooter"/>
    <w:uiPriority w:val="57"/>
    <w:semiHidden/>
    <w:rsid w:val="0041181B"/>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41181B"/>
  </w:style>
  <w:style w:type="paragraph" w:customStyle="1" w:styleId="OpiPara">
    <w:name w:val="Opi_Para"/>
    <w:basedOn w:val="ECHRPara"/>
    <w:uiPriority w:val="46"/>
    <w:qFormat/>
    <w:rsid w:val="0041181B"/>
  </w:style>
  <w:style w:type="paragraph" w:customStyle="1" w:styleId="DecList">
    <w:name w:val="Dec_List"/>
    <w:basedOn w:val="Normale"/>
    <w:uiPriority w:val="9"/>
    <w:semiHidden/>
    <w:qFormat/>
    <w:rsid w:val="0041181B"/>
    <w:pPr>
      <w:spacing w:before="240"/>
      <w:ind w:left="284"/>
    </w:pPr>
  </w:style>
  <w:style w:type="paragraph" w:customStyle="1" w:styleId="ECHRTitleCentre3">
    <w:name w:val="ECHR_Title_Centre_3"/>
    <w:aliases w:val="Ju_H_Article"/>
    <w:basedOn w:val="Normale"/>
    <w:next w:val="ECHRParaQuote"/>
    <w:uiPriority w:val="27"/>
    <w:qFormat/>
    <w:rsid w:val="0041181B"/>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41181B"/>
    <w:pPr>
      <w:keepNext/>
      <w:keepLines/>
      <w:spacing w:after="240"/>
      <w:jc w:val="center"/>
      <w:outlineLvl w:val="0"/>
    </w:pPr>
    <w:rPr>
      <w:rFonts w:asciiTheme="majorHAnsi" w:hAnsiTheme="majorHAnsi"/>
      <w:sz w:val="28"/>
    </w:rPr>
  </w:style>
  <w:style w:type="paragraph" w:customStyle="1" w:styleId="DummyStyle">
    <w:name w:val="Dummy_Style"/>
    <w:basedOn w:val="Normale"/>
    <w:semiHidden/>
    <w:qFormat/>
    <w:rsid w:val="0041181B"/>
    <w:rPr>
      <w:color w:val="00B050"/>
    </w:rPr>
  </w:style>
  <w:style w:type="paragraph" w:customStyle="1" w:styleId="JuAppQuestion">
    <w:name w:val="Ju_App_Question"/>
    <w:basedOn w:val="Normale"/>
    <w:uiPriority w:val="5"/>
    <w:semiHidden/>
    <w:qFormat/>
    <w:rsid w:val="0041181B"/>
    <w:pPr>
      <w:numPr>
        <w:numId w:val="25"/>
      </w:numPr>
      <w:jc w:val="left"/>
    </w:pPr>
    <w:rPr>
      <w:b/>
    </w:rPr>
  </w:style>
  <w:style w:type="paragraph" w:customStyle="1" w:styleId="JuHeaderLandscape">
    <w:name w:val="Ju_Header_Landscape"/>
    <w:basedOn w:val="ECHRHeader"/>
    <w:uiPriority w:val="4"/>
    <w:qFormat/>
    <w:rsid w:val="0041181B"/>
    <w:pPr>
      <w:tabs>
        <w:tab w:val="clear" w:pos="3686"/>
        <w:tab w:val="clear" w:pos="7371"/>
        <w:tab w:val="center" w:pos="6146"/>
        <w:tab w:val="right" w:pos="12293"/>
      </w:tabs>
    </w:pPr>
  </w:style>
  <w:style w:type="paragraph" w:customStyle="1" w:styleId="ECHRTitleCentre2">
    <w:name w:val="ECHR_Title_Centre_2"/>
    <w:aliases w:val="Dec_H_Case"/>
    <w:basedOn w:val="Normale"/>
    <w:next w:val="ECHRPara"/>
    <w:uiPriority w:val="8"/>
    <w:qFormat/>
    <w:rsid w:val="0041181B"/>
    <w:pPr>
      <w:spacing w:after="240"/>
      <w:jc w:val="center"/>
      <w:outlineLvl w:val="0"/>
    </w:pPr>
    <w:rPr>
      <w:rFonts w:asciiTheme="majorHAnsi" w:hAnsiTheme="majorHAnsi"/>
    </w:rPr>
  </w:style>
  <w:style w:type="character" w:customStyle="1" w:styleId="JuITMark">
    <w:name w:val="Ju_ITMark"/>
    <w:basedOn w:val="Carpredefinitoparagrafo"/>
    <w:uiPriority w:val="38"/>
    <w:qFormat/>
    <w:rsid w:val="0041181B"/>
    <w:rPr>
      <w:vanish w:val="0"/>
      <w:color w:val="auto"/>
      <w:sz w:val="14"/>
      <w:bdr w:val="none" w:sz="0" w:space="0" w:color="auto"/>
      <w:shd w:val="clear" w:color="auto" w:fill="BEE5FF" w:themeFill="background1" w:themeFillTint="33"/>
    </w:rPr>
  </w:style>
  <w:style w:type="paragraph" w:styleId="Titolo">
    <w:name w:val="Title"/>
    <w:basedOn w:val="Normale"/>
    <w:next w:val="Normale"/>
    <w:link w:val="TitoloCarattere"/>
    <w:uiPriority w:val="99"/>
    <w:semiHidden/>
    <w:qFormat/>
    <w:rsid w:val="0041181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41181B"/>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41181B"/>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41181B"/>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41181B"/>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41181B"/>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41181B"/>
    <w:pPr>
      <w:keepNext/>
      <w:keepLines/>
      <w:spacing w:before="240" w:after="120"/>
      <w:ind w:left="1236"/>
    </w:pPr>
    <w:rPr>
      <w:sz w:val="20"/>
    </w:rPr>
  </w:style>
  <w:style w:type="paragraph" w:customStyle="1" w:styleId="JuQuotSub">
    <w:name w:val="Ju_Quot_Sub"/>
    <w:basedOn w:val="ECHRParaQuote"/>
    <w:uiPriority w:val="15"/>
    <w:qFormat/>
    <w:rsid w:val="0041181B"/>
    <w:pPr>
      <w:ind w:left="567"/>
    </w:pPr>
  </w:style>
  <w:style w:type="paragraph" w:customStyle="1" w:styleId="JuInitialled">
    <w:name w:val="Ju_Initialled"/>
    <w:basedOn w:val="Normale"/>
    <w:uiPriority w:val="31"/>
    <w:qFormat/>
    <w:rsid w:val="0041181B"/>
    <w:pPr>
      <w:tabs>
        <w:tab w:val="center" w:pos="6407"/>
      </w:tabs>
      <w:spacing w:before="720"/>
      <w:jc w:val="right"/>
    </w:pPr>
  </w:style>
  <w:style w:type="paragraph" w:customStyle="1" w:styleId="OpiHA">
    <w:name w:val="Opi_H_A"/>
    <w:basedOn w:val="ECHRHeading1"/>
    <w:next w:val="OpiPara"/>
    <w:uiPriority w:val="41"/>
    <w:qFormat/>
    <w:rsid w:val="0041181B"/>
    <w:pPr>
      <w:tabs>
        <w:tab w:val="clear" w:pos="357"/>
      </w:tabs>
      <w:outlineLvl w:val="1"/>
    </w:pPr>
    <w:rPr>
      <w:b/>
    </w:rPr>
  </w:style>
  <w:style w:type="paragraph" w:styleId="Intestazione">
    <w:name w:val="header"/>
    <w:basedOn w:val="Normale"/>
    <w:link w:val="IntestazioneCarattere"/>
    <w:uiPriority w:val="57"/>
    <w:semiHidden/>
    <w:rsid w:val="0041181B"/>
    <w:pPr>
      <w:tabs>
        <w:tab w:val="center" w:pos="4536"/>
        <w:tab w:val="right" w:pos="9072"/>
      </w:tabs>
    </w:pPr>
  </w:style>
  <w:style w:type="character" w:customStyle="1" w:styleId="IntestazioneCarattere">
    <w:name w:val="Intestazione Carattere"/>
    <w:basedOn w:val="Carpredefinitoparagrafo"/>
    <w:link w:val="Intestazione"/>
    <w:uiPriority w:val="57"/>
    <w:semiHidden/>
    <w:rsid w:val="0041181B"/>
    <w:rPr>
      <w:sz w:val="24"/>
    </w:rPr>
  </w:style>
  <w:style w:type="character" w:customStyle="1" w:styleId="Titolo1Carattere">
    <w:name w:val="Titolo 1 Carattere"/>
    <w:basedOn w:val="Carpredefinitoparagrafo"/>
    <w:link w:val="Titolo1"/>
    <w:uiPriority w:val="99"/>
    <w:semiHidden/>
    <w:rsid w:val="0041181B"/>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41181B"/>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41181B"/>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41181B"/>
    <w:rPr>
      <w:rFonts w:asciiTheme="majorHAnsi" w:eastAsiaTheme="majorEastAsia" w:hAnsiTheme="majorHAnsi" w:cstheme="majorBidi"/>
      <w:b/>
      <w:bCs/>
      <w:color w:val="4D4D4D"/>
      <w:sz w:val="26"/>
      <w:szCs w:val="26"/>
    </w:rPr>
  </w:style>
  <w:style w:type="character" w:customStyle="1" w:styleId="JUNAMES">
    <w:name w:val="JU_NAMES"/>
    <w:uiPriority w:val="17"/>
    <w:qFormat/>
    <w:rsid w:val="0041181B"/>
    <w:rPr>
      <w:caps w:val="0"/>
      <w:smallCaps/>
    </w:rPr>
  </w:style>
  <w:style w:type="paragraph" w:customStyle="1" w:styleId="ECHRDecisionBody">
    <w:name w:val="ECHR_Decision_Body"/>
    <w:aliases w:val="Ju_Judges"/>
    <w:basedOn w:val="Normale"/>
    <w:uiPriority w:val="11"/>
    <w:qFormat/>
    <w:rsid w:val="0041181B"/>
    <w:pPr>
      <w:tabs>
        <w:tab w:val="left" w:pos="567"/>
        <w:tab w:val="left" w:pos="1134"/>
      </w:tabs>
      <w:jc w:val="left"/>
    </w:pPr>
  </w:style>
  <w:style w:type="character" w:customStyle="1" w:styleId="Titolo3Carattere">
    <w:name w:val="Titolo 3 Carattere"/>
    <w:basedOn w:val="Carpredefinitoparagrafo"/>
    <w:link w:val="Titolo3"/>
    <w:uiPriority w:val="99"/>
    <w:semiHidden/>
    <w:rsid w:val="0041181B"/>
    <w:rPr>
      <w:rFonts w:asciiTheme="majorHAnsi" w:eastAsiaTheme="majorEastAsia" w:hAnsiTheme="majorHAnsi" w:cstheme="majorBidi"/>
      <w:b/>
      <w:bCs/>
      <w:color w:val="5F5F5F"/>
      <w:sz w:val="24"/>
    </w:rPr>
  </w:style>
  <w:style w:type="paragraph" w:customStyle="1" w:styleId="ECHRPara">
    <w:name w:val="ECHR_Para"/>
    <w:aliases w:val="Ju_Para"/>
    <w:basedOn w:val="Normale"/>
    <w:link w:val="JuParaCar"/>
    <w:uiPriority w:val="12"/>
    <w:qFormat/>
    <w:rsid w:val="0041181B"/>
    <w:pPr>
      <w:ind w:firstLine="284"/>
    </w:pPr>
  </w:style>
  <w:style w:type="character" w:customStyle="1" w:styleId="Titolo4Carattere">
    <w:name w:val="Titolo 4 Carattere"/>
    <w:basedOn w:val="Carpredefinitoparagrafo"/>
    <w:link w:val="Titolo4"/>
    <w:uiPriority w:val="99"/>
    <w:semiHidden/>
    <w:rsid w:val="0041181B"/>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41181B"/>
    <w:rPr>
      <w:rFonts w:asciiTheme="majorHAnsi" w:eastAsiaTheme="majorEastAsia" w:hAnsiTheme="majorHAnsi" w:cstheme="majorBidi"/>
      <w:b/>
      <w:bCs/>
      <w:color w:val="808080"/>
    </w:rPr>
  </w:style>
  <w:style w:type="character" w:styleId="Enfasidelicata">
    <w:name w:val="Subtle Emphasis"/>
    <w:uiPriority w:val="99"/>
    <w:semiHidden/>
    <w:qFormat/>
    <w:rsid w:val="0041181B"/>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41181B"/>
    <w:pPr>
      <w:keepNext/>
      <w:keepLines/>
      <w:spacing w:before="720" w:after="240"/>
      <w:outlineLvl w:val="0"/>
    </w:pPr>
    <w:rPr>
      <w:rFonts w:asciiTheme="majorHAnsi" w:hAnsiTheme="majorHAnsi"/>
      <w:sz w:val="28"/>
    </w:rPr>
  </w:style>
  <w:style w:type="character" w:styleId="Enfasicorsivo">
    <w:name w:val="Emphasis"/>
    <w:uiPriority w:val="99"/>
    <w:semiHidden/>
    <w:qFormat/>
    <w:rsid w:val="0041181B"/>
    <w:rPr>
      <w:b/>
      <w:bCs/>
      <w:i/>
      <w:iCs/>
      <w:spacing w:val="10"/>
      <w:bdr w:val="none" w:sz="0" w:space="0" w:color="auto"/>
      <w:shd w:val="clear" w:color="auto" w:fill="auto"/>
    </w:rPr>
  </w:style>
  <w:style w:type="paragraph" w:styleId="Pidipagina">
    <w:name w:val="footer"/>
    <w:basedOn w:val="Normale"/>
    <w:link w:val="PidipaginaCarattere"/>
    <w:uiPriority w:val="57"/>
    <w:semiHidden/>
    <w:rsid w:val="0041181B"/>
    <w:pPr>
      <w:tabs>
        <w:tab w:val="center" w:pos="4536"/>
        <w:tab w:val="right" w:pos="9696"/>
      </w:tabs>
      <w:ind w:left="-680" w:right="-680"/>
    </w:pPr>
  </w:style>
  <w:style w:type="character" w:customStyle="1" w:styleId="PidipaginaCarattere">
    <w:name w:val="Piè di pagina Carattere"/>
    <w:basedOn w:val="Carpredefinitoparagrafo"/>
    <w:link w:val="Pidipagina"/>
    <w:uiPriority w:val="57"/>
    <w:semiHidden/>
    <w:rsid w:val="0041181B"/>
    <w:rPr>
      <w:sz w:val="24"/>
    </w:rPr>
  </w:style>
  <w:style w:type="character" w:styleId="Rimandonotaapidipagina">
    <w:name w:val="footnote reference"/>
    <w:basedOn w:val="Carpredefinitoparagrafo"/>
    <w:uiPriority w:val="99"/>
    <w:semiHidden/>
    <w:rsid w:val="0041181B"/>
    <w:rPr>
      <w:vertAlign w:val="superscript"/>
    </w:rPr>
  </w:style>
  <w:style w:type="paragraph" w:styleId="Testonotaapidipagina">
    <w:name w:val="footnote text"/>
    <w:basedOn w:val="Normale"/>
    <w:link w:val="TestonotaapidipaginaCarattere"/>
    <w:uiPriority w:val="99"/>
    <w:semiHidden/>
    <w:rsid w:val="0041181B"/>
    <w:rPr>
      <w:sz w:val="20"/>
      <w:szCs w:val="20"/>
    </w:rPr>
  </w:style>
  <w:style w:type="character" w:customStyle="1" w:styleId="TestonotaapidipaginaCarattere">
    <w:name w:val="Testo nota a piè di pagina Carattere"/>
    <w:basedOn w:val="Carpredefinitoparagrafo"/>
    <w:link w:val="Testonotaapidipagina"/>
    <w:uiPriority w:val="99"/>
    <w:semiHidden/>
    <w:rsid w:val="0041181B"/>
    <w:rPr>
      <w:rFonts w:eastAsiaTheme="minorEastAsia"/>
      <w:sz w:val="20"/>
      <w:szCs w:val="20"/>
    </w:rPr>
  </w:style>
  <w:style w:type="character" w:customStyle="1" w:styleId="Titolo6Carattere">
    <w:name w:val="Titolo 6 Carattere"/>
    <w:basedOn w:val="Carpredefinitoparagrafo"/>
    <w:link w:val="Titolo6"/>
    <w:uiPriority w:val="99"/>
    <w:semiHidden/>
    <w:rsid w:val="0041181B"/>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41181B"/>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41181B"/>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41181B"/>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rsid w:val="0041181B"/>
    <w:rPr>
      <w:color w:val="0072BC" w:themeColor="hyperlink"/>
      <w:u w:val="single"/>
    </w:rPr>
  </w:style>
  <w:style w:type="character" w:styleId="Enfasiintensa">
    <w:name w:val="Intense Emphasis"/>
    <w:uiPriority w:val="99"/>
    <w:semiHidden/>
    <w:qFormat/>
    <w:rsid w:val="0041181B"/>
    <w:rPr>
      <w:b/>
      <w:bCs/>
    </w:rPr>
  </w:style>
  <w:style w:type="paragraph" w:styleId="Citazioneintensa">
    <w:name w:val="Intense Quote"/>
    <w:basedOn w:val="Normale"/>
    <w:next w:val="Normale"/>
    <w:link w:val="CitazioneintensaCarattere"/>
    <w:uiPriority w:val="99"/>
    <w:semiHidden/>
    <w:qFormat/>
    <w:rsid w:val="0041181B"/>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41181B"/>
    <w:rPr>
      <w:rFonts w:eastAsiaTheme="minorEastAsia"/>
      <w:b/>
      <w:bCs/>
      <w:i/>
      <w:iCs/>
      <w:lang w:bidi="en-US"/>
    </w:rPr>
  </w:style>
  <w:style w:type="character" w:styleId="Riferimentointenso">
    <w:name w:val="Intense Reference"/>
    <w:uiPriority w:val="99"/>
    <w:semiHidden/>
    <w:qFormat/>
    <w:rsid w:val="0041181B"/>
    <w:rPr>
      <w:smallCaps/>
      <w:spacing w:val="5"/>
      <w:u w:val="single"/>
    </w:rPr>
  </w:style>
  <w:style w:type="paragraph" w:styleId="Paragrafoelenco">
    <w:name w:val="List Paragraph"/>
    <w:basedOn w:val="Normale"/>
    <w:uiPriority w:val="99"/>
    <w:semiHidden/>
    <w:qFormat/>
    <w:rsid w:val="0041181B"/>
    <w:pPr>
      <w:ind w:left="720"/>
      <w:contextualSpacing/>
    </w:pPr>
  </w:style>
  <w:style w:type="table" w:customStyle="1" w:styleId="LtrTableAddress">
    <w:name w:val="Ltr_Table_Address"/>
    <w:basedOn w:val="Tabellanormale"/>
    <w:uiPriority w:val="99"/>
    <w:rsid w:val="001E6F32"/>
    <w:tblPr>
      <w:tblInd w:w="5103" w:type="dxa"/>
      <w:tblCellMar>
        <w:top w:w="0" w:type="dxa"/>
        <w:left w:w="108" w:type="dxa"/>
        <w:bottom w:w="0" w:type="dxa"/>
        <w:right w:w="108" w:type="dxa"/>
      </w:tblCellMar>
    </w:tblPr>
  </w:style>
  <w:style w:type="paragraph" w:styleId="Citazione">
    <w:name w:val="Quote"/>
    <w:basedOn w:val="Normale"/>
    <w:next w:val="Normale"/>
    <w:link w:val="CitazioneCarattere"/>
    <w:uiPriority w:val="99"/>
    <w:semiHidden/>
    <w:qFormat/>
    <w:rsid w:val="0041181B"/>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41181B"/>
    <w:rPr>
      <w:rFonts w:eastAsiaTheme="minorEastAsia"/>
      <w:i/>
      <w:iCs/>
      <w:lang w:bidi="en-US"/>
    </w:rPr>
  </w:style>
  <w:style w:type="character" w:styleId="Riferimentodelicato">
    <w:name w:val="Subtle Reference"/>
    <w:uiPriority w:val="99"/>
    <w:semiHidden/>
    <w:qFormat/>
    <w:rsid w:val="0041181B"/>
    <w:rPr>
      <w:smallCaps/>
    </w:rPr>
  </w:style>
  <w:style w:type="table" w:styleId="Grigliatabella">
    <w:name w:val="Table Grid"/>
    <w:basedOn w:val="Tabellanormale"/>
    <w:uiPriority w:val="59"/>
    <w:semiHidden/>
    <w:rsid w:val="0041181B"/>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1">
    <w:name w:val="toc 1"/>
    <w:basedOn w:val="Normale"/>
    <w:next w:val="Normale"/>
    <w:autoRedefine/>
    <w:uiPriority w:val="39"/>
    <w:rsid w:val="0041181B"/>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39"/>
    <w:rsid w:val="0041181B"/>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39"/>
    <w:rsid w:val="0041181B"/>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41181B"/>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41181B"/>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41181B"/>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ellanormale"/>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41181B"/>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41181B"/>
    <w:pPr>
      <w:spacing w:before="120" w:after="120"/>
      <w:ind w:left="425" w:firstLine="142"/>
    </w:pPr>
    <w:rPr>
      <w:sz w:val="20"/>
    </w:rPr>
  </w:style>
  <w:style w:type="table" w:customStyle="1" w:styleId="ECHRTableSimpleBox">
    <w:name w:val="ECHR_Table_Simple_Box"/>
    <w:basedOn w:val="Tabellanormale"/>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ellanormale"/>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41181B"/>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41181B"/>
    <w:pPr>
      <w:tabs>
        <w:tab w:val="center" w:pos="851"/>
        <w:tab w:val="center" w:pos="6407"/>
      </w:tabs>
      <w:spacing w:before="720"/>
      <w:jc w:val="left"/>
    </w:pPr>
  </w:style>
  <w:style w:type="paragraph" w:customStyle="1" w:styleId="JuParaLast">
    <w:name w:val="Ju_Para_Last"/>
    <w:basedOn w:val="Normale"/>
    <w:next w:val="ECHRPara"/>
    <w:uiPriority w:val="30"/>
    <w:qFormat/>
    <w:rsid w:val="0041181B"/>
    <w:pPr>
      <w:keepNext/>
      <w:keepLines/>
      <w:spacing w:before="240"/>
      <w:ind w:firstLine="284"/>
    </w:pPr>
  </w:style>
  <w:style w:type="paragraph" w:customStyle="1" w:styleId="JuCase">
    <w:name w:val="Ju_Case"/>
    <w:basedOn w:val="Normale"/>
    <w:next w:val="ECHRPara"/>
    <w:uiPriority w:val="10"/>
    <w:rsid w:val="0041181B"/>
    <w:pPr>
      <w:ind w:firstLine="284"/>
    </w:pPr>
    <w:rPr>
      <w:b/>
    </w:rPr>
  </w:style>
  <w:style w:type="paragraph" w:customStyle="1" w:styleId="JuList">
    <w:name w:val="Ju_List"/>
    <w:basedOn w:val="Normale"/>
    <w:uiPriority w:val="28"/>
    <w:qFormat/>
    <w:rsid w:val="0041181B"/>
    <w:pPr>
      <w:ind w:left="340" w:hanging="340"/>
    </w:pPr>
  </w:style>
  <w:style w:type="paragraph" w:customStyle="1" w:styleId="OpiTranslation">
    <w:name w:val="Opi_Translation"/>
    <w:basedOn w:val="Normale"/>
    <w:next w:val="OpiPara"/>
    <w:uiPriority w:val="40"/>
    <w:qFormat/>
    <w:rsid w:val="0041181B"/>
    <w:pPr>
      <w:jc w:val="center"/>
      <w:outlineLvl w:val="0"/>
    </w:pPr>
    <w:rPr>
      <w:i/>
    </w:rPr>
  </w:style>
  <w:style w:type="character" w:styleId="Numeropagina">
    <w:name w:val="page number"/>
    <w:semiHidden/>
    <w:rsid w:val="00E77CB3"/>
    <w:rPr>
      <w:rFonts w:ascii="Times New Roman" w:hAnsi="Times New Roman" w:cs="Times New Roman"/>
      <w:sz w:val="18"/>
    </w:rPr>
  </w:style>
  <w:style w:type="paragraph" w:customStyle="1" w:styleId="JuLista">
    <w:name w:val="Ju_List_a"/>
    <w:basedOn w:val="JuList"/>
    <w:uiPriority w:val="28"/>
    <w:qFormat/>
    <w:rsid w:val="0041181B"/>
    <w:pPr>
      <w:ind w:left="346" w:firstLine="0"/>
    </w:pPr>
  </w:style>
  <w:style w:type="paragraph" w:customStyle="1" w:styleId="JuListi">
    <w:name w:val="Ju_List_i"/>
    <w:basedOn w:val="Normale"/>
    <w:next w:val="JuLista"/>
    <w:uiPriority w:val="28"/>
    <w:qFormat/>
    <w:rsid w:val="0041181B"/>
    <w:pPr>
      <w:ind w:left="794"/>
    </w:pPr>
  </w:style>
  <w:style w:type="character" w:styleId="Rimandocommento">
    <w:name w:val="annotation reference"/>
    <w:semiHidden/>
    <w:rsid w:val="00E77CB3"/>
    <w:rPr>
      <w:sz w:val="16"/>
    </w:rPr>
  </w:style>
  <w:style w:type="paragraph" w:styleId="Testocommento">
    <w:name w:val="annotation text"/>
    <w:basedOn w:val="Normale"/>
    <w:link w:val="TestocommentoCarattere"/>
    <w:semiHidden/>
    <w:rsid w:val="00E77CB3"/>
    <w:rPr>
      <w:sz w:val="20"/>
    </w:rPr>
  </w:style>
  <w:style w:type="character" w:customStyle="1" w:styleId="TestocommentoCarattere">
    <w:name w:val="Testo commento Carattere"/>
    <w:basedOn w:val="Carpredefinitoparagrafo"/>
    <w:link w:val="Testocommento"/>
    <w:semiHidden/>
    <w:rsid w:val="00E77CB3"/>
    <w:rPr>
      <w:rFonts w:eastAsiaTheme="minorEastAsia"/>
      <w:sz w:val="20"/>
    </w:rPr>
  </w:style>
  <w:style w:type="character" w:styleId="Rimandonotadichiusura">
    <w:name w:val="endnote reference"/>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semiHidden/>
    <w:rsid w:val="00E77CB3"/>
    <w:rPr>
      <w:rFonts w:ascii="Times New Roman" w:hAnsi="Times New Roman" w:cs="Times New Roman"/>
      <w:color w:val="800080"/>
      <w:u w:val="single"/>
    </w:rPr>
  </w:style>
  <w:style w:type="paragraph" w:styleId="Puntoelenco">
    <w:name w:val="List Bullet"/>
    <w:basedOn w:val="Normale"/>
    <w:semiHidden/>
    <w:rsid w:val="00E77CB3"/>
    <w:pPr>
      <w:numPr>
        <w:numId w:val="1"/>
      </w:numPr>
    </w:pPr>
  </w:style>
  <w:style w:type="paragraph" w:customStyle="1" w:styleId="JuParaSub">
    <w:name w:val="Ju_Para_Sub"/>
    <w:basedOn w:val="ECHRPara"/>
    <w:uiPriority w:val="13"/>
    <w:qFormat/>
    <w:rsid w:val="0041181B"/>
    <w:pPr>
      <w:ind w:left="284"/>
    </w:pPr>
  </w:style>
  <w:style w:type="paragraph" w:styleId="Soggettocommento">
    <w:name w:val="annotation subject"/>
    <w:basedOn w:val="Testocommento"/>
    <w:next w:val="Testocommento"/>
    <w:link w:val="SoggettocommentoCarattere"/>
    <w:semiHidden/>
    <w:rsid w:val="00E77CB3"/>
    <w:rPr>
      <w:b/>
      <w:bCs/>
    </w:rPr>
  </w:style>
  <w:style w:type="character" w:customStyle="1" w:styleId="SoggettocommentoCarattere">
    <w:name w:val="Soggetto commento Carattere"/>
    <w:basedOn w:val="TestocommentoCarattere"/>
    <w:link w:val="Soggettocommento"/>
    <w:semiHidden/>
    <w:rsid w:val="00E77CB3"/>
    <w:rPr>
      <w:rFonts w:eastAsiaTheme="minorEastAsia"/>
      <w:b/>
      <w:bCs/>
      <w:sz w:val="20"/>
    </w:rPr>
  </w:style>
  <w:style w:type="paragraph" w:styleId="Mappadocumento">
    <w:name w:val="Document Map"/>
    <w:basedOn w:val="Normale"/>
    <w:link w:val="MappadocumentoCarattere"/>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semiHidden/>
    <w:rsid w:val="00E77CB3"/>
    <w:rPr>
      <w:rFonts w:ascii="Tahoma" w:eastAsiaTheme="minorEastAsia" w:hAnsi="Tahoma" w:cs="Tahoma"/>
      <w:sz w:val="20"/>
      <w:shd w:val="clear" w:color="auto" w:fill="000080"/>
    </w:rPr>
  </w:style>
  <w:style w:type="paragraph" w:customStyle="1" w:styleId="JuTitle">
    <w:name w:val="Ju_Title"/>
    <w:basedOn w:val="Normale"/>
    <w:next w:val="ECHRPara"/>
    <w:uiPriority w:val="3"/>
    <w:semiHidden/>
    <w:qFormat/>
    <w:rsid w:val="0041181B"/>
    <w:pPr>
      <w:spacing w:before="720" w:after="240"/>
      <w:jc w:val="center"/>
      <w:outlineLvl w:val="0"/>
    </w:pPr>
    <w:rPr>
      <w:rFonts w:asciiTheme="majorHAnsi" w:hAnsiTheme="majorHAnsi"/>
      <w:b/>
      <w:caps/>
    </w:rPr>
  </w:style>
  <w:style w:type="paragraph" w:styleId="Sottotitolo">
    <w:name w:val="Subtitle"/>
    <w:basedOn w:val="Normale"/>
    <w:next w:val="Normale"/>
    <w:link w:val="SottotitoloCarattere"/>
    <w:uiPriority w:val="99"/>
    <w:semiHidden/>
    <w:qFormat/>
    <w:rsid w:val="0041181B"/>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41181B"/>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41181B"/>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E77CB3"/>
    <w:pPr>
      <w:jc w:val="both"/>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E77CB3"/>
    <w:pPr>
      <w:jc w:val="both"/>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E77CB3"/>
    <w:pPr>
      <w:jc w:val="both"/>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E77CB3"/>
    <w:pPr>
      <w:jc w:val="both"/>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E77CB3"/>
    <w:pPr>
      <w:jc w:val="both"/>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E77CB3"/>
    <w:pPr>
      <w:jc w:val="both"/>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E77CB3"/>
    <w:pPr>
      <w:jc w:val="both"/>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E77CB3"/>
    <w:pPr>
      <w:jc w:val="both"/>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E77CB3"/>
    <w:pPr>
      <w:jc w:val="both"/>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uiPriority w:val="99"/>
    <w:semiHidden/>
    <w:rsid w:val="00E77CB3"/>
    <w:pPr>
      <w:jc w:val="both"/>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41181B"/>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41181B"/>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OpiHa0">
    <w:name w:val="Opi_H_a"/>
    <w:basedOn w:val="ECHRHeading3"/>
    <w:uiPriority w:val="43"/>
    <w:qFormat/>
    <w:rsid w:val="0041181B"/>
    <w:pPr>
      <w:ind w:left="833" w:hanging="357"/>
      <w:outlineLvl w:val="3"/>
    </w:pPr>
    <w:rPr>
      <w:b/>
      <w:i w:val="0"/>
      <w:sz w:val="20"/>
    </w:rPr>
  </w:style>
  <w:style w:type="paragraph" w:customStyle="1" w:styleId="JuCourt">
    <w:name w:val="Ju_Court"/>
    <w:basedOn w:val="Normale"/>
    <w:next w:val="Normale"/>
    <w:uiPriority w:val="16"/>
    <w:qFormat/>
    <w:rsid w:val="0041181B"/>
    <w:pPr>
      <w:tabs>
        <w:tab w:val="left" w:pos="907"/>
        <w:tab w:val="left" w:pos="1701"/>
        <w:tab w:val="right" w:pos="7371"/>
      </w:tabs>
      <w:spacing w:before="240"/>
      <w:ind w:left="397" w:hanging="397"/>
      <w:jc w:val="left"/>
    </w:pPr>
    <w:rPr>
      <w:lang w:bidi="en-US"/>
    </w:rPr>
  </w:style>
  <w:style w:type="paragraph" w:customStyle="1" w:styleId="OpiHi">
    <w:name w:val="Opi_H_i"/>
    <w:basedOn w:val="ECHRHeading4"/>
    <w:uiPriority w:val="44"/>
    <w:qFormat/>
    <w:rsid w:val="0041181B"/>
    <w:pPr>
      <w:ind w:left="1037" w:hanging="357"/>
      <w:outlineLvl w:val="4"/>
    </w:pPr>
    <w:rPr>
      <w:b w:val="0"/>
      <w:i/>
    </w:rPr>
  </w:style>
  <w:style w:type="paragraph" w:customStyle="1" w:styleId="OpiH1">
    <w:name w:val="Opi_H_1"/>
    <w:basedOn w:val="ECHRHeading2"/>
    <w:uiPriority w:val="42"/>
    <w:qFormat/>
    <w:rsid w:val="0041181B"/>
    <w:pPr>
      <w:ind w:left="635" w:hanging="357"/>
      <w:outlineLvl w:val="2"/>
    </w:pPr>
  </w:style>
  <w:style w:type="paragraph" w:customStyle="1" w:styleId="OpiParaSub">
    <w:name w:val="Opi_Para_Sub"/>
    <w:basedOn w:val="JuParaSub"/>
    <w:uiPriority w:val="47"/>
    <w:qFormat/>
    <w:rsid w:val="0041181B"/>
  </w:style>
  <w:style w:type="paragraph" w:customStyle="1" w:styleId="OpiQuot">
    <w:name w:val="Opi_Quot"/>
    <w:basedOn w:val="ECHRParaQuote"/>
    <w:uiPriority w:val="48"/>
    <w:qFormat/>
    <w:rsid w:val="0041181B"/>
  </w:style>
  <w:style w:type="paragraph" w:customStyle="1" w:styleId="OpiQuotSub">
    <w:name w:val="Opi_Quot_Sub"/>
    <w:basedOn w:val="JuQuotSub"/>
    <w:uiPriority w:val="49"/>
    <w:qFormat/>
    <w:rsid w:val="0041181B"/>
  </w:style>
  <w:style w:type="paragraph" w:styleId="Revisione">
    <w:name w:val="Revision"/>
    <w:hidden/>
    <w:uiPriority w:val="99"/>
    <w:semiHidden/>
    <w:rsid w:val="001F576E"/>
    <w:rPr>
      <w:rFonts w:eastAsiaTheme="minorEastAsia"/>
      <w:sz w:val="24"/>
    </w:rPr>
  </w:style>
  <w:style w:type="character" w:customStyle="1" w:styleId="JuParaCar">
    <w:name w:val="Ju_Para Car"/>
    <w:link w:val="ECHRPara"/>
    <w:uiPriority w:val="12"/>
    <w:rsid w:val="004E3440"/>
    <w:rPr>
      <w:rFonts w:eastAsiaTheme="minorEastAsia"/>
      <w:sz w:val="24"/>
    </w:rPr>
  </w:style>
  <w:style w:type="paragraph" w:customStyle="1" w:styleId="ECHRParaSpaced">
    <w:name w:val="ECHR_Para_Spaced"/>
    <w:aliases w:val="Para_Spaced"/>
    <w:basedOn w:val="Normale"/>
    <w:uiPriority w:val="5"/>
    <w:rsid w:val="00D33C14"/>
    <w:pPr>
      <w:spacing w:before="120" w:after="120"/>
    </w:pPr>
    <w:rPr>
      <w:rFonts w:eastAsia="Cambria"/>
      <w:sz w:val="22"/>
    </w:rPr>
  </w:style>
  <w:style w:type="character" w:customStyle="1" w:styleId="sb8d990e2">
    <w:name w:val="sb8d990e2"/>
    <w:basedOn w:val="Carpredefinitoparagrafo"/>
    <w:rsid w:val="00080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288">
      <w:bodyDiv w:val="1"/>
      <w:marLeft w:val="0"/>
      <w:marRight w:val="0"/>
      <w:marTop w:val="0"/>
      <w:marBottom w:val="0"/>
      <w:divBdr>
        <w:top w:val="none" w:sz="0" w:space="0" w:color="auto"/>
        <w:left w:val="none" w:sz="0" w:space="0" w:color="auto"/>
        <w:bottom w:val="none" w:sz="0" w:space="0" w:color="auto"/>
        <w:right w:val="none" w:sz="0" w:space="0" w:color="auto"/>
      </w:divBdr>
      <w:divsChild>
        <w:div w:id="146096486">
          <w:marLeft w:val="0"/>
          <w:marRight w:val="0"/>
          <w:marTop w:val="0"/>
          <w:marBottom w:val="0"/>
          <w:divBdr>
            <w:top w:val="none" w:sz="0" w:space="0" w:color="auto"/>
            <w:left w:val="none" w:sz="0" w:space="0" w:color="auto"/>
            <w:bottom w:val="none" w:sz="0" w:space="0" w:color="auto"/>
            <w:right w:val="none" w:sz="0" w:space="0" w:color="auto"/>
          </w:divBdr>
          <w:divsChild>
            <w:div w:id="1831409055">
              <w:marLeft w:val="0"/>
              <w:marRight w:val="0"/>
              <w:marTop w:val="0"/>
              <w:marBottom w:val="0"/>
              <w:divBdr>
                <w:top w:val="none" w:sz="0" w:space="0" w:color="auto"/>
                <w:left w:val="none" w:sz="0" w:space="0" w:color="auto"/>
                <w:bottom w:val="none" w:sz="0" w:space="0" w:color="auto"/>
                <w:right w:val="none" w:sz="0" w:space="0" w:color="auto"/>
              </w:divBdr>
              <w:divsChild>
                <w:div w:id="552887956">
                  <w:marLeft w:val="0"/>
                  <w:marRight w:val="0"/>
                  <w:marTop w:val="0"/>
                  <w:marBottom w:val="0"/>
                  <w:divBdr>
                    <w:top w:val="none" w:sz="0" w:space="0" w:color="auto"/>
                    <w:left w:val="none" w:sz="0" w:space="0" w:color="auto"/>
                    <w:bottom w:val="none" w:sz="0" w:space="0" w:color="auto"/>
                    <w:right w:val="none" w:sz="0" w:space="0" w:color="auto"/>
                  </w:divBdr>
                  <w:divsChild>
                    <w:div w:id="1524515969">
                      <w:marLeft w:val="0"/>
                      <w:marRight w:val="0"/>
                      <w:marTop w:val="0"/>
                      <w:marBottom w:val="0"/>
                      <w:divBdr>
                        <w:top w:val="none" w:sz="0" w:space="0" w:color="auto"/>
                        <w:left w:val="none" w:sz="0" w:space="0" w:color="auto"/>
                        <w:bottom w:val="none" w:sz="0" w:space="0" w:color="auto"/>
                        <w:right w:val="none" w:sz="0" w:space="0" w:color="auto"/>
                      </w:divBdr>
                      <w:divsChild>
                        <w:div w:id="1917090180">
                          <w:marLeft w:val="0"/>
                          <w:marRight w:val="0"/>
                          <w:marTop w:val="0"/>
                          <w:marBottom w:val="0"/>
                          <w:divBdr>
                            <w:top w:val="none" w:sz="0" w:space="0" w:color="auto"/>
                            <w:left w:val="none" w:sz="0" w:space="0" w:color="auto"/>
                            <w:bottom w:val="none" w:sz="0" w:space="0" w:color="auto"/>
                            <w:right w:val="none" w:sz="0" w:space="0" w:color="auto"/>
                          </w:divBdr>
                          <w:divsChild>
                            <w:div w:id="11719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11244">
      <w:bodyDiv w:val="1"/>
      <w:marLeft w:val="0"/>
      <w:marRight w:val="0"/>
      <w:marTop w:val="0"/>
      <w:marBottom w:val="0"/>
      <w:divBdr>
        <w:top w:val="none" w:sz="0" w:space="0" w:color="auto"/>
        <w:left w:val="none" w:sz="0" w:space="0" w:color="auto"/>
        <w:bottom w:val="none" w:sz="0" w:space="0" w:color="auto"/>
        <w:right w:val="none" w:sz="0" w:space="0" w:color="auto"/>
      </w:divBdr>
    </w:div>
    <w:div w:id="111363418">
      <w:bodyDiv w:val="1"/>
      <w:marLeft w:val="0"/>
      <w:marRight w:val="0"/>
      <w:marTop w:val="0"/>
      <w:marBottom w:val="0"/>
      <w:divBdr>
        <w:top w:val="none" w:sz="0" w:space="0" w:color="auto"/>
        <w:left w:val="none" w:sz="0" w:space="0" w:color="auto"/>
        <w:bottom w:val="none" w:sz="0" w:space="0" w:color="auto"/>
        <w:right w:val="none" w:sz="0" w:space="0" w:color="auto"/>
      </w:divBdr>
      <w:divsChild>
        <w:div w:id="1763989273">
          <w:marLeft w:val="0"/>
          <w:marRight w:val="0"/>
          <w:marTop w:val="0"/>
          <w:marBottom w:val="0"/>
          <w:divBdr>
            <w:top w:val="none" w:sz="0" w:space="0" w:color="auto"/>
            <w:left w:val="none" w:sz="0" w:space="0" w:color="auto"/>
            <w:bottom w:val="none" w:sz="0" w:space="0" w:color="auto"/>
            <w:right w:val="none" w:sz="0" w:space="0" w:color="auto"/>
          </w:divBdr>
          <w:divsChild>
            <w:div w:id="492068259">
              <w:marLeft w:val="0"/>
              <w:marRight w:val="0"/>
              <w:marTop w:val="0"/>
              <w:marBottom w:val="0"/>
              <w:divBdr>
                <w:top w:val="none" w:sz="0" w:space="0" w:color="auto"/>
                <w:left w:val="none" w:sz="0" w:space="0" w:color="auto"/>
                <w:bottom w:val="none" w:sz="0" w:space="0" w:color="auto"/>
                <w:right w:val="none" w:sz="0" w:space="0" w:color="auto"/>
              </w:divBdr>
              <w:divsChild>
                <w:div w:id="1382749713">
                  <w:marLeft w:val="0"/>
                  <w:marRight w:val="0"/>
                  <w:marTop w:val="0"/>
                  <w:marBottom w:val="0"/>
                  <w:divBdr>
                    <w:top w:val="none" w:sz="0" w:space="0" w:color="auto"/>
                    <w:left w:val="none" w:sz="0" w:space="0" w:color="auto"/>
                    <w:bottom w:val="none" w:sz="0" w:space="0" w:color="auto"/>
                    <w:right w:val="none" w:sz="0" w:space="0" w:color="auto"/>
                  </w:divBdr>
                  <w:divsChild>
                    <w:div w:id="787549797">
                      <w:marLeft w:val="0"/>
                      <w:marRight w:val="0"/>
                      <w:marTop w:val="0"/>
                      <w:marBottom w:val="0"/>
                      <w:divBdr>
                        <w:top w:val="none" w:sz="0" w:space="0" w:color="auto"/>
                        <w:left w:val="none" w:sz="0" w:space="0" w:color="auto"/>
                        <w:bottom w:val="none" w:sz="0" w:space="0" w:color="auto"/>
                        <w:right w:val="none" w:sz="0" w:space="0" w:color="auto"/>
                      </w:divBdr>
                      <w:divsChild>
                        <w:div w:id="1976401093">
                          <w:marLeft w:val="0"/>
                          <w:marRight w:val="0"/>
                          <w:marTop w:val="0"/>
                          <w:marBottom w:val="0"/>
                          <w:divBdr>
                            <w:top w:val="none" w:sz="0" w:space="0" w:color="auto"/>
                            <w:left w:val="none" w:sz="0" w:space="0" w:color="auto"/>
                            <w:bottom w:val="none" w:sz="0" w:space="0" w:color="auto"/>
                            <w:right w:val="none" w:sz="0" w:space="0" w:color="auto"/>
                          </w:divBdr>
                          <w:divsChild>
                            <w:div w:id="1659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69789">
      <w:bodyDiv w:val="1"/>
      <w:marLeft w:val="0"/>
      <w:marRight w:val="0"/>
      <w:marTop w:val="0"/>
      <w:marBottom w:val="0"/>
      <w:divBdr>
        <w:top w:val="none" w:sz="0" w:space="0" w:color="auto"/>
        <w:left w:val="none" w:sz="0" w:space="0" w:color="auto"/>
        <w:bottom w:val="none" w:sz="0" w:space="0" w:color="auto"/>
        <w:right w:val="none" w:sz="0" w:space="0" w:color="auto"/>
      </w:divBdr>
      <w:divsChild>
        <w:div w:id="1680346960">
          <w:marLeft w:val="0"/>
          <w:marRight w:val="0"/>
          <w:marTop w:val="0"/>
          <w:marBottom w:val="0"/>
          <w:divBdr>
            <w:top w:val="none" w:sz="0" w:space="0" w:color="auto"/>
            <w:left w:val="none" w:sz="0" w:space="0" w:color="auto"/>
            <w:bottom w:val="none" w:sz="0" w:space="0" w:color="auto"/>
            <w:right w:val="none" w:sz="0" w:space="0" w:color="auto"/>
          </w:divBdr>
          <w:divsChild>
            <w:div w:id="1535537436">
              <w:marLeft w:val="0"/>
              <w:marRight w:val="0"/>
              <w:marTop w:val="0"/>
              <w:marBottom w:val="0"/>
              <w:divBdr>
                <w:top w:val="none" w:sz="0" w:space="0" w:color="auto"/>
                <w:left w:val="none" w:sz="0" w:space="0" w:color="auto"/>
                <w:bottom w:val="none" w:sz="0" w:space="0" w:color="auto"/>
                <w:right w:val="none" w:sz="0" w:space="0" w:color="auto"/>
              </w:divBdr>
              <w:divsChild>
                <w:div w:id="1787581902">
                  <w:marLeft w:val="0"/>
                  <w:marRight w:val="0"/>
                  <w:marTop w:val="0"/>
                  <w:marBottom w:val="0"/>
                  <w:divBdr>
                    <w:top w:val="none" w:sz="0" w:space="0" w:color="auto"/>
                    <w:left w:val="none" w:sz="0" w:space="0" w:color="auto"/>
                    <w:bottom w:val="none" w:sz="0" w:space="0" w:color="auto"/>
                    <w:right w:val="none" w:sz="0" w:space="0" w:color="auto"/>
                  </w:divBdr>
                  <w:divsChild>
                    <w:div w:id="873998205">
                      <w:marLeft w:val="0"/>
                      <w:marRight w:val="0"/>
                      <w:marTop w:val="0"/>
                      <w:marBottom w:val="0"/>
                      <w:divBdr>
                        <w:top w:val="none" w:sz="0" w:space="0" w:color="auto"/>
                        <w:left w:val="none" w:sz="0" w:space="0" w:color="auto"/>
                        <w:bottom w:val="none" w:sz="0" w:space="0" w:color="auto"/>
                        <w:right w:val="none" w:sz="0" w:space="0" w:color="auto"/>
                      </w:divBdr>
                      <w:divsChild>
                        <w:div w:id="1051147736">
                          <w:marLeft w:val="0"/>
                          <w:marRight w:val="0"/>
                          <w:marTop w:val="0"/>
                          <w:marBottom w:val="0"/>
                          <w:divBdr>
                            <w:top w:val="none" w:sz="0" w:space="0" w:color="auto"/>
                            <w:left w:val="none" w:sz="0" w:space="0" w:color="auto"/>
                            <w:bottom w:val="none" w:sz="0" w:space="0" w:color="auto"/>
                            <w:right w:val="none" w:sz="0" w:space="0" w:color="auto"/>
                          </w:divBdr>
                          <w:divsChild>
                            <w:div w:id="18971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28836">
      <w:bodyDiv w:val="1"/>
      <w:marLeft w:val="0"/>
      <w:marRight w:val="0"/>
      <w:marTop w:val="0"/>
      <w:marBottom w:val="0"/>
      <w:divBdr>
        <w:top w:val="none" w:sz="0" w:space="0" w:color="auto"/>
        <w:left w:val="none" w:sz="0" w:space="0" w:color="auto"/>
        <w:bottom w:val="none" w:sz="0" w:space="0" w:color="auto"/>
        <w:right w:val="none" w:sz="0" w:space="0" w:color="auto"/>
      </w:divBdr>
      <w:divsChild>
        <w:div w:id="668951286">
          <w:marLeft w:val="0"/>
          <w:marRight w:val="0"/>
          <w:marTop w:val="0"/>
          <w:marBottom w:val="0"/>
          <w:divBdr>
            <w:top w:val="none" w:sz="0" w:space="0" w:color="auto"/>
            <w:left w:val="none" w:sz="0" w:space="0" w:color="auto"/>
            <w:bottom w:val="none" w:sz="0" w:space="0" w:color="auto"/>
            <w:right w:val="none" w:sz="0" w:space="0" w:color="auto"/>
          </w:divBdr>
          <w:divsChild>
            <w:div w:id="1103693292">
              <w:marLeft w:val="0"/>
              <w:marRight w:val="0"/>
              <w:marTop w:val="0"/>
              <w:marBottom w:val="0"/>
              <w:divBdr>
                <w:top w:val="none" w:sz="0" w:space="0" w:color="auto"/>
                <w:left w:val="none" w:sz="0" w:space="0" w:color="auto"/>
                <w:bottom w:val="none" w:sz="0" w:space="0" w:color="auto"/>
                <w:right w:val="none" w:sz="0" w:space="0" w:color="auto"/>
              </w:divBdr>
              <w:divsChild>
                <w:div w:id="1565943667">
                  <w:marLeft w:val="0"/>
                  <w:marRight w:val="0"/>
                  <w:marTop w:val="0"/>
                  <w:marBottom w:val="0"/>
                  <w:divBdr>
                    <w:top w:val="none" w:sz="0" w:space="0" w:color="auto"/>
                    <w:left w:val="none" w:sz="0" w:space="0" w:color="auto"/>
                    <w:bottom w:val="none" w:sz="0" w:space="0" w:color="auto"/>
                    <w:right w:val="none" w:sz="0" w:space="0" w:color="auto"/>
                  </w:divBdr>
                  <w:divsChild>
                    <w:div w:id="1121536281">
                      <w:marLeft w:val="0"/>
                      <w:marRight w:val="0"/>
                      <w:marTop w:val="0"/>
                      <w:marBottom w:val="0"/>
                      <w:divBdr>
                        <w:top w:val="none" w:sz="0" w:space="0" w:color="auto"/>
                        <w:left w:val="none" w:sz="0" w:space="0" w:color="auto"/>
                        <w:bottom w:val="none" w:sz="0" w:space="0" w:color="auto"/>
                        <w:right w:val="none" w:sz="0" w:space="0" w:color="auto"/>
                      </w:divBdr>
                      <w:divsChild>
                        <w:div w:id="35738074">
                          <w:marLeft w:val="0"/>
                          <w:marRight w:val="0"/>
                          <w:marTop w:val="0"/>
                          <w:marBottom w:val="0"/>
                          <w:divBdr>
                            <w:top w:val="none" w:sz="0" w:space="0" w:color="auto"/>
                            <w:left w:val="none" w:sz="0" w:space="0" w:color="auto"/>
                            <w:bottom w:val="none" w:sz="0" w:space="0" w:color="auto"/>
                            <w:right w:val="none" w:sz="0" w:space="0" w:color="auto"/>
                          </w:divBdr>
                          <w:divsChild>
                            <w:div w:id="16290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872606">
      <w:bodyDiv w:val="1"/>
      <w:marLeft w:val="0"/>
      <w:marRight w:val="0"/>
      <w:marTop w:val="0"/>
      <w:marBottom w:val="0"/>
      <w:divBdr>
        <w:top w:val="none" w:sz="0" w:space="0" w:color="auto"/>
        <w:left w:val="none" w:sz="0" w:space="0" w:color="auto"/>
        <w:bottom w:val="none" w:sz="0" w:space="0" w:color="auto"/>
        <w:right w:val="none" w:sz="0" w:space="0" w:color="auto"/>
      </w:divBdr>
      <w:divsChild>
        <w:div w:id="196046676">
          <w:marLeft w:val="0"/>
          <w:marRight w:val="0"/>
          <w:marTop w:val="0"/>
          <w:marBottom w:val="0"/>
          <w:divBdr>
            <w:top w:val="none" w:sz="0" w:space="0" w:color="auto"/>
            <w:left w:val="none" w:sz="0" w:space="0" w:color="auto"/>
            <w:bottom w:val="none" w:sz="0" w:space="0" w:color="auto"/>
            <w:right w:val="none" w:sz="0" w:space="0" w:color="auto"/>
          </w:divBdr>
          <w:divsChild>
            <w:div w:id="1115443896">
              <w:marLeft w:val="0"/>
              <w:marRight w:val="0"/>
              <w:marTop w:val="0"/>
              <w:marBottom w:val="0"/>
              <w:divBdr>
                <w:top w:val="none" w:sz="0" w:space="0" w:color="auto"/>
                <w:left w:val="none" w:sz="0" w:space="0" w:color="auto"/>
                <w:bottom w:val="none" w:sz="0" w:space="0" w:color="auto"/>
                <w:right w:val="none" w:sz="0" w:space="0" w:color="auto"/>
              </w:divBdr>
              <w:divsChild>
                <w:div w:id="1203323443">
                  <w:marLeft w:val="0"/>
                  <w:marRight w:val="0"/>
                  <w:marTop w:val="0"/>
                  <w:marBottom w:val="0"/>
                  <w:divBdr>
                    <w:top w:val="none" w:sz="0" w:space="0" w:color="auto"/>
                    <w:left w:val="none" w:sz="0" w:space="0" w:color="auto"/>
                    <w:bottom w:val="none" w:sz="0" w:space="0" w:color="auto"/>
                    <w:right w:val="none" w:sz="0" w:space="0" w:color="auto"/>
                  </w:divBdr>
                  <w:divsChild>
                    <w:div w:id="1903907978">
                      <w:marLeft w:val="0"/>
                      <w:marRight w:val="0"/>
                      <w:marTop w:val="0"/>
                      <w:marBottom w:val="0"/>
                      <w:divBdr>
                        <w:top w:val="none" w:sz="0" w:space="0" w:color="auto"/>
                        <w:left w:val="none" w:sz="0" w:space="0" w:color="auto"/>
                        <w:bottom w:val="none" w:sz="0" w:space="0" w:color="auto"/>
                        <w:right w:val="none" w:sz="0" w:space="0" w:color="auto"/>
                      </w:divBdr>
                      <w:divsChild>
                        <w:div w:id="214005708">
                          <w:marLeft w:val="0"/>
                          <w:marRight w:val="0"/>
                          <w:marTop w:val="0"/>
                          <w:marBottom w:val="0"/>
                          <w:divBdr>
                            <w:top w:val="none" w:sz="0" w:space="0" w:color="auto"/>
                            <w:left w:val="none" w:sz="0" w:space="0" w:color="auto"/>
                            <w:bottom w:val="none" w:sz="0" w:space="0" w:color="auto"/>
                            <w:right w:val="none" w:sz="0" w:space="0" w:color="auto"/>
                          </w:divBdr>
                          <w:divsChild>
                            <w:div w:id="11048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759809">
      <w:bodyDiv w:val="1"/>
      <w:marLeft w:val="0"/>
      <w:marRight w:val="0"/>
      <w:marTop w:val="0"/>
      <w:marBottom w:val="0"/>
      <w:divBdr>
        <w:top w:val="none" w:sz="0" w:space="0" w:color="auto"/>
        <w:left w:val="none" w:sz="0" w:space="0" w:color="auto"/>
        <w:bottom w:val="none" w:sz="0" w:space="0" w:color="auto"/>
        <w:right w:val="none" w:sz="0" w:space="0" w:color="auto"/>
      </w:divBdr>
    </w:div>
    <w:div w:id="248272614">
      <w:bodyDiv w:val="1"/>
      <w:marLeft w:val="0"/>
      <w:marRight w:val="0"/>
      <w:marTop w:val="0"/>
      <w:marBottom w:val="0"/>
      <w:divBdr>
        <w:top w:val="none" w:sz="0" w:space="0" w:color="auto"/>
        <w:left w:val="none" w:sz="0" w:space="0" w:color="auto"/>
        <w:bottom w:val="none" w:sz="0" w:space="0" w:color="auto"/>
        <w:right w:val="none" w:sz="0" w:space="0" w:color="auto"/>
      </w:divBdr>
      <w:divsChild>
        <w:div w:id="602303329">
          <w:marLeft w:val="0"/>
          <w:marRight w:val="0"/>
          <w:marTop w:val="0"/>
          <w:marBottom w:val="0"/>
          <w:divBdr>
            <w:top w:val="none" w:sz="0" w:space="0" w:color="auto"/>
            <w:left w:val="none" w:sz="0" w:space="0" w:color="auto"/>
            <w:bottom w:val="none" w:sz="0" w:space="0" w:color="auto"/>
            <w:right w:val="none" w:sz="0" w:space="0" w:color="auto"/>
          </w:divBdr>
          <w:divsChild>
            <w:div w:id="1293486368">
              <w:marLeft w:val="0"/>
              <w:marRight w:val="0"/>
              <w:marTop w:val="0"/>
              <w:marBottom w:val="0"/>
              <w:divBdr>
                <w:top w:val="none" w:sz="0" w:space="0" w:color="auto"/>
                <w:left w:val="none" w:sz="0" w:space="0" w:color="auto"/>
                <w:bottom w:val="none" w:sz="0" w:space="0" w:color="auto"/>
                <w:right w:val="none" w:sz="0" w:space="0" w:color="auto"/>
              </w:divBdr>
              <w:divsChild>
                <w:div w:id="1712071504">
                  <w:marLeft w:val="0"/>
                  <w:marRight w:val="0"/>
                  <w:marTop w:val="0"/>
                  <w:marBottom w:val="0"/>
                  <w:divBdr>
                    <w:top w:val="none" w:sz="0" w:space="0" w:color="auto"/>
                    <w:left w:val="none" w:sz="0" w:space="0" w:color="auto"/>
                    <w:bottom w:val="none" w:sz="0" w:space="0" w:color="auto"/>
                    <w:right w:val="none" w:sz="0" w:space="0" w:color="auto"/>
                  </w:divBdr>
                  <w:divsChild>
                    <w:div w:id="660426143">
                      <w:marLeft w:val="0"/>
                      <w:marRight w:val="0"/>
                      <w:marTop w:val="0"/>
                      <w:marBottom w:val="0"/>
                      <w:divBdr>
                        <w:top w:val="none" w:sz="0" w:space="0" w:color="auto"/>
                        <w:left w:val="none" w:sz="0" w:space="0" w:color="auto"/>
                        <w:bottom w:val="none" w:sz="0" w:space="0" w:color="auto"/>
                        <w:right w:val="none" w:sz="0" w:space="0" w:color="auto"/>
                      </w:divBdr>
                      <w:divsChild>
                        <w:div w:id="279577157">
                          <w:marLeft w:val="0"/>
                          <w:marRight w:val="0"/>
                          <w:marTop w:val="0"/>
                          <w:marBottom w:val="0"/>
                          <w:divBdr>
                            <w:top w:val="none" w:sz="0" w:space="0" w:color="auto"/>
                            <w:left w:val="none" w:sz="0" w:space="0" w:color="auto"/>
                            <w:bottom w:val="none" w:sz="0" w:space="0" w:color="auto"/>
                            <w:right w:val="none" w:sz="0" w:space="0" w:color="auto"/>
                          </w:divBdr>
                          <w:divsChild>
                            <w:div w:id="1662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128844">
      <w:bodyDiv w:val="1"/>
      <w:marLeft w:val="0"/>
      <w:marRight w:val="0"/>
      <w:marTop w:val="0"/>
      <w:marBottom w:val="0"/>
      <w:divBdr>
        <w:top w:val="none" w:sz="0" w:space="0" w:color="auto"/>
        <w:left w:val="none" w:sz="0" w:space="0" w:color="auto"/>
        <w:bottom w:val="none" w:sz="0" w:space="0" w:color="auto"/>
        <w:right w:val="none" w:sz="0" w:space="0" w:color="auto"/>
      </w:divBdr>
      <w:divsChild>
        <w:div w:id="1004551226">
          <w:marLeft w:val="0"/>
          <w:marRight w:val="0"/>
          <w:marTop w:val="0"/>
          <w:marBottom w:val="0"/>
          <w:divBdr>
            <w:top w:val="none" w:sz="0" w:space="0" w:color="auto"/>
            <w:left w:val="none" w:sz="0" w:space="0" w:color="auto"/>
            <w:bottom w:val="none" w:sz="0" w:space="0" w:color="auto"/>
            <w:right w:val="none" w:sz="0" w:space="0" w:color="auto"/>
          </w:divBdr>
          <w:divsChild>
            <w:div w:id="1004623556">
              <w:marLeft w:val="0"/>
              <w:marRight w:val="0"/>
              <w:marTop w:val="0"/>
              <w:marBottom w:val="0"/>
              <w:divBdr>
                <w:top w:val="none" w:sz="0" w:space="0" w:color="auto"/>
                <w:left w:val="none" w:sz="0" w:space="0" w:color="auto"/>
                <w:bottom w:val="none" w:sz="0" w:space="0" w:color="auto"/>
                <w:right w:val="none" w:sz="0" w:space="0" w:color="auto"/>
              </w:divBdr>
              <w:divsChild>
                <w:div w:id="1386832524">
                  <w:marLeft w:val="0"/>
                  <w:marRight w:val="0"/>
                  <w:marTop w:val="0"/>
                  <w:marBottom w:val="0"/>
                  <w:divBdr>
                    <w:top w:val="none" w:sz="0" w:space="0" w:color="auto"/>
                    <w:left w:val="none" w:sz="0" w:space="0" w:color="auto"/>
                    <w:bottom w:val="none" w:sz="0" w:space="0" w:color="auto"/>
                    <w:right w:val="none" w:sz="0" w:space="0" w:color="auto"/>
                  </w:divBdr>
                  <w:divsChild>
                    <w:div w:id="2047830896">
                      <w:marLeft w:val="0"/>
                      <w:marRight w:val="0"/>
                      <w:marTop w:val="0"/>
                      <w:marBottom w:val="0"/>
                      <w:divBdr>
                        <w:top w:val="none" w:sz="0" w:space="0" w:color="auto"/>
                        <w:left w:val="none" w:sz="0" w:space="0" w:color="auto"/>
                        <w:bottom w:val="none" w:sz="0" w:space="0" w:color="auto"/>
                        <w:right w:val="none" w:sz="0" w:space="0" w:color="auto"/>
                      </w:divBdr>
                      <w:divsChild>
                        <w:div w:id="656416707">
                          <w:marLeft w:val="0"/>
                          <w:marRight w:val="0"/>
                          <w:marTop w:val="0"/>
                          <w:marBottom w:val="0"/>
                          <w:divBdr>
                            <w:top w:val="none" w:sz="0" w:space="0" w:color="auto"/>
                            <w:left w:val="none" w:sz="0" w:space="0" w:color="auto"/>
                            <w:bottom w:val="none" w:sz="0" w:space="0" w:color="auto"/>
                            <w:right w:val="none" w:sz="0" w:space="0" w:color="auto"/>
                          </w:divBdr>
                          <w:divsChild>
                            <w:div w:id="13691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7344">
      <w:bodyDiv w:val="1"/>
      <w:marLeft w:val="0"/>
      <w:marRight w:val="0"/>
      <w:marTop w:val="0"/>
      <w:marBottom w:val="0"/>
      <w:divBdr>
        <w:top w:val="none" w:sz="0" w:space="0" w:color="auto"/>
        <w:left w:val="none" w:sz="0" w:space="0" w:color="auto"/>
        <w:bottom w:val="none" w:sz="0" w:space="0" w:color="auto"/>
        <w:right w:val="none" w:sz="0" w:space="0" w:color="auto"/>
      </w:divBdr>
      <w:divsChild>
        <w:div w:id="898512456">
          <w:marLeft w:val="0"/>
          <w:marRight w:val="0"/>
          <w:marTop w:val="0"/>
          <w:marBottom w:val="0"/>
          <w:divBdr>
            <w:top w:val="none" w:sz="0" w:space="0" w:color="auto"/>
            <w:left w:val="none" w:sz="0" w:space="0" w:color="auto"/>
            <w:bottom w:val="none" w:sz="0" w:space="0" w:color="auto"/>
            <w:right w:val="none" w:sz="0" w:space="0" w:color="auto"/>
          </w:divBdr>
          <w:divsChild>
            <w:div w:id="1694961149">
              <w:marLeft w:val="0"/>
              <w:marRight w:val="0"/>
              <w:marTop w:val="0"/>
              <w:marBottom w:val="0"/>
              <w:divBdr>
                <w:top w:val="none" w:sz="0" w:space="0" w:color="auto"/>
                <w:left w:val="none" w:sz="0" w:space="0" w:color="auto"/>
                <w:bottom w:val="none" w:sz="0" w:space="0" w:color="auto"/>
                <w:right w:val="none" w:sz="0" w:space="0" w:color="auto"/>
              </w:divBdr>
              <w:divsChild>
                <w:div w:id="1443719438">
                  <w:marLeft w:val="0"/>
                  <w:marRight w:val="0"/>
                  <w:marTop w:val="0"/>
                  <w:marBottom w:val="0"/>
                  <w:divBdr>
                    <w:top w:val="none" w:sz="0" w:space="0" w:color="auto"/>
                    <w:left w:val="none" w:sz="0" w:space="0" w:color="auto"/>
                    <w:bottom w:val="none" w:sz="0" w:space="0" w:color="auto"/>
                    <w:right w:val="none" w:sz="0" w:space="0" w:color="auto"/>
                  </w:divBdr>
                  <w:divsChild>
                    <w:div w:id="82188282">
                      <w:marLeft w:val="0"/>
                      <w:marRight w:val="0"/>
                      <w:marTop w:val="0"/>
                      <w:marBottom w:val="0"/>
                      <w:divBdr>
                        <w:top w:val="none" w:sz="0" w:space="0" w:color="auto"/>
                        <w:left w:val="none" w:sz="0" w:space="0" w:color="auto"/>
                        <w:bottom w:val="none" w:sz="0" w:space="0" w:color="auto"/>
                        <w:right w:val="none" w:sz="0" w:space="0" w:color="auto"/>
                      </w:divBdr>
                      <w:divsChild>
                        <w:div w:id="153377481">
                          <w:marLeft w:val="0"/>
                          <w:marRight w:val="0"/>
                          <w:marTop w:val="0"/>
                          <w:marBottom w:val="0"/>
                          <w:divBdr>
                            <w:top w:val="none" w:sz="0" w:space="0" w:color="auto"/>
                            <w:left w:val="none" w:sz="0" w:space="0" w:color="auto"/>
                            <w:bottom w:val="none" w:sz="0" w:space="0" w:color="auto"/>
                            <w:right w:val="none" w:sz="0" w:space="0" w:color="auto"/>
                          </w:divBdr>
                          <w:divsChild>
                            <w:div w:id="16239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568974">
      <w:bodyDiv w:val="1"/>
      <w:marLeft w:val="0"/>
      <w:marRight w:val="0"/>
      <w:marTop w:val="0"/>
      <w:marBottom w:val="0"/>
      <w:divBdr>
        <w:top w:val="none" w:sz="0" w:space="0" w:color="auto"/>
        <w:left w:val="none" w:sz="0" w:space="0" w:color="auto"/>
        <w:bottom w:val="none" w:sz="0" w:space="0" w:color="auto"/>
        <w:right w:val="none" w:sz="0" w:space="0" w:color="auto"/>
      </w:divBdr>
      <w:divsChild>
        <w:div w:id="1108115362">
          <w:marLeft w:val="0"/>
          <w:marRight w:val="0"/>
          <w:marTop w:val="0"/>
          <w:marBottom w:val="0"/>
          <w:divBdr>
            <w:top w:val="none" w:sz="0" w:space="0" w:color="auto"/>
            <w:left w:val="none" w:sz="0" w:space="0" w:color="auto"/>
            <w:bottom w:val="none" w:sz="0" w:space="0" w:color="auto"/>
            <w:right w:val="none" w:sz="0" w:space="0" w:color="auto"/>
          </w:divBdr>
          <w:divsChild>
            <w:div w:id="884218810">
              <w:marLeft w:val="0"/>
              <w:marRight w:val="0"/>
              <w:marTop w:val="0"/>
              <w:marBottom w:val="0"/>
              <w:divBdr>
                <w:top w:val="none" w:sz="0" w:space="0" w:color="auto"/>
                <w:left w:val="none" w:sz="0" w:space="0" w:color="auto"/>
                <w:bottom w:val="none" w:sz="0" w:space="0" w:color="auto"/>
                <w:right w:val="none" w:sz="0" w:space="0" w:color="auto"/>
              </w:divBdr>
              <w:divsChild>
                <w:div w:id="1352995923">
                  <w:marLeft w:val="0"/>
                  <w:marRight w:val="0"/>
                  <w:marTop w:val="0"/>
                  <w:marBottom w:val="0"/>
                  <w:divBdr>
                    <w:top w:val="none" w:sz="0" w:space="0" w:color="auto"/>
                    <w:left w:val="none" w:sz="0" w:space="0" w:color="auto"/>
                    <w:bottom w:val="none" w:sz="0" w:space="0" w:color="auto"/>
                    <w:right w:val="none" w:sz="0" w:space="0" w:color="auto"/>
                  </w:divBdr>
                  <w:divsChild>
                    <w:div w:id="579607416">
                      <w:marLeft w:val="0"/>
                      <w:marRight w:val="0"/>
                      <w:marTop w:val="0"/>
                      <w:marBottom w:val="0"/>
                      <w:divBdr>
                        <w:top w:val="none" w:sz="0" w:space="0" w:color="auto"/>
                        <w:left w:val="none" w:sz="0" w:space="0" w:color="auto"/>
                        <w:bottom w:val="none" w:sz="0" w:space="0" w:color="auto"/>
                        <w:right w:val="none" w:sz="0" w:space="0" w:color="auto"/>
                      </w:divBdr>
                      <w:divsChild>
                        <w:div w:id="313527244">
                          <w:marLeft w:val="0"/>
                          <w:marRight w:val="0"/>
                          <w:marTop w:val="0"/>
                          <w:marBottom w:val="0"/>
                          <w:divBdr>
                            <w:top w:val="none" w:sz="0" w:space="0" w:color="auto"/>
                            <w:left w:val="none" w:sz="0" w:space="0" w:color="auto"/>
                            <w:bottom w:val="none" w:sz="0" w:space="0" w:color="auto"/>
                            <w:right w:val="none" w:sz="0" w:space="0" w:color="auto"/>
                          </w:divBdr>
                          <w:divsChild>
                            <w:div w:id="17645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042421">
      <w:bodyDiv w:val="1"/>
      <w:marLeft w:val="0"/>
      <w:marRight w:val="0"/>
      <w:marTop w:val="0"/>
      <w:marBottom w:val="0"/>
      <w:divBdr>
        <w:top w:val="none" w:sz="0" w:space="0" w:color="auto"/>
        <w:left w:val="none" w:sz="0" w:space="0" w:color="auto"/>
        <w:bottom w:val="none" w:sz="0" w:space="0" w:color="auto"/>
        <w:right w:val="none" w:sz="0" w:space="0" w:color="auto"/>
      </w:divBdr>
    </w:div>
    <w:div w:id="381637683">
      <w:bodyDiv w:val="1"/>
      <w:marLeft w:val="0"/>
      <w:marRight w:val="0"/>
      <w:marTop w:val="0"/>
      <w:marBottom w:val="0"/>
      <w:divBdr>
        <w:top w:val="none" w:sz="0" w:space="0" w:color="auto"/>
        <w:left w:val="none" w:sz="0" w:space="0" w:color="auto"/>
        <w:bottom w:val="none" w:sz="0" w:space="0" w:color="auto"/>
        <w:right w:val="none" w:sz="0" w:space="0" w:color="auto"/>
      </w:divBdr>
      <w:divsChild>
        <w:div w:id="1416240524">
          <w:marLeft w:val="0"/>
          <w:marRight w:val="0"/>
          <w:marTop w:val="0"/>
          <w:marBottom w:val="0"/>
          <w:divBdr>
            <w:top w:val="none" w:sz="0" w:space="0" w:color="auto"/>
            <w:left w:val="none" w:sz="0" w:space="0" w:color="auto"/>
            <w:bottom w:val="none" w:sz="0" w:space="0" w:color="auto"/>
            <w:right w:val="none" w:sz="0" w:space="0" w:color="auto"/>
          </w:divBdr>
          <w:divsChild>
            <w:div w:id="150024935">
              <w:marLeft w:val="0"/>
              <w:marRight w:val="0"/>
              <w:marTop w:val="0"/>
              <w:marBottom w:val="0"/>
              <w:divBdr>
                <w:top w:val="none" w:sz="0" w:space="0" w:color="auto"/>
                <w:left w:val="none" w:sz="0" w:space="0" w:color="auto"/>
                <w:bottom w:val="none" w:sz="0" w:space="0" w:color="auto"/>
                <w:right w:val="none" w:sz="0" w:space="0" w:color="auto"/>
              </w:divBdr>
              <w:divsChild>
                <w:div w:id="1417753227">
                  <w:marLeft w:val="0"/>
                  <w:marRight w:val="0"/>
                  <w:marTop w:val="0"/>
                  <w:marBottom w:val="0"/>
                  <w:divBdr>
                    <w:top w:val="none" w:sz="0" w:space="0" w:color="auto"/>
                    <w:left w:val="none" w:sz="0" w:space="0" w:color="auto"/>
                    <w:bottom w:val="none" w:sz="0" w:space="0" w:color="auto"/>
                    <w:right w:val="none" w:sz="0" w:space="0" w:color="auto"/>
                  </w:divBdr>
                  <w:divsChild>
                    <w:div w:id="530610287">
                      <w:marLeft w:val="0"/>
                      <w:marRight w:val="0"/>
                      <w:marTop w:val="0"/>
                      <w:marBottom w:val="0"/>
                      <w:divBdr>
                        <w:top w:val="none" w:sz="0" w:space="0" w:color="auto"/>
                        <w:left w:val="none" w:sz="0" w:space="0" w:color="auto"/>
                        <w:bottom w:val="none" w:sz="0" w:space="0" w:color="auto"/>
                        <w:right w:val="none" w:sz="0" w:space="0" w:color="auto"/>
                      </w:divBdr>
                      <w:divsChild>
                        <w:div w:id="869026655">
                          <w:marLeft w:val="0"/>
                          <w:marRight w:val="0"/>
                          <w:marTop w:val="0"/>
                          <w:marBottom w:val="0"/>
                          <w:divBdr>
                            <w:top w:val="none" w:sz="0" w:space="0" w:color="auto"/>
                            <w:left w:val="none" w:sz="0" w:space="0" w:color="auto"/>
                            <w:bottom w:val="none" w:sz="0" w:space="0" w:color="auto"/>
                            <w:right w:val="none" w:sz="0" w:space="0" w:color="auto"/>
                          </w:divBdr>
                          <w:divsChild>
                            <w:div w:id="3672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302980">
      <w:bodyDiv w:val="1"/>
      <w:marLeft w:val="0"/>
      <w:marRight w:val="0"/>
      <w:marTop w:val="0"/>
      <w:marBottom w:val="0"/>
      <w:divBdr>
        <w:top w:val="none" w:sz="0" w:space="0" w:color="auto"/>
        <w:left w:val="none" w:sz="0" w:space="0" w:color="auto"/>
        <w:bottom w:val="none" w:sz="0" w:space="0" w:color="auto"/>
        <w:right w:val="none" w:sz="0" w:space="0" w:color="auto"/>
      </w:divBdr>
    </w:div>
    <w:div w:id="431820128">
      <w:bodyDiv w:val="1"/>
      <w:marLeft w:val="0"/>
      <w:marRight w:val="0"/>
      <w:marTop w:val="0"/>
      <w:marBottom w:val="0"/>
      <w:divBdr>
        <w:top w:val="none" w:sz="0" w:space="0" w:color="auto"/>
        <w:left w:val="none" w:sz="0" w:space="0" w:color="auto"/>
        <w:bottom w:val="none" w:sz="0" w:space="0" w:color="auto"/>
        <w:right w:val="none" w:sz="0" w:space="0" w:color="auto"/>
      </w:divBdr>
      <w:divsChild>
        <w:div w:id="502165869">
          <w:marLeft w:val="0"/>
          <w:marRight w:val="0"/>
          <w:marTop w:val="0"/>
          <w:marBottom w:val="0"/>
          <w:divBdr>
            <w:top w:val="none" w:sz="0" w:space="0" w:color="auto"/>
            <w:left w:val="none" w:sz="0" w:space="0" w:color="auto"/>
            <w:bottom w:val="none" w:sz="0" w:space="0" w:color="auto"/>
            <w:right w:val="none" w:sz="0" w:space="0" w:color="auto"/>
          </w:divBdr>
          <w:divsChild>
            <w:div w:id="1937907678">
              <w:marLeft w:val="0"/>
              <w:marRight w:val="0"/>
              <w:marTop w:val="0"/>
              <w:marBottom w:val="0"/>
              <w:divBdr>
                <w:top w:val="none" w:sz="0" w:space="0" w:color="auto"/>
                <w:left w:val="none" w:sz="0" w:space="0" w:color="auto"/>
                <w:bottom w:val="none" w:sz="0" w:space="0" w:color="auto"/>
                <w:right w:val="none" w:sz="0" w:space="0" w:color="auto"/>
              </w:divBdr>
              <w:divsChild>
                <w:div w:id="1548181030">
                  <w:marLeft w:val="0"/>
                  <w:marRight w:val="0"/>
                  <w:marTop w:val="0"/>
                  <w:marBottom w:val="0"/>
                  <w:divBdr>
                    <w:top w:val="none" w:sz="0" w:space="0" w:color="auto"/>
                    <w:left w:val="none" w:sz="0" w:space="0" w:color="auto"/>
                    <w:bottom w:val="none" w:sz="0" w:space="0" w:color="auto"/>
                    <w:right w:val="none" w:sz="0" w:space="0" w:color="auto"/>
                  </w:divBdr>
                  <w:divsChild>
                    <w:div w:id="398015748">
                      <w:marLeft w:val="0"/>
                      <w:marRight w:val="0"/>
                      <w:marTop w:val="0"/>
                      <w:marBottom w:val="0"/>
                      <w:divBdr>
                        <w:top w:val="none" w:sz="0" w:space="0" w:color="auto"/>
                        <w:left w:val="none" w:sz="0" w:space="0" w:color="auto"/>
                        <w:bottom w:val="none" w:sz="0" w:space="0" w:color="auto"/>
                        <w:right w:val="none" w:sz="0" w:space="0" w:color="auto"/>
                      </w:divBdr>
                      <w:divsChild>
                        <w:div w:id="2101172117">
                          <w:marLeft w:val="0"/>
                          <w:marRight w:val="0"/>
                          <w:marTop w:val="0"/>
                          <w:marBottom w:val="0"/>
                          <w:divBdr>
                            <w:top w:val="none" w:sz="0" w:space="0" w:color="auto"/>
                            <w:left w:val="none" w:sz="0" w:space="0" w:color="auto"/>
                            <w:bottom w:val="none" w:sz="0" w:space="0" w:color="auto"/>
                            <w:right w:val="none" w:sz="0" w:space="0" w:color="auto"/>
                          </w:divBdr>
                          <w:divsChild>
                            <w:div w:id="1260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995267">
      <w:bodyDiv w:val="1"/>
      <w:marLeft w:val="0"/>
      <w:marRight w:val="0"/>
      <w:marTop w:val="0"/>
      <w:marBottom w:val="0"/>
      <w:divBdr>
        <w:top w:val="none" w:sz="0" w:space="0" w:color="auto"/>
        <w:left w:val="none" w:sz="0" w:space="0" w:color="auto"/>
        <w:bottom w:val="none" w:sz="0" w:space="0" w:color="auto"/>
        <w:right w:val="none" w:sz="0" w:space="0" w:color="auto"/>
      </w:divBdr>
      <w:divsChild>
        <w:div w:id="206067385">
          <w:marLeft w:val="0"/>
          <w:marRight w:val="0"/>
          <w:marTop w:val="0"/>
          <w:marBottom w:val="0"/>
          <w:divBdr>
            <w:top w:val="none" w:sz="0" w:space="0" w:color="auto"/>
            <w:left w:val="none" w:sz="0" w:space="0" w:color="auto"/>
            <w:bottom w:val="none" w:sz="0" w:space="0" w:color="auto"/>
            <w:right w:val="none" w:sz="0" w:space="0" w:color="auto"/>
          </w:divBdr>
          <w:divsChild>
            <w:div w:id="1903827656">
              <w:marLeft w:val="0"/>
              <w:marRight w:val="0"/>
              <w:marTop w:val="0"/>
              <w:marBottom w:val="0"/>
              <w:divBdr>
                <w:top w:val="none" w:sz="0" w:space="0" w:color="auto"/>
                <w:left w:val="none" w:sz="0" w:space="0" w:color="auto"/>
                <w:bottom w:val="none" w:sz="0" w:space="0" w:color="auto"/>
                <w:right w:val="none" w:sz="0" w:space="0" w:color="auto"/>
              </w:divBdr>
              <w:divsChild>
                <w:div w:id="1349135413">
                  <w:marLeft w:val="0"/>
                  <w:marRight w:val="0"/>
                  <w:marTop w:val="0"/>
                  <w:marBottom w:val="0"/>
                  <w:divBdr>
                    <w:top w:val="none" w:sz="0" w:space="0" w:color="auto"/>
                    <w:left w:val="none" w:sz="0" w:space="0" w:color="auto"/>
                    <w:bottom w:val="none" w:sz="0" w:space="0" w:color="auto"/>
                    <w:right w:val="none" w:sz="0" w:space="0" w:color="auto"/>
                  </w:divBdr>
                  <w:divsChild>
                    <w:div w:id="868955155">
                      <w:marLeft w:val="0"/>
                      <w:marRight w:val="0"/>
                      <w:marTop w:val="0"/>
                      <w:marBottom w:val="0"/>
                      <w:divBdr>
                        <w:top w:val="none" w:sz="0" w:space="0" w:color="auto"/>
                        <w:left w:val="none" w:sz="0" w:space="0" w:color="auto"/>
                        <w:bottom w:val="none" w:sz="0" w:space="0" w:color="auto"/>
                        <w:right w:val="none" w:sz="0" w:space="0" w:color="auto"/>
                      </w:divBdr>
                      <w:divsChild>
                        <w:div w:id="145174209">
                          <w:marLeft w:val="0"/>
                          <w:marRight w:val="0"/>
                          <w:marTop w:val="0"/>
                          <w:marBottom w:val="0"/>
                          <w:divBdr>
                            <w:top w:val="none" w:sz="0" w:space="0" w:color="auto"/>
                            <w:left w:val="none" w:sz="0" w:space="0" w:color="auto"/>
                            <w:bottom w:val="none" w:sz="0" w:space="0" w:color="auto"/>
                            <w:right w:val="none" w:sz="0" w:space="0" w:color="auto"/>
                          </w:divBdr>
                          <w:divsChild>
                            <w:div w:id="4403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110082">
      <w:bodyDiv w:val="1"/>
      <w:marLeft w:val="0"/>
      <w:marRight w:val="0"/>
      <w:marTop w:val="0"/>
      <w:marBottom w:val="0"/>
      <w:divBdr>
        <w:top w:val="none" w:sz="0" w:space="0" w:color="auto"/>
        <w:left w:val="none" w:sz="0" w:space="0" w:color="auto"/>
        <w:bottom w:val="none" w:sz="0" w:space="0" w:color="auto"/>
        <w:right w:val="none" w:sz="0" w:space="0" w:color="auto"/>
      </w:divBdr>
    </w:div>
    <w:div w:id="515924848">
      <w:bodyDiv w:val="1"/>
      <w:marLeft w:val="0"/>
      <w:marRight w:val="0"/>
      <w:marTop w:val="0"/>
      <w:marBottom w:val="0"/>
      <w:divBdr>
        <w:top w:val="none" w:sz="0" w:space="0" w:color="auto"/>
        <w:left w:val="none" w:sz="0" w:space="0" w:color="auto"/>
        <w:bottom w:val="none" w:sz="0" w:space="0" w:color="auto"/>
        <w:right w:val="none" w:sz="0" w:space="0" w:color="auto"/>
      </w:divBdr>
      <w:divsChild>
        <w:div w:id="2008243427">
          <w:marLeft w:val="0"/>
          <w:marRight w:val="0"/>
          <w:marTop w:val="0"/>
          <w:marBottom w:val="0"/>
          <w:divBdr>
            <w:top w:val="none" w:sz="0" w:space="0" w:color="auto"/>
            <w:left w:val="none" w:sz="0" w:space="0" w:color="auto"/>
            <w:bottom w:val="none" w:sz="0" w:space="0" w:color="auto"/>
            <w:right w:val="none" w:sz="0" w:space="0" w:color="auto"/>
          </w:divBdr>
          <w:divsChild>
            <w:div w:id="1132866116">
              <w:marLeft w:val="0"/>
              <w:marRight w:val="0"/>
              <w:marTop w:val="0"/>
              <w:marBottom w:val="0"/>
              <w:divBdr>
                <w:top w:val="none" w:sz="0" w:space="0" w:color="auto"/>
                <w:left w:val="none" w:sz="0" w:space="0" w:color="auto"/>
                <w:bottom w:val="none" w:sz="0" w:space="0" w:color="auto"/>
                <w:right w:val="none" w:sz="0" w:space="0" w:color="auto"/>
              </w:divBdr>
              <w:divsChild>
                <w:div w:id="1431511317">
                  <w:marLeft w:val="0"/>
                  <w:marRight w:val="0"/>
                  <w:marTop w:val="0"/>
                  <w:marBottom w:val="0"/>
                  <w:divBdr>
                    <w:top w:val="none" w:sz="0" w:space="0" w:color="auto"/>
                    <w:left w:val="none" w:sz="0" w:space="0" w:color="auto"/>
                    <w:bottom w:val="none" w:sz="0" w:space="0" w:color="auto"/>
                    <w:right w:val="none" w:sz="0" w:space="0" w:color="auto"/>
                  </w:divBdr>
                  <w:divsChild>
                    <w:div w:id="1960984746">
                      <w:marLeft w:val="0"/>
                      <w:marRight w:val="0"/>
                      <w:marTop w:val="0"/>
                      <w:marBottom w:val="0"/>
                      <w:divBdr>
                        <w:top w:val="none" w:sz="0" w:space="0" w:color="auto"/>
                        <w:left w:val="none" w:sz="0" w:space="0" w:color="auto"/>
                        <w:bottom w:val="none" w:sz="0" w:space="0" w:color="auto"/>
                        <w:right w:val="none" w:sz="0" w:space="0" w:color="auto"/>
                      </w:divBdr>
                      <w:divsChild>
                        <w:div w:id="836573299">
                          <w:marLeft w:val="0"/>
                          <w:marRight w:val="0"/>
                          <w:marTop w:val="0"/>
                          <w:marBottom w:val="0"/>
                          <w:divBdr>
                            <w:top w:val="none" w:sz="0" w:space="0" w:color="auto"/>
                            <w:left w:val="none" w:sz="0" w:space="0" w:color="auto"/>
                            <w:bottom w:val="none" w:sz="0" w:space="0" w:color="auto"/>
                            <w:right w:val="none" w:sz="0" w:space="0" w:color="auto"/>
                          </w:divBdr>
                          <w:divsChild>
                            <w:div w:id="60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075629">
      <w:bodyDiv w:val="1"/>
      <w:marLeft w:val="0"/>
      <w:marRight w:val="0"/>
      <w:marTop w:val="0"/>
      <w:marBottom w:val="0"/>
      <w:divBdr>
        <w:top w:val="none" w:sz="0" w:space="0" w:color="auto"/>
        <w:left w:val="none" w:sz="0" w:space="0" w:color="auto"/>
        <w:bottom w:val="none" w:sz="0" w:space="0" w:color="auto"/>
        <w:right w:val="none" w:sz="0" w:space="0" w:color="auto"/>
      </w:divBdr>
    </w:div>
    <w:div w:id="601649855">
      <w:bodyDiv w:val="1"/>
      <w:marLeft w:val="0"/>
      <w:marRight w:val="0"/>
      <w:marTop w:val="0"/>
      <w:marBottom w:val="0"/>
      <w:divBdr>
        <w:top w:val="none" w:sz="0" w:space="0" w:color="auto"/>
        <w:left w:val="none" w:sz="0" w:space="0" w:color="auto"/>
        <w:bottom w:val="none" w:sz="0" w:space="0" w:color="auto"/>
        <w:right w:val="none" w:sz="0" w:space="0" w:color="auto"/>
      </w:divBdr>
      <w:divsChild>
        <w:div w:id="177893408">
          <w:marLeft w:val="0"/>
          <w:marRight w:val="0"/>
          <w:marTop w:val="0"/>
          <w:marBottom w:val="0"/>
          <w:divBdr>
            <w:top w:val="none" w:sz="0" w:space="0" w:color="auto"/>
            <w:left w:val="none" w:sz="0" w:space="0" w:color="auto"/>
            <w:bottom w:val="none" w:sz="0" w:space="0" w:color="auto"/>
            <w:right w:val="none" w:sz="0" w:space="0" w:color="auto"/>
          </w:divBdr>
          <w:divsChild>
            <w:div w:id="170802627">
              <w:marLeft w:val="0"/>
              <w:marRight w:val="0"/>
              <w:marTop w:val="0"/>
              <w:marBottom w:val="0"/>
              <w:divBdr>
                <w:top w:val="none" w:sz="0" w:space="0" w:color="auto"/>
                <w:left w:val="none" w:sz="0" w:space="0" w:color="auto"/>
                <w:bottom w:val="none" w:sz="0" w:space="0" w:color="auto"/>
                <w:right w:val="none" w:sz="0" w:space="0" w:color="auto"/>
              </w:divBdr>
              <w:divsChild>
                <w:div w:id="974871529">
                  <w:marLeft w:val="0"/>
                  <w:marRight w:val="0"/>
                  <w:marTop w:val="0"/>
                  <w:marBottom w:val="0"/>
                  <w:divBdr>
                    <w:top w:val="none" w:sz="0" w:space="0" w:color="auto"/>
                    <w:left w:val="none" w:sz="0" w:space="0" w:color="auto"/>
                    <w:bottom w:val="none" w:sz="0" w:space="0" w:color="auto"/>
                    <w:right w:val="none" w:sz="0" w:space="0" w:color="auto"/>
                  </w:divBdr>
                  <w:divsChild>
                    <w:div w:id="371732722">
                      <w:marLeft w:val="0"/>
                      <w:marRight w:val="0"/>
                      <w:marTop w:val="0"/>
                      <w:marBottom w:val="0"/>
                      <w:divBdr>
                        <w:top w:val="none" w:sz="0" w:space="0" w:color="auto"/>
                        <w:left w:val="none" w:sz="0" w:space="0" w:color="auto"/>
                        <w:bottom w:val="none" w:sz="0" w:space="0" w:color="auto"/>
                        <w:right w:val="none" w:sz="0" w:space="0" w:color="auto"/>
                      </w:divBdr>
                      <w:divsChild>
                        <w:div w:id="254629928">
                          <w:marLeft w:val="0"/>
                          <w:marRight w:val="0"/>
                          <w:marTop w:val="0"/>
                          <w:marBottom w:val="0"/>
                          <w:divBdr>
                            <w:top w:val="none" w:sz="0" w:space="0" w:color="auto"/>
                            <w:left w:val="none" w:sz="0" w:space="0" w:color="auto"/>
                            <w:bottom w:val="none" w:sz="0" w:space="0" w:color="auto"/>
                            <w:right w:val="none" w:sz="0" w:space="0" w:color="auto"/>
                          </w:divBdr>
                          <w:divsChild>
                            <w:div w:id="5409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12396">
      <w:bodyDiv w:val="1"/>
      <w:marLeft w:val="0"/>
      <w:marRight w:val="0"/>
      <w:marTop w:val="0"/>
      <w:marBottom w:val="0"/>
      <w:divBdr>
        <w:top w:val="none" w:sz="0" w:space="0" w:color="auto"/>
        <w:left w:val="none" w:sz="0" w:space="0" w:color="auto"/>
        <w:bottom w:val="none" w:sz="0" w:space="0" w:color="auto"/>
        <w:right w:val="none" w:sz="0" w:space="0" w:color="auto"/>
      </w:divBdr>
    </w:div>
    <w:div w:id="618488588">
      <w:bodyDiv w:val="1"/>
      <w:marLeft w:val="0"/>
      <w:marRight w:val="0"/>
      <w:marTop w:val="0"/>
      <w:marBottom w:val="0"/>
      <w:divBdr>
        <w:top w:val="none" w:sz="0" w:space="0" w:color="auto"/>
        <w:left w:val="none" w:sz="0" w:space="0" w:color="auto"/>
        <w:bottom w:val="none" w:sz="0" w:space="0" w:color="auto"/>
        <w:right w:val="none" w:sz="0" w:space="0" w:color="auto"/>
      </w:divBdr>
      <w:divsChild>
        <w:div w:id="28799208">
          <w:marLeft w:val="0"/>
          <w:marRight w:val="0"/>
          <w:marTop w:val="0"/>
          <w:marBottom w:val="0"/>
          <w:divBdr>
            <w:top w:val="none" w:sz="0" w:space="0" w:color="auto"/>
            <w:left w:val="none" w:sz="0" w:space="0" w:color="auto"/>
            <w:bottom w:val="none" w:sz="0" w:space="0" w:color="auto"/>
            <w:right w:val="none" w:sz="0" w:space="0" w:color="auto"/>
          </w:divBdr>
          <w:divsChild>
            <w:div w:id="1133790206">
              <w:marLeft w:val="0"/>
              <w:marRight w:val="0"/>
              <w:marTop w:val="0"/>
              <w:marBottom w:val="0"/>
              <w:divBdr>
                <w:top w:val="none" w:sz="0" w:space="0" w:color="auto"/>
                <w:left w:val="none" w:sz="0" w:space="0" w:color="auto"/>
                <w:bottom w:val="none" w:sz="0" w:space="0" w:color="auto"/>
                <w:right w:val="none" w:sz="0" w:space="0" w:color="auto"/>
              </w:divBdr>
              <w:divsChild>
                <w:div w:id="1879587946">
                  <w:marLeft w:val="0"/>
                  <w:marRight w:val="0"/>
                  <w:marTop w:val="0"/>
                  <w:marBottom w:val="0"/>
                  <w:divBdr>
                    <w:top w:val="none" w:sz="0" w:space="0" w:color="auto"/>
                    <w:left w:val="none" w:sz="0" w:space="0" w:color="auto"/>
                    <w:bottom w:val="none" w:sz="0" w:space="0" w:color="auto"/>
                    <w:right w:val="none" w:sz="0" w:space="0" w:color="auto"/>
                  </w:divBdr>
                  <w:divsChild>
                    <w:div w:id="1784883626">
                      <w:marLeft w:val="0"/>
                      <w:marRight w:val="0"/>
                      <w:marTop w:val="0"/>
                      <w:marBottom w:val="0"/>
                      <w:divBdr>
                        <w:top w:val="none" w:sz="0" w:space="0" w:color="auto"/>
                        <w:left w:val="none" w:sz="0" w:space="0" w:color="auto"/>
                        <w:bottom w:val="none" w:sz="0" w:space="0" w:color="auto"/>
                        <w:right w:val="none" w:sz="0" w:space="0" w:color="auto"/>
                      </w:divBdr>
                      <w:divsChild>
                        <w:div w:id="1679195925">
                          <w:marLeft w:val="0"/>
                          <w:marRight w:val="0"/>
                          <w:marTop w:val="0"/>
                          <w:marBottom w:val="0"/>
                          <w:divBdr>
                            <w:top w:val="none" w:sz="0" w:space="0" w:color="auto"/>
                            <w:left w:val="none" w:sz="0" w:space="0" w:color="auto"/>
                            <w:bottom w:val="none" w:sz="0" w:space="0" w:color="auto"/>
                            <w:right w:val="none" w:sz="0" w:space="0" w:color="auto"/>
                          </w:divBdr>
                          <w:divsChild>
                            <w:div w:id="766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014208">
      <w:bodyDiv w:val="1"/>
      <w:marLeft w:val="0"/>
      <w:marRight w:val="0"/>
      <w:marTop w:val="0"/>
      <w:marBottom w:val="0"/>
      <w:divBdr>
        <w:top w:val="none" w:sz="0" w:space="0" w:color="auto"/>
        <w:left w:val="none" w:sz="0" w:space="0" w:color="auto"/>
        <w:bottom w:val="none" w:sz="0" w:space="0" w:color="auto"/>
        <w:right w:val="none" w:sz="0" w:space="0" w:color="auto"/>
      </w:divBdr>
    </w:div>
    <w:div w:id="728655008">
      <w:bodyDiv w:val="1"/>
      <w:marLeft w:val="0"/>
      <w:marRight w:val="0"/>
      <w:marTop w:val="0"/>
      <w:marBottom w:val="0"/>
      <w:divBdr>
        <w:top w:val="none" w:sz="0" w:space="0" w:color="auto"/>
        <w:left w:val="none" w:sz="0" w:space="0" w:color="auto"/>
        <w:bottom w:val="none" w:sz="0" w:space="0" w:color="auto"/>
        <w:right w:val="none" w:sz="0" w:space="0" w:color="auto"/>
      </w:divBdr>
    </w:div>
    <w:div w:id="737170563">
      <w:bodyDiv w:val="1"/>
      <w:marLeft w:val="0"/>
      <w:marRight w:val="0"/>
      <w:marTop w:val="0"/>
      <w:marBottom w:val="0"/>
      <w:divBdr>
        <w:top w:val="none" w:sz="0" w:space="0" w:color="auto"/>
        <w:left w:val="none" w:sz="0" w:space="0" w:color="auto"/>
        <w:bottom w:val="none" w:sz="0" w:space="0" w:color="auto"/>
        <w:right w:val="none" w:sz="0" w:space="0" w:color="auto"/>
      </w:divBdr>
      <w:divsChild>
        <w:div w:id="1190873741">
          <w:marLeft w:val="0"/>
          <w:marRight w:val="0"/>
          <w:marTop w:val="0"/>
          <w:marBottom w:val="0"/>
          <w:divBdr>
            <w:top w:val="none" w:sz="0" w:space="0" w:color="auto"/>
            <w:left w:val="none" w:sz="0" w:space="0" w:color="auto"/>
            <w:bottom w:val="none" w:sz="0" w:space="0" w:color="auto"/>
            <w:right w:val="none" w:sz="0" w:space="0" w:color="auto"/>
          </w:divBdr>
          <w:divsChild>
            <w:div w:id="541480781">
              <w:marLeft w:val="0"/>
              <w:marRight w:val="0"/>
              <w:marTop w:val="0"/>
              <w:marBottom w:val="0"/>
              <w:divBdr>
                <w:top w:val="none" w:sz="0" w:space="0" w:color="auto"/>
                <w:left w:val="none" w:sz="0" w:space="0" w:color="auto"/>
                <w:bottom w:val="none" w:sz="0" w:space="0" w:color="auto"/>
                <w:right w:val="none" w:sz="0" w:space="0" w:color="auto"/>
              </w:divBdr>
              <w:divsChild>
                <w:div w:id="1315183162">
                  <w:marLeft w:val="0"/>
                  <w:marRight w:val="0"/>
                  <w:marTop w:val="0"/>
                  <w:marBottom w:val="0"/>
                  <w:divBdr>
                    <w:top w:val="none" w:sz="0" w:space="0" w:color="auto"/>
                    <w:left w:val="none" w:sz="0" w:space="0" w:color="auto"/>
                    <w:bottom w:val="none" w:sz="0" w:space="0" w:color="auto"/>
                    <w:right w:val="none" w:sz="0" w:space="0" w:color="auto"/>
                  </w:divBdr>
                  <w:divsChild>
                    <w:div w:id="468593682">
                      <w:marLeft w:val="0"/>
                      <w:marRight w:val="0"/>
                      <w:marTop w:val="0"/>
                      <w:marBottom w:val="0"/>
                      <w:divBdr>
                        <w:top w:val="none" w:sz="0" w:space="0" w:color="auto"/>
                        <w:left w:val="none" w:sz="0" w:space="0" w:color="auto"/>
                        <w:bottom w:val="none" w:sz="0" w:space="0" w:color="auto"/>
                        <w:right w:val="none" w:sz="0" w:space="0" w:color="auto"/>
                      </w:divBdr>
                      <w:divsChild>
                        <w:div w:id="1134177874">
                          <w:marLeft w:val="0"/>
                          <w:marRight w:val="0"/>
                          <w:marTop w:val="0"/>
                          <w:marBottom w:val="0"/>
                          <w:divBdr>
                            <w:top w:val="none" w:sz="0" w:space="0" w:color="auto"/>
                            <w:left w:val="none" w:sz="0" w:space="0" w:color="auto"/>
                            <w:bottom w:val="none" w:sz="0" w:space="0" w:color="auto"/>
                            <w:right w:val="none" w:sz="0" w:space="0" w:color="auto"/>
                          </w:divBdr>
                          <w:divsChild>
                            <w:div w:id="3820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39402">
      <w:bodyDiv w:val="1"/>
      <w:marLeft w:val="0"/>
      <w:marRight w:val="0"/>
      <w:marTop w:val="0"/>
      <w:marBottom w:val="0"/>
      <w:divBdr>
        <w:top w:val="none" w:sz="0" w:space="0" w:color="auto"/>
        <w:left w:val="none" w:sz="0" w:space="0" w:color="auto"/>
        <w:bottom w:val="none" w:sz="0" w:space="0" w:color="auto"/>
        <w:right w:val="none" w:sz="0" w:space="0" w:color="auto"/>
      </w:divBdr>
      <w:divsChild>
        <w:div w:id="1882474983">
          <w:marLeft w:val="0"/>
          <w:marRight w:val="0"/>
          <w:marTop w:val="0"/>
          <w:marBottom w:val="0"/>
          <w:divBdr>
            <w:top w:val="none" w:sz="0" w:space="0" w:color="auto"/>
            <w:left w:val="none" w:sz="0" w:space="0" w:color="auto"/>
            <w:bottom w:val="none" w:sz="0" w:space="0" w:color="auto"/>
            <w:right w:val="none" w:sz="0" w:space="0" w:color="auto"/>
          </w:divBdr>
          <w:divsChild>
            <w:div w:id="122817249">
              <w:marLeft w:val="0"/>
              <w:marRight w:val="0"/>
              <w:marTop w:val="0"/>
              <w:marBottom w:val="0"/>
              <w:divBdr>
                <w:top w:val="none" w:sz="0" w:space="0" w:color="auto"/>
                <w:left w:val="none" w:sz="0" w:space="0" w:color="auto"/>
                <w:bottom w:val="none" w:sz="0" w:space="0" w:color="auto"/>
                <w:right w:val="none" w:sz="0" w:space="0" w:color="auto"/>
              </w:divBdr>
              <w:divsChild>
                <w:div w:id="1098982092">
                  <w:marLeft w:val="0"/>
                  <w:marRight w:val="0"/>
                  <w:marTop w:val="0"/>
                  <w:marBottom w:val="0"/>
                  <w:divBdr>
                    <w:top w:val="none" w:sz="0" w:space="0" w:color="auto"/>
                    <w:left w:val="none" w:sz="0" w:space="0" w:color="auto"/>
                    <w:bottom w:val="none" w:sz="0" w:space="0" w:color="auto"/>
                    <w:right w:val="none" w:sz="0" w:space="0" w:color="auto"/>
                  </w:divBdr>
                  <w:divsChild>
                    <w:div w:id="1065033034">
                      <w:marLeft w:val="0"/>
                      <w:marRight w:val="0"/>
                      <w:marTop w:val="0"/>
                      <w:marBottom w:val="0"/>
                      <w:divBdr>
                        <w:top w:val="none" w:sz="0" w:space="0" w:color="auto"/>
                        <w:left w:val="none" w:sz="0" w:space="0" w:color="auto"/>
                        <w:bottom w:val="none" w:sz="0" w:space="0" w:color="auto"/>
                        <w:right w:val="none" w:sz="0" w:space="0" w:color="auto"/>
                      </w:divBdr>
                      <w:divsChild>
                        <w:div w:id="918638512">
                          <w:marLeft w:val="0"/>
                          <w:marRight w:val="0"/>
                          <w:marTop w:val="0"/>
                          <w:marBottom w:val="0"/>
                          <w:divBdr>
                            <w:top w:val="none" w:sz="0" w:space="0" w:color="auto"/>
                            <w:left w:val="none" w:sz="0" w:space="0" w:color="auto"/>
                            <w:bottom w:val="none" w:sz="0" w:space="0" w:color="auto"/>
                            <w:right w:val="none" w:sz="0" w:space="0" w:color="auto"/>
                          </w:divBdr>
                          <w:divsChild>
                            <w:div w:id="18209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14254">
      <w:bodyDiv w:val="1"/>
      <w:marLeft w:val="0"/>
      <w:marRight w:val="0"/>
      <w:marTop w:val="0"/>
      <w:marBottom w:val="0"/>
      <w:divBdr>
        <w:top w:val="none" w:sz="0" w:space="0" w:color="auto"/>
        <w:left w:val="none" w:sz="0" w:space="0" w:color="auto"/>
        <w:bottom w:val="none" w:sz="0" w:space="0" w:color="auto"/>
        <w:right w:val="none" w:sz="0" w:space="0" w:color="auto"/>
      </w:divBdr>
    </w:div>
    <w:div w:id="795638594">
      <w:bodyDiv w:val="1"/>
      <w:marLeft w:val="0"/>
      <w:marRight w:val="0"/>
      <w:marTop w:val="0"/>
      <w:marBottom w:val="0"/>
      <w:divBdr>
        <w:top w:val="none" w:sz="0" w:space="0" w:color="auto"/>
        <w:left w:val="none" w:sz="0" w:space="0" w:color="auto"/>
        <w:bottom w:val="none" w:sz="0" w:space="0" w:color="auto"/>
        <w:right w:val="none" w:sz="0" w:space="0" w:color="auto"/>
      </w:divBdr>
      <w:divsChild>
        <w:div w:id="1608929036">
          <w:marLeft w:val="0"/>
          <w:marRight w:val="0"/>
          <w:marTop w:val="0"/>
          <w:marBottom w:val="0"/>
          <w:divBdr>
            <w:top w:val="none" w:sz="0" w:space="0" w:color="auto"/>
            <w:left w:val="none" w:sz="0" w:space="0" w:color="auto"/>
            <w:bottom w:val="none" w:sz="0" w:space="0" w:color="auto"/>
            <w:right w:val="none" w:sz="0" w:space="0" w:color="auto"/>
          </w:divBdr>
          <w:divsChild>
            <w:div w:id="1033112646">
              <w:marLeft w:val="0"/>
              <w:marRight w:val="0"/>
              <w:marTop w:val="0"/>
              <w:marBottom w:val="0"/>
              <w:divBdr>
                <w:top w:val="none" w:sz="0" w:space="0" w:color="auto"/>
                <w:left w:val="none" w:sz="0" w:space="0" w:color="auto"/>
                <w:bottom w:val="none" w:sz="0" w:space="0" w:color="auto"/>
                <w:right w:val="none" w:sz="0" w:space="0" w:color="auto"/>
              </w:divBdr>
              <w:divsChild>
                <w:div w:id="362753983">
                  <w:marLeft w:val="0"/>
                  <w:marRight w:val="0"/>
                  <w:marTop w:val="0"/>
                  <w:marBottom w:val="0"/>
                  <w:divBdr>
                    <w:top w:val="none" w:sz="0" w:space="0" w:color="auto"/>
                    <w:left w:val="none" w:sz="0" w:space="0" w:color="auto"/>
                    <w:bottom w:val="none" w:sz="0" w:space="0" w:color="auto"/>
                    <w:right w:val="none" w:sz="0" w:space="0" w:color="auto"/>
                  </w:divBdr>
                  <w:divsChild>
                    <w:div w:id="690033249">
                      <w:marLeft w:val="0"/>
                      <w:marRight w:val="0"/>
                      <w:marTop w:val="0"/>
                      <w:marBottom w:val="0"/>
                      <w:divBdr>
                        <w:top w:val="none" w:sz="0" w:space="0" w:color="auto"/>
                        <w:left w:val="none" w:sz="0" w:space="0" w:color="auto"/>
                        <w:bottom w:val="none" w:sz="0" w:space="0" w:color="auto"/>
                        <w:right w:val="none" w:sz="0" w:space="0" w:color="auto"/>
                      </w:divBdr>
                      <w:divsChild>
                        <w:div w:id="451438420">
                          <w:marLeft w:val="0"/>
                          <w:marRight w:val="0"/>
                          <w:marTop w:val="0"/>
                          <w:marBottom w:val="0"/>
                          <w:divBdr>
                            <w:top w:val="none" w:sz="0" w:space="0" w:color="auto"/>
                            <w:left w:val="none" w:sz="0" w:space="0" w:color="auto"/>
                            <w:bottom w:val="none" w:sz="0" w:space="0" w:color="auto"/>
                            <w:right w:val="none" w:sz="0" w:space="0" w:color="auto"/>
                          </w:divBdr>
                          <w:divsChild>
                            <w:div w:id="19135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449037">
      <w:bodyDiv w:val="1"/>
      <w:marLeft w:val="0"/>
      <w:marRight w:val="0"/>
      <w:marTop w:val="0"/>
      <w:marBottom w:val="0"/>
      <w:divBdr>
        <w:top w:val="none" w:sz="0" w:space="0" w:color="auto"/>
        <w:left w:val="none" w:sz="0" w:space="0" w:color="auto"/>
        <w:bottom w:val="none" w:sz="0" w:space="0" w:color="auto"/>
        <w:right w:val="none" w:sz="0" w:space="0" w:color="auto"/>
      </w:divBdr>
      <w:divsChild>
        <w:div w:id="1048913901">
          <w:marLeft w:val="0"/>
          <w:marRight w:val="0"/>
          <w:marTop w:val="0"/>
          <w:marBottom w:val="0"/>
          <w:divBdr>
            <w:top w:val="none" w:sz="0" w:space="0" w:color="auto"/>
            <w:left w:val="none" w:sz="0" w:space="0" w:color="auto"/>
            <w:bottom w:val="none" w:sz="0" w:space="0" w:color="auto"/>
            <w:right w:val="none" w:sz="0" w:space="0" w:color="auto"/>
          </w:divBdr>
          <w:divsChild>
            <w:div w:id="326632456">
              <w:marLeft w:val="0"/>
              <w:marRight w:val="0"/>
              <w:marTop w:val="0"/>
              <w:marBottom w:val="0"/>
              <w:divBdr>
                <w:top w:val="none" w:sz="0" w:space="0" w:color="auto"/>
                <w:left w:val="none" w:sz="0" w:space="0" w:color="auto"/>
                <w:bottom w:val="none" w:sz="0" w:space="0" w:color="auto"/>
                <w:right w:val="none" w:sz="0" w:space="0" w:color="auto"/>
              </w:divBdr>
              <w:divsChild>
                <w:div w:id="1889026260">
                  <w:marLeft w:val="0"/>
                  <w:marRight w:val="0"/>
                  <w:marTop w:val="0"/>
                  <w:marBottom w:val="0"/>
                  <w:divBdr>
                    <w:top w:val="none" w:sz="0" w:space="0" w:color="auto"/>
                    <w:left w:val="none" w:sz="0" w:space="0" w:color="auto"/>
                    <w:bottom w:val="none" w:sz="0" w:space="0" w:color="auto"/>
                    <w:right w:val="none" w:sz="0" w:space="0" w:color="auto"/>
                  </w:divBdr>
                  <w:divsChild>
                    <w:div w:id="1801920313">
                      <w:marLeft w:val="0"/>
                      <w:marRight w:val="0"/>
                      <w:marTop w:val="0"/>
                      <w:marBottom w:val="0"/>
                      <w:divBdr>
                        <w:top w:val="none" w:sz="0" w:space="0" w:color="auto"/>
                        <w:left w:val="none" w:sz="0" w:space="0" w:color="auto"/>
                        <w:bottom w:val="none" w:sz="0" w:space="0" w:color="auto"/>
                        <w:right w:val="none" w:sz="0" w:space="0" w:color="auto"/>
                      </w:divBdr>
                      <w:divsChild>
                        <w:div w:id="1455633154">
                          <w:marLeft w:val="0"/>
                          <w:marRight w:val="0"/>
                          <w:marTop w:val="0"/>
                          <w:marBottom w:val="0"/>
                          <w:divBdr>
                            <w:top w:val="none" w:sz="0" w:space="0" w:color="auto"/>
                            <w:left w:val="none" w:sz="0" w:space="0" w:color="auto"/>
                            <w:bottom w:val="none" w:sz="0" w:space="0" w:color="auto"/>
                            <w:right w:val="none" w:sz="0" w:space="0" w:color="auto"/>
                          </w:divBdr>
                          <w:divsChild>
                            <w:div w:id="19630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181467">
      <w:bodyDiv w:val="1"/>
      <w:marLeft w:val="0"/>
      <w:marRight w:val="0"/>
      <w:marTop w:val="0"/>
      <w:marBottom w:val="0"/>
      <w:divBdr>
        <w:top w:val="none" w:sz="0" w:space="0" w:color="auto"/>
        <w:left w:val="none" w:sz="0" w:space="0" w:color="auto"/>
        <w:bottom w:val="none" w:sz="0" w:space="0" w:color="auto"/>
        <w:right w:val="none" w:sz="0" w:space="0" w:color="auto"/>
      </w:divBdr>
      <w:divsChild>
        <w:div w:id="1742175342">
          <w:marLeft w:val="0"/>
          <w:marRight w:val="0"/>
          <w:marTop w:val="0"/>
          <w:marBottom w:val="0"/>
          <w:divBdr>
            <w:top w:val="none" w:sz="0" w:space="0" w:color="auto"/>
            <w:left w:val="none" w:sz="0" w:space="0" w:color="auto"/>
            <w:bottom w:val="none" w:sz="0" w:space="0" w:color="auto"/>
            <w:right w:val="none" w:sz="0" w:space="0" w:color="auto"/>
          </w:divBdr>
          <w:divsChild>
            <w:div w:id="1235123064">
              <w:marLeft w:val="0"/>
              <w:marRight w:val="0"/>
              <w:marTop w:val="0"/>
              <w:marBottom w:val="0"/>
              <w:divBdr>
                <w:top w:val="none" w:sz="0" w:space="0" w:color="auto"/>
                <w:left w:val="none" w:sz="0" w:space="0" w:color="auto"/>
                <w:bottom w:val="none" w:sz="0" w:space="0" w:color="auto"/>
                <w:right w:val="none" w:sz="0" w:space="0" w:color="auto"/>
              </w:divBdr>
              <w:divsChild>
                <w:div w:id="468786233">
                  <w:marLeft w:val="0"/>
                  <w:marRight w:val="0"/>
                  <w:marTop w:val="0"/>
                  <w:marBottom w:val="0"/>
                  <w:divBdr>
                    <w:top w:val="none" w:sz="0" w:space="0" w:color="auto"/>
                    <w:left w:val="none" w:sz="0" w:space="0" w:color="auto"/>
                    <w:bottom w:val="none" w:sz="0" w:space="0" w:color="auto"/>
                    <w:right w:val="none" w:sz="0" w:space="0" w:color="auto"/>
                  </w:divBdr>
                  <w:divsChild>
                    <w:div w:id="148404984">
                      <w:marLeft w:val="0"/>
                      <w:marRight w:val="0"/>
                      <w:marTop w:val="0"/>
                      <w:marBottom w:val="0"/>
                      <w:divBdr>
                        <w:top w:val="none" w:sz="0" w:space="0" w:color="auto"/>
                        <w:left w:val="none" w:sz="0" w:space="0" w:color="auto"/>
                        <w:bottom w:val="none" w:sz="0" w:space="0" w:color="auto"/>
                        <w:right w:val="none" w:sz="0" w:space="0" w:color="auto"/>
                      </w:divBdr>
                      <w:divsChild>
                        <w:div w:id="451443053">
                          <w:marLeft w:val="0"/>
                          <w:marRight w:val="0"/>
                          <w:marTop w:val="0"/>
                          <w:marBottom w:val="0"/>
                          <w:divBdr>
                            <w:top w:val="none" w:sz="0" w:space="0" w:color="auto"/>
                            <w:left w:val="none" w:sz="0" w:space="0" w:color="auto"/>
                            <w:bottom w:val="none" w:sz="0" w:space="0" w:color="auto"/>
                            <w:right w:val="none" w:sz="0" w:space="0" w:color="auto"/>
                          </w:divBdr>
                          <w:divsChild>
                            <w:div w:id="15126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274415">
      <w:bodyDiv w:val="1"/>
      <w:marLeft w:val="0"/>
      <w:marRight w:val="0"/>
      <w:marTop w:val="0"/>
      <w:marBottom w:val="0"/>
      <w:divBdr>
        <w:top w:val="none" w:sz="0" w:space="0" w:color="auto"/>
        <w:left w:val="none" w:sz="0" w:space="0" w:color="auto"/>
        <w:bottom w:val="none" w:sz="0" w:space="0" w:color="auto"/>
        <w:right w:val="none" w:sz="0" w:space="0" w:color="auto"/>
      </w:divBdr>
    </w:div>
    <w:div w:id="1085490618">
      <w:bodyDiv w:val="1"/>
      <w:marLeft w:val="0"/>
      <w:marRight w:val="0"/>
      <w:marTop w:val="0"/>
      <w:marBottom w:val="0"/>
      <w:divBdr>
        <w:top w:val="none" w:sz="0" w:space="0" w:color="auto"/>
        <w:left w:val="none" w:sz="0" w:space="0" w:color="auto"/>
        <w:bottom w:val="none" w:sz="0" w:space="0" w:color="auto"/>
        <w:right w:val="none" w:sz="0" w:space="0" w:color="auto"/>
      </w:divBdr>
      <w:divsChild>
        <w:div w:id="747268235">
          <w:marLeft w:val="0"/>
          <w:marRight w:val="0"/>
          <w:marTop w:val="0"/>
          <w:marBottom w:val="0"/>
          <w:divBdr>
            <w:top w:val="none" w:sz="0" w:space="0" w:color="auto"/>
            <w:left w:val="none" w:sz="0" w:space="0" w:color="auto"/>
            <w:bottom w:val="none" w:sz="0" w:space="0" w:color="auto"/>
            <w:right w:val="none" w:sz="0" w:space="0" w:color="auto"/>
          </w:divBdr>
          <w:divsChild>
            <w:div w:id="1896239214">
              <w:marLeft w:val="0"/>
              <w:marRight w:val="0"/>
              <w:marTop w:val="0"/>
              <w:marBottom w:val="0"/>
              <w:divBdr>
                <w:top w:val="none" w:sz="0" w:space="0" w:color="auto"/>
                <w:left w:val="none" w:sz="0" w:space="0" w:color="auto"/>
                <w:bottom w:val="none" w:sz="0" w:space="0" w:color="auto"/>
                <w:right w:val="none" w:sz="0" w:space="0" w:color="auto"/>
              </w:divBdr>
              <w:divsChild>
                <w:div w:id="477457322">
                  <w:marLeft w:val="0"/>
                  <w:marRight w:val="0"/>
                  <w:marTop w:val="0"/>
                  <w:marBottom w:val="0"/>
                  <w:divBdr>
                    <w:top w:val="none" w:sz="0" w:space="0" w:color="auto"/>
                    <w:left w:val="none" w:sz="0" w:space="0" w:color="auto"/>
                    <w:bottom w:val="none" w:sz="0" w:space="0" w:color="auto"/>
                    <w:right w:val="none" w:sz="0" w:space="0" w:color="auto"/>
                  </w:divBdr>
                  <w:divsChild>
                    <w:div w:id="1213811004">
                      <w:marLeft w:val="0"/>
                      <w:marRight w:val="0"/>
                      <w:marTop w:val="0"/>
                      <w:marBottom w:val="0"/>
                      <w:divBdr>
                        <w:top w:val="none" w:sz="0" w:space="0" w:color="auto"/>
                        <w:left w:val="none" w:sz="0" w:space="0" w:color="auto"/>
                        <w:bottom w:val="none" w:sz="0" w:space="0" w:color="auto"/>
                        <w:right w:val="none" w:sz="0" w:space="0" w:color="auto"/>
                      </w:divBdr>
                      <w:divsChild>
                        <w:div w:id="414741694">
                          <w:marLeft w:val="0"/>
                          <w:marRight w:val="0"/>
                          <w:marTop w:val="0"/>
                          <w:marBottom w:val="0"/>
                          <w:divBdr>
                            <w:top w:val="none" w:sz="0" w:space="0" w:color="auto"/>
                            <w:left w:val="none" w:sz="0" w:space="0" w:color="auto"/>
                            <w:bottom w:val="none" w:sz="0" w:space="0" w:color="auto"/>
                            <w:right w:val="none" w:sz="0" w:space="0" w:color="auto"/>
                          </w:divBdr>
                          <w:divsChild>
                            <w:div w:id="4877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854318">
      <w:bodyDiv w:val="1"/>
      <w:marLeft w:val="0"/>
      <w:marRight w:val="0"/>
      <w:marTop w:val="0"/>
      <w:marBottom w:val="0"/>
      <w:divBdr>
        <w:top w:val="none" w:sz="0" w:space="0" w:color="auto"/>
        <w:left w:val="none" w:sz="0" w:space="0" w:color="auto"/>
        <w:bottom w:val="none" w:sz="0" w:space="0" w:color="auto"/>
        <w:right w:val="none" w:sz="0" w:space="0" w:color="auto"/>
      </w:divBdr>
      <w:divsChild>
        <w:div w:id="279261052">
          <w:marLeft w:val="0"/>
          <w:marRight w:val="0"/>
          <w:marTop w:val="0"/>
          <w:marBottom w:val="0"/>
          <w:divBdr>
            <w:top w:val="none" w:sz="0" w:space="0" w:color="auto"/>
            <w:left w:val="none" w:sz="0" w:space="0" w:color="auto"/>
            <w:bottom w:val="none" w:sz="0" w:space="0" w:color="auto"/>
            <w:right w:val="none" w:sz="0" w:space="0" w:color="auto"/>
          </w:divBdr>
          <w:divsChild>
            <w:div w:id="1830172673">
              <w:marLeft w:val="0"/>
              <w:marRight w:val="0"/>
              <w:marTop w:val="0"/>
              <w:marBottom w:val="0"/>
              <w:divBdr>
                <w:top w:val="none" w:sz="0" w:space="0" w:color="auto"/>
                <w:left w:val="none" w:sz="0" w:space="0" w:color="auto"/>
                <w:bottom w:val="none" w:sz="0" w:space="0" w:color="auto"/>
                <w:right w:val="none" w:sz="0" w:space="0" w:color="auto"/>
              </w:divBdr>
              <w:divsChild>
                <w:div w:id="1876893491">
                  <w:marLeft w:val="0"/>
                  <w:marRight w:val="0"/>
                  <w:marTop w:val="0"/>
                  <w:marBottom w:val="0"/>
                  <w:divBdr>
                    <w:top w:val="none" w:sz="0" w:space="0" w:color="auto"/>
                    <w:left w:val="none" w:sz="0" w:space="0" w:color="auto"/>
                    <w:bottom w:val="none" w:sz="0" w:space="0" w:color="auto"/>
                    <w:right w:val="none" w:sz="0" w:space="0" w:color="auto"/>
                  </w:divBdr>
                  <w:divsChild>
                    <w:div w:id="548758955">
                      <w:marLeft w:val="0"/>
                      <w:marRight w:val="0"/>
                      <w:marTop w:val="0"/>
                      <w:marBottom w:val="0"/>
                      <w:divBdr>
                        <w:top w:val="none" w:sz="0" w:space="0" w:color="auto"/>
                        <w:left w:val="none" w:sz="0" w:space="0" w:color="auto"/>
                        <w:bottom w:val="none" w:sz="0" w:space="0" w:color="auto"/>
                        <w:right w:val="none" w:sz="0" w:space="0" w:color="auto"/>
                      </w:divBdr>
                      <w:divsChild>
                        <w:div w:id="30763063">
                          <w:marLeft w:val="0"/>
                          <w:marRight w:val="0"/>
                          <w:marTop w:val="0"/>
                          <w:marBottom w:val="0"/>
                          <w:divBdr>
                            <w:top w:val="none" w:sz="0" w:space="0" w:color="auto"/>
                            <w:left w:val="none" w:sz="0" w:space="0" w:color="auto"/>
                            <w:bottom w:val="none" w:sz="0" w:space="0" w:color="auto"/>
                            <w:right w:val="none" w:sz="0" w:space="0" w:color="auto"/>
                          </w:divBdr>
                          <w:divsChild>
                            <w:div w:id="11514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629603">
      <w:bodyDiv w:val="1"/>
      <w:marLeft w:val="0"/>
      <w:marRight w:val="0"/>
      <w:marTop w:val="0"/>
      <w:marBottom w:val="0"/>
      <w:divBdr>
        <w:top w:val="none" w:sz="0" w:space="0" w:color="auto"/>
        <w:left w:val="none" w:sz="0" w:space="0" w:color="auto"/>
        <w:bottom w:val="none" w:sz="0" w:space="0" w:color="auto"/>
        <w:right w:val="none" w:sz="0" w:space="0" w:color="auto"/>
      </w:divBdr>
    </w:div>
    <w:div w:id="1224020359">
      <w:bodyDiv w:val="1"/>
      <w:marLeft w:val="0"/>
      <w:marRight w:val="0"/>
      <w:marTop w:val="0"/>
      <w:marBottom w:val="0"/>
      <w:divBdr>
        <w:top w:val="none" w:sz="0" w:space="0" w:color="auto"/>
        <w:left w:val="none" w:sz="0" w:space="0" w:color="auto"/>
        <w:bottom w:val="none" w:sz="0" w:space="0" w:color="auto"/>
        <w:right w:val="none" w:sz="0" w:space="0" w:color="auto"/>
      </w:divBdr>
    </w:div>
    <w:div w:id="1245264107">
      <w:bodyDiv w:val="1"/>
      <w:marLeft w:val="0"/>
      <w:marRight w:val="0"/>
      <w:marTop w:val="0"/>
      <w:marBottom w:val="0"/>
      <w:divBdr>
        <w:top w:val="none" w:sz="0" w:space="0" w:color="auto"/>
        <w:left w:val="none" w:sz="0" w:space="0" w:color="auto"/>
        <w:bottom w:val="none" w:sz="0" w:space="0" w:color="auto"/>
        <w:right w:val="none" w:sz="0" w:space="0" w:color="auto"/>
      </w:divBdr>
      <w:divsChild>
        <w:div w:id="933510861">
          <w:marLeft w:val="0"/>
          <w:marRight w:val="0"/>
          <w:marTop w:val="0"/>
          <w:marBottom w:val="0"/>
          <w:divBdr>
            <w:top w:val="none" w:sz="0" w:space="0" w:color="auto"/>
            <w:left w:val="none" w:sz="0" w:space="0" w:color="auto"/>
            <w:bottom w:val="none" w:sz="0" w:space="0" w:color="auto"/>
            <w:right w:val="none" w:sz="0" w:space="0" w:color="auto"/>
          </w:divBdr>
          <w:divsChild>
            <w:div w:id="1585067427">
              <w:marLeft w:val="0"/>
              <w:marRight w:val="0"/>
              <w:marTop w:val="0"/>
              <w:marBottom w:val="0"/>
              <w:divBdr>
                <w:top w:val="none" w:sz="0" w:space="0" w:color="auto"/>
                <w:left w:val="none" w:sz="0" w:space="0" w:color="auto"/>
                <w:bottom w:val="none" w:sz="0" w:space="0" w:color="auto"/>
                <w:right w:val="none" w:sz="0" w:space="0" w:color="auto"/>
              </w:divBdr>
              <w:divsChild>
                <w:div w:id="1048601503">
                  <w:marLeft w:val="0"/>
                  <w:marRight w:val="0"/>
                  <w:marTop w:val="0"/>
                  <w:marBottom w:val="0"/>
                  <w:divBdr>
                    <w:top w:val="none" w:sz="0" w:space="0" w:color="auto"/>
                    <w:left w:val="none" w:sz="0" w:space="0" w:color="auto"/>
                    <w:bottom w:val="none" w:sz="0" w:space="0" w:color="auto"/>
                    <w:right w:val="none" w:sz="0" w:space="0" w:color="auto"/>
                  </w:divBdr>
                  <w:divsChild>
                    <w:div w:id="2058817725">
                      <w:marLeft w:val="0"/>
                      <w:marRight w:val="0"/>
                      <w:marTop w:val="0"/>
                      <w:marBottom w:val="0"/>
                      <w:divBdr>
                        <w:top w:val="none" w:sz="0" w:space="0" w:color="auto"/>
                        <w:left w:val="none" w:sz="0" w:space="0" w:color="auto"/>
                        <w:bottom w:val="none" w:sz="0" w:space="0" w:color="auto"/>
                        <w:right w:val="none" w:sz="0" w:space="0" w:color="auto"/>
                      </w:divBdr>
                      <w:divsChild>
                        <w:div w:id="19669955">
                          <w:marLeft w:val="0"/>
                          <w:marRight w:val="0"/>
                          <w:marTop w:val="0"/>
                          <w:marBottom w:val="0"/>
                          <w:divBdr>
                            <w:top w:val="none" w:sz="0" w:space="0" w:color="auto"/>
                            <w:left w:val="none" w:sz="0" w:space="0" w:color="auto"/>
                            <w:bottom w:val="none" w:sz="0" w:space="0" w:color="auto"/>
                            <w:right w:val="none" w:sz="0" w:space="0" w:color="auto"/>
                          </w:divBdr>
                          <w:divsChild>
                            <w:div w:id="19681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842725">
      <w:bodyDiv w:val="1"/>
      <w:marLeft w:val="0"/>
      <w:marRight w:val="0"/>
      <w:marTop w:val="0"/>
      <w:marBottom w:val="0"/>
      <w:divBdr>
        <w:top w:val="none" w:sz="0" w:space="0" w:color="auto"/>
        <w:left w:val="none" w:sz="0" w:space="0" w:color="auto"/>
        <w:bottom w:val="none" w:sz="0" w:space="0" w:color="auto"/>
        <w:right w:val="none" w:sz="0" w:space="0" w:color="auto"/>
      </w:divBdr>
      <w:divsChild>
        <w:div w:id="1532760818">
          <w:marLeft w:val="0"/>
          <w:marRight w:val="0"/>
          <w:marTop w:val="0"/>
          <w:marBottom w:val="0"/>
          <w:divBdr>
            <w:top w:val="none" w:sz="0" w:space="0" w:color="auto"/>
            <w:left w:val="none" w:sz="0" w:space="0" w:color="auto"/>
            <w:bottom w:val="none" w:sz="0" w:space="0" w:color="auto"/>
            <w:right w:val="none" w:sz="0" w:space="0" w:color="auto"/>
          </w:divBdr>
          <w:divsChild>
            <w:div w:id="1442609940">
              <w:marLeft w:val="0"/>
              <w:marRight w:val="0"/>
              <w:marTop w:val="0"/>
              <w:marBottom w:val="0"/>
              <w:divBdr>
                <w:top w:val="none" w:sz="0" w:space="0" w:color="auto"/>
                <w:left w:val="none" w:sz="0" w:space="0" w:color="auto"/>
                <w:bottom w:val="none" w:sz="0" w:space="0" w:color="auto"/>
                <w:right w:val="none" w:sz="0" w:space="0" w:color="auto"/>
              </w:divBdr>
              <w:divsChild>
                <w:div w:id="878199498">
                  <w:marLeft w:val="0"/>
                  <w:marRight w:val="0"/>
                  <w:marTop w:val="0"/>
                  <w:marBottom w:val="0"/>
                  <w:divBdr>
                    <w:top w:val="none" w:sz="0" w:space="0" w:color="auto"/>
                    <w:left w:val="none" w:sz="0" w:space="0" w:color="auto"/>
                    <w:bottom w:val="none" w:sz="0" w:space="0" w:color="auto"/>
                    <w:right w:val="none" w:sz="0" w:space="0" w:color="auto"/>
                  </w:divBdr>
                  <w:divsChild>
                    <w:div w:id="300116901">
                      <w:marLeft w:val="0"/>
                      <w:marRight w:val="0"/>
                      <w:marTop w:val="0"/>
                      <w:marBottom w:val="0"/>
                      <w:divBdr>
                        <w:top w:val="none" w:sz="0" w:space="0" w:color="auto"/>
                        <w:left w:val="none" w:sz="0" w:space="0" w:color="auto"/>
                        <w:bottom w:val="none" w:sz="0" w:space="0" w:color="auto"/>
                        <w:right w:val="none" w:sz="0" w:space="0" w:color="auto"/>
                      </w:divBdr>
                      <w:divsChild>
                        <w:div w:id="1664236382">
                          <w:marLeft w:val="0"/>
                          <w:marRight w:val="0"/>
                          <w:marTop w:val="0"/>
                          <w:marBottom w:val="0"/>
                          <w:divBdr>
                            <w:top w:val="none" w:sz="0" w:space="0" w:color="auto"/>
                            <w:left w:val="none" w:sz="0" w:space="0" w:color="auto"/>
                            <w:bottom w:val="none" w:sz="0" w:space="0" w:color="auto"/>
                            <w:right w:val="none" w:sz="0" w:space="0" w:color="auto"/>
                          </w:divBdr>
                          <w:divsChild>
                            <w:div w:id="11797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396">
      <w:bodyDiv w:val="1"/>
      <w:marLeft w:val="0"/>
      <w:marRight w:val="0"/>
      <w:marTop w:val="0"/>
      <w:marBottom w:val="0"/>
      <w:divBdr>
        <w:top w:val="none" w:sz="0" w:space="0" w:color="auto"/>
        <w:left w:val="none" w:sz="0" w:space="0" w:color="auto"/>
        <w:bottom w:val="none" w:sz="0" w:space="0" w:color="auto"/>
        <w:right w:val="none" w:sz="0" w:space="0" w:color="auto"/>
      </w:divBdr>
      <w:divsChild>
        <w:div w:id="310646103">
          <w:marLeft w:val="0"/>
          <w:marRight w:val="0"/>
          <w:marTop w:val="0"/>
          <w:marBottom w:val="0"/>
          <w:divBdr>
            <w:top w:val="none" w:sz="0" w:space="0" w:color="auto"/>
            <w:left w:val="none" w:sz="0" w:space="0" w:color="auto"/>
            <w:bottom w:val="none" w:sz="0" w:space="0" w:color="auto"/>
            <w:right w:val="none" w:sz="0" w:space="0" w:color="auto"/>
          </w:divBdr>
          <w:divsChild>
            <w:div w:id="856041485">
              <w:marLeft w:val="0"/>
              <w:marRight w:val="0"/>
              <w:marTop w:val="0"/>
              <w:marBottom w:val="0"/>
              <w:divBdr>
                <w:top w:val="none" w:sz="0" w:space="0" w:color="auto"/>
                <w:left w:val="none" w:sz="0" w:space="0" w:color="auto"/>
                <w:bottom w:val="none" w:sz="0" w:space="0" w:color="auto"/>
                <w:right w:val="none" w:sz="0" w:space="0" w:color="auto"/>
              </w:divBdr>
              <w:divsChild>
                <w:div w:id="214506259">
                  <w:marLeft w:val="0"/>
                  <w:marRight w:val="0"/>
                  <w:marTop w:val="0"/>
                  <w:marBottom w:val="0"/>
                  <w:divBdr>
                    <w:top w:val="none" w:sz="0" w:space="0" w:color="auto"/>
                    <w:left w:val="none" w:sz="0" w:space="0" w:color="auto"/>
                    <w:bottom w:val="none" w:sz="0" w:space="0" w:color="auto"/>
                    <w:right w:val="none" w:sz="0" w:space="0" w:color="auto"/>
                  </w:divBdr>
                  <w:divsChild>
                    <w:div w:id="1230000998">
                      <w:marLeft w:val="0"/>
                      <w:marRight w:val="0"/>
                      <w:marTop w:val="0"/>
                      <w:marBottom w:val="0"/>
                      <w:divBdr>
                        <w:top w:val="none" w:sz="0" w:space="0" w:color="auto"/>
                        <w:left w:val="none" w:sz="0" w:space="0" w:color="auto"/>
                        <w:bottom w:val="none" w:sz="0" w:space="0" w:color="auto"/>
                        <w:right w:val="none" w:sz="0" w:space="0" w:color="auto"/>
                      </w:divBdr>
                      <w:divsChild>
                        <w:div w:id="1062675247">
                          <w:marLeft w:val="0"/>
                          <w:marRight w:val="0"/>
                          <w:marTop w:val="0"/>
                          <w:marBottom w:val="0"/>
                          <w:divBdr>
                            <w:top w:val="none" w:sz="0" w:space="0" w:color="auto"/>
                            <w:left w:val="none" w:sz="0" w:space="0" w:color="auto"/>
                            <w:bottom w:val="none" w:sz="0" w:space="0" w:color="auto"/>
                            <w:right w:val="none" w:sz="0" w:space="0" w:color="auto"/>
                          </w:divBdr>
                          <w:divsChild>
                            <w:div w:id="8106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429983">
      <w:bodyDiv w:val="1"/>
      <w:marLeft w:val="0"/>
      <w:marRight w:val="0"/>
      <w:marTop w:val="0"/>
      <w:marBottom w:val="0"/>
      <w:divBdr>
        <w:top w:val="none" w:sz="0" w:space="0" w:color="auto"/>
        <w:left w:val="none" w:sz="0" w:space="0" w:color="auto"/>
        <w:bottom w:val="none" w:sz="0" w:space="0" w:color="auto"/>
        <w:right w:val="none" w:sz="0" w:space="0" w:color="auto"/>
      </w:divBdr>
      <w:divsChild>
        <w:div w:id="247275414">
          <w:marLeft w:val="0"/>
          <w:marRight w:val="0"/>
          <w:marTop w:val="0"/>
          <w:marBottom w:val="0"/>
          <w:divBdr>
            <w:top w:val="none" w:sz="0" w:space="0" w:color="auto"/>
            <w:left w:val="none" w:sz="0" w:space="0" w:color="auto"/>
            <w:bottom w:val="none" w:sz="0" w:space="0" w:color="auto"/>
            <w:right w:val="none" w:sz="0" w:space="0" w:color="auto"/>
          </w:divBdr>
          <w:divsChild>
            <w:div w:id="980354726">
              <w:marLeft w:val="0"/>
              <w:marRight w:val="0"/>
              <w:marTop w:val="0"/>
              <w:marBottom w:val="0"/>
              <w:divBdr>
                <w:top w:val="none" w:sz="0" w:space="0" w:color="auto"/>
                <w:left w:val="none" w:sz="0" w:space="0" w:color="auto"/>
                <w:bottom w:val="none" w:sz="0" w:space="0" w:color="auto"/>
                <w:right w:val="none" w:sz="0" w:space="0" w:color="auto"/>
              </w:divBdr>
              <w:divsChild>
                <w:div w:id="1217160421">
                  <w:marLeft w:val="0"/>
                  <w:marRight w:val="0"/>
                  <w:marTop w:val="0"/>
                  <w:marBottom w:val="0"/>
                  <w:divBdr>
                    <w:top w:val="none" w:sz="0" w:space="0" w:color="auto"/>
                    <w:left w:val="none" w:sz="0" w:space="0" w:color="auto"/>
                    <w:bottom w:val="none" w:sz="0" w:space="0" w:color="auto"/>
                    <w:right w:val="none" w:sz="0" w:space="0" w:color="auto"/>
                  </w:divBdr>
                  <w:divsChild>
                    <w:div w:id="1265377688">
                      <w:marLeft w:val="0"/>
                      <w:marRight w:val="0"/>
                      <w:marTop w:val="0"/>
                      <w:marBottom w:val="0"/>
                      <w:divBdr>
                        <w:top w:val="none" w:sz="0" w:space="0" w:color="auto"/>
                        <w:left w:val="none" w:sz="0" w:space="0" w:color="auto"/>
                        <w:bottom w:val="none" w:sz="0" w:space="0" w:color="auto"/>
                        <w:right w:val="none" w:sz="0" w:space="0" w:color="auto"/>
                      </w:divBdr>
                      <w:divsChild>
                        <w:div w:id="527910505">
                          <w:marLeft w:val="0"/>
                          <w:marRight w:val="0"/>
                          <w:marTop w:val="0"/>
                          <w:marBottom w:val="0"/>
                          <w:divBdr>
                            <w:top w:val="none" w:sz="0" w:space="0" w:color="auto"/>
                            <w:left w:val="none" w:sz="0" w:space="0" w:color="auto"/>
                            <w:bottom w:val="none" w:sz="0" w:space="0" w:color="auto"/>
                            <w:right w:val="none" w:sz="0" w:space="0" w:color="auto"/>
                          </w:divBdr>
                          <w:divsChild>
                            <w:div w:id="1487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626913">
      <w:bodyDiv w:val="1"/>
      <w:marLeft w:val="0"/>
      <w:marRight w:val="0"/>
      <w:marTop w:val="0"/>
      <w:marBottom w:val="0"/>
      <w:divBdr>
        <w:top w:val="none" w:sz="0" w:space="0" w:color="auto"/>
        <w:left w:val="none" w:sz="0" w:space="0" w:color="auto"/>
        <w:bottom w:val="none" w:sz="0" w:space="0" w:color="auto"/>
        <w:right w:val="none" w:sz="0" w:space="0" w:color="auto"/>
      </w:divBdr>
      <w:divsChild>
        <w:div w:id="1263801437">
          <w:marLeft w:val="0"/>
          <w:marRight w:val="0"/>
          <w:marTop w:val="0"/>
          <w:marBottom w:val="0"/>
          <w:divBdr>
            <w:top w:val="none" w:sz="0" w:space="0" w:color="auto"/>
            <w:left w:val="none" w:sz="0" w:space="0" w:color="auto"/>
            <w:bottom w:val="none" w:sz="0" w:space="0" w:color="auto"/>
            <w:right w:val="none" w:sz="0" w:space="0" w:color="auto"/>
          </w:divBdr>
          <w:divsChild>
            <w:div w:id="827017713">
              <w:marLeft w:val="0"/>
              <w:marRight w:val="0"/>
              <w:marTop w:val="0"/>
              <w:marBottom w:val="0"/>
              <w:divBdr>
                <w:top w:val="none" w:sz="0" w:space="0" w:color="auto"/>
                <w:left w:val="none" w:sz="0" w:space="0" w:color="auto"/>
                <w:bottom w:val="none" w:sz="0" w:space="0" w:color="auto"/>
                <w:right w:val="none" w:sz="0" w:space="0" w:color="auto"/>
              </w:divBdr>
              <w:divsChild>
                <w:div w:id="1474173395">
                  <w:marLeft w:val="0"/>
                  <w:marRight w:val="0"/>
                  <w:marTop w:val="0"/>
                  <w:marBottom w:val="0"/>
                  <w:divBdr>
                    <w:top w:val="none" w:sz="0" w:space="0" w:color="auto"/>
                    <w:left w:val="none" w:sz="0" w:space="0" w:color="auto"/>
                    <w:bottom w:val="none" w:sz="0" w:space="0" w:color="auto"/>
                    <w:right w:val="none" w:sz="0" w:space="0" w:color="auto"/>
                  </w:divBdr>
                  <w:divsChild>
                    <w:div w:id="1535314076">
                      <w:marLeft w:val="0"/>
                      <w:marRight w:val="0"/>
                      <w:marTop w:val="0"/>
                      <w:marBottom w:val="0"/>
                      <w:divBdr>
                        <w:top w:val="none" w:sz="0" w:space="0" w:color="auto"/>
                        <w:left w:val="none" w:sz="0" w:space="0" w:color="auto"/>
                        <w:bottom w:val="none" w:sz="0" w:space="0" w:color="auto"/>
                        <w:right w:val="none" w:sz="0" w:space="0" w:color="auto"/>
                      </w:divBdr>
                      <w:divsChild>
                        <w:div w:id="343438216">
                          <w:marLeft w:val="0"/>
                          <w:marRight w:val="0"/>
                          <w:marTop w:val="0"/>
                          <w:marBottom w:val="0"/>
                          <w:divBdr>
                            <w:top w:val="none" w:sz="0" w:space="0" w:color="auto"/>
                            <w:left w:val="none" w:sz="0" w:space="0" w:color="auto"/>
                            <w:bottom w:val="none" w:sz="0" w:space="0" w:color="auto"/>
                            <w:right w:val="none" w:sz="0" w:space="0" w:color="auto"/>
                          </w:divBdr>
                          <w:divsChild>
                            <w:div w:id="2805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725318">
      <w:bodyDiv w:val="1"/>
      <w:marLeft w:val="0"/>
      <w:marRight w:val="0"/>
      <w:marTop w:val="0"/>
      <w:marBottom w:val="0"/>
      <w:divBdr>
        <w:top w:val="none" w:sz="0" w:space="0" w:color="auto"/>
        <w:left w:val="none" w:sz="0" w:space="0" w:color="auto"/>
        <w:bottom w:val="none" w:sz="0" w:space="0" w:color="auto"/>
        <w:right w:val="none" w:sz="0" w:space="0" w:color="auto"/>
      </w:divBdr>
    </w:div>
    <w:div w:id="1358578368">
      <w:bodyDiv w:val="1"/>
      <w:marLeft w:val="0"/>
      <w:marRight w:val="0"/>
      <w:marTop w:val="0"/>
      <w:marBottom w:val="0"/>
      <w:divBdr>
        <w:top w:val="none" w:sz="0" w:space="0" w:color="auto"/>
        <w:left w:val="none" w:sz="0" w:space="0" w:color="auto"/>
        <w:bottom w:val="none" w:sz="0" w:space="0" w:color="auto"/>
        <w:right w:val="none" w:sz="0" w:space="0" w:color="auto"/>
      </w:divBdr>
      <w:divsChild>
        <w:div w:id="114175044">
          <w:marLeft w:val="0"/>
          <w:marRight w:val="0"/>
          <w:marTop w:val="0"/>
          <w:marBottom w:val="0"/>
          <w:divBdr>
            <w:top w:val="none" w:sz="0" w:space="0" w:color="auto"/>
            <w:left w:val="none" w:sz="0" w:space="0" w:color="auto"/>
            <w:bottom w:val="none" w:sz="0" w:space="0" w:color="auto"/>
            <w:right w:val="none" w:sz="0" w:space="0" w:color="auto"/>
          </w:divBdr>
          <w:divsChild>
            <w:div w:id="2051374829">
              <w:marLeft w:val="0"/>
              <w:marRight w:val="0"/>
              <w:marTop w:val="0"/>
              <w:marBottom w:val="0"/>
              <w:divBdr>
                <w:top w:val="none" w:sz="0" w:space="0" w:color="auto"/>
                <w:left w:val="none" w:sz="0" w:space="0" w:color="auto"/>
                <w:bottom w:val="none" w:sz="0" w:space="0" w:color="auto"/>
                <w:right w:val="none" w:sz="0" w:space="0" w:color="auto"/>
              </w:divBdr>
              <w:divsChild>
                <w:div w:id="1035232596">
                  <w:marLeft w:val="0"/>
                  <w:marRight w:val="0"/>
                  <w:marTop w:val="0"/>
                  <w:marBottom w:val="0"/>
                  <w:divBdr>
                    <w:top w:val="none" w:sz="0" w:space="0" w:color="auto"/>
                    <w:left w:val="none" w:sz="0" w:space="0" w:color="auto"/>
                    <w:bottom w:val="none" w:sz="0" w:space="0" w:color="auto"/>
                    <w:right w:val="none" w:sz="0" w:space="0" w:color="auto"/>
                  </w:divBdr>
                  <w:divsChild>
                    <w:div w:id="350032602">
                      <w:marLeft w:val="0"/>
                      <w:marRight w:val="0"/>
                      <w:marTop w:val="0"/>
                      <w:marBottom w:val="0"/>
                      <w:divBdr>
                        <w:top w:val="none" w:sz="0" w:space="0" w:color="auto"/>
                        <w:left w:val="none" w:sz="0" w:space="0" w:color="auto"/>
                        <w:bottom w:val="none" w:sz="0" w:space="0" w:color="auto"/>
                        <w:right w:val="none" w:sz="0" w:space="0" w:color="auto"/>
                      </w:divBdr>
                      <w:divsChild>
                        <w:div w:id="2132433129">
                          <w:marLeft w:val="0"/>
                          <w:marRight w:val="0"/>
                          <w:marTop w:val="0"/>
                          <w:marBottom w:val="0"/>
                          <w:divBdr>
                            <w:top w:val="none" w:sz="0" w:space="0" w:color="auto"/>
                            <w:left w:val="none" w:sz="0" w:space="0" w:color="auto"/>
                            <w:bottom w:val="none" w:sz="0" w:space="0" w:color="auto"/>
                            <w:right w:val="none" w:sz="0" w:space="0" w:color="auto"/>
                          </w:divBdr>
                          <w:divsChild>
                            <w:div w:id="2306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25853">
      <w:bodyDiv w:val="1"/>
      <w:marLeft w:val="0"/>
      <w:marRight w:val="0"/>
      <w:marTop w:val="0"/>
      <w:marBottom w:val="0"/>
      <w:divBdr>
        <w:top w:val="none" w:sz="0" w:space="0" w:color="auto"/>
        <w:left w:val="none" w:sz="0" w:space="0" w:color="auto"/>
        <w:bottom w:val="none" w:sz="0" w:space="0" w:color="auto"/>
        <w:right w:val="none" w:sz="0" w:space="0" w:color="auto"/>
      </w:divBdr>
      <w:divsChild>
        <w:div w:id="1184244050">
          <w:marLeft w:val="0"/>
          <w:marRight w:val="0"/>
          <w:marTop w:val="0"/>
          <w:marBottom w:val="0"/>
          <w:divBdr>
            <w:top w:val="none" w:sz="0" w:space="0" w:color="auto"/>
            <w:left w:val="none" w:sz="0" w:space="0" w:color="auto"/>
            <w:bottom w:val="none" w:sz="0" w:space="0" w:color="auto"/>
            <w:right w:val="none" w:sz="0" w:space="0" w:color="auto"/>
          </w:divBdr>
          <w:divsChild>
            <w:div w:id="1980304183">
              <w:marLeft w:val="0"/>
              <w:marRight w:val="0"/>
              <w:marTop w:val="0"/>
              <w:marBottom w:val="0"/>
              <w:divBdr>
                <w:top w:val="none" w:sz="0" w:space="0" w:color="auto"/>
                <w:left w:val="none" w:sz="0" w:space="0" w:color="auto"/>
                <w:bottom w:val="none" w:sz="0" w:space="0" w:color="auto"/>
                <w:right w:val="none" w:sz="0" w:space="0" w:color="auto"/>
              </w:divBdr>
              <w:divsChild>
                <w:div w:id="853542292">
                  <w:marLeft w:val="0"/>
                  <w:marRight w:val="0"/>
                  <w:marTop w:val="0"/>
                  <w:marBottom w:val="0"/>
                  <w:divBdr>
                    <w:top w:val="none" w:sz="0" w:space="0" w:color="auto"/>
                    <w:left w:val="none" w:sz="0" w:space="0" w:color="auto"/>
                    <w:bottom w:val="none" w:sz="0" w:space="0" w:color="auto"/>
                    <w:right w:val="none" w:sz="0" w:space="0" w:color="auto"/>
                  </w:divBdr>
                  <w:divsChild>
                    <w:div w:id="980041477">
                      <w:marLeft w:val="0"/>
                      <w:marRight w:val="0"/>
                      <w:marTop w:val="0"/>
                      <w:marBottom w:val="0"/>
                      <w:divBdr>
                        <w:top w:val="none" w:sz="0" w:space="0" w:color="auto"/>
                        <w:left w:val="none" w:sz="0" w:space="0" w:color="auto"/>
                        <w:bottom w:val="none" w:sz="0" w:space="0" w:color="auto"/>
                        <w:right w:val="none" w:sz="0" w:space="0" w:color="auto"/>
                      </w:divBdr>
                      <w:divsChild>
                        <w:div w:id="852886286">
                          <w:marLeft w:val="0"/>
                          <w:marRight w:val="0"/>
                          <w:marTop w:val="0"/>
                          <w:marBottom w:val="0"/>
                          <w:divBdr>
                            <w:top w:val="none" w:sz="0" w:space="0" w:color="auto"/>
                            <w:left w:val="none" w:sz="0" w:space="0" w:color="auto"/>
                            <w:bottom w:val="none" w:sz="0" w:space="0" w:color="auto"/>
                            <w:right w:val="none" w:sz="0" w:space="0" w:color="auto"/>
                          </w:divBdr>
                          <w:divsChild>
                            <w:div w:id="481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077864">
      <w:bodyDiv w:val="1"/>
      <w:marLeft w:val="0"/>
      <w:marRight w:val="0"/>
      <w:marTop w:val="0"/>
      <w:marBottom w:val="0"/>
      <w:divBdr>
        <w:top w:val="none" w:sz="0" w:space="0" w:color="auto"/>
        <w:left w:val="none" w:sz="0" w:space="0" w:color="auto"/>
        <w:bottom w:val="none" w:sz="0" w:space="0" w:color="auto"/>
        <w:right w:val="none" w:sz="0" w:space="0" w:color="auto"/>
      </w:divBdr>
      <w:divsChild>
        <w:div w:id="2005277270">
          <w:marLeft w:val="0"/>
          <w:marRight w:val="0"/>
          <w:marTop w:val="0"/>
          <w:marBottom w:val="0"/>
          <w:divBdr>
            <w:top w:val="none" w:sz="0" w:space="0" w:color="auto"/>
            <w:left w:val="none" w:sz="0" w:space="0" w:color="auto"/>
            <w:bottom w:val="none" w:sz="0" w:space="0" w:color="auto"/>
            <w:right w:val="none" w:sz="0" w:space="0" w:color="auto"/>
          </w:divBdr>
          <w:divsChild>
            <w:div w:id="1109357222">
              <w:marLeft w:val="0"/>
              <w:marRight w:val="0"/>
              <w:marTop w:val="0"/>
              <w:marBottom w:val="0"/>
              <w:divBdr>
                <w:top w:val="none" w:sz="0" w:space="0" w:color="auto"/>
                <w:left w:val="none" w:sz="0" w:space="0" w:color="auto"/>
                <w:bottom w:val="none" w:sz="0" w:space="0" w:color="auto"/>
                <w:right w:val="none" w:sz="0" w:space="0" w:color="auto"/>
              </w:divBdr>
              <w:divsChild>
                <w:div w:id="662053365">
                  <w:marLeft w:val="0"/>
                  <w:marRight w:val="0"/>
                  <w:marTop w:val="0"/>
                  <w:marBottom w:val="0"/>
                  <w:divBdr>
                    <w:top w:val="none" w:sz="0" w:space="0" w:color="auto"/>
                    <w:left w:val="none" w:sz="0" w:space="0" w:color="auto"/>
                    <w:bottom w:val="none" w:sz="0" w:space="0" w:color="auto"/>
                    <w:right w:val="none" w:sz="0" w:space="0" w:color="auto"/>
                  </w:divBdr>
                  <w:divsChild>
                    <w:div w:id="647436007">
                      <w:marLeft w:val="0"/>
                      <w:marRight w:val="0"/>
                      <w:marTop w:val="0"/>
                      <w:marBottom w:val="0"/>
                      <w:divBdr>
                        <w:top w:val="none" w:sz="0" w:space="0" w:color="auto"/>
                        <w:left w:val="none" w:sz="0" w:space="0" w:color="auto"/>
                        <w:bottom w:val="none" w:sz="0" w:space="0" w:color="auto"/>
                        <w:right w:val="none" w:sz="0" w:space="0" w:color="auto"/>
                      </w:divBdr>
                      <w:divsChild>
                        <w:div w:id="1547569487">
                          <w:marLeft w:val="0"/>
                          <w:marRight w:val="0"/>
                          <w:marTop w:val="0"/>
                          <w:marBottom w:val="0"/>
                          <w:divBdr>
                            <w:top w:val="none" w:sz="0" w:space="0" w:color="auto"/>
                            <w:left w:val="none" w:sz="0" w:space="0" w:color="auto"/>
                            <w:bottom w:val="none" w:sz="0" w:space="0" w:color="auto"/>
                            <w:right w:val="none" w:sz="0" w:space="0" w:color="auto"/>
                          </w:divBdr>
                          <w:divsChild>
                            <w:div w:id="15570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591416">
      <w:bodyDiv w:val="1"/>
      <w:marLeft w:val="0"/>
      <w:marRight w:val="0"/>
      <w:marTop w:val="0"/>
      <w:marBottom w:val="0"/>
      <w:divBdr>
        <w:top w:val="none" w:sz="0" w:space="0" w:color="auto"/>
        <w:left w:val="none" w:sz="0" w:space="0" w:color="auto"/>
        <w:bottom w:val="none" w:sz="0" w:space="0" w:color="auto"/>
        <w:right w:val="none" w:sz="0" w:space="0" w:color="auto"/>
      </w:divBdr>
    </w:div>
    <w:div w:id="1470511602">
      <w:bodyDiv w:val="1"/>
      <w:marLeft w:val="0"/>
      <w:marRight w:val="0"/>
      <w:marTop w:val="0"/>
      <w:marBottom w:val="0"/>
      <w:divBdr>
        <w:top w:val="none" w:sz="0" w:space="0" w:color="auto"/>
        <w:left w:val="none" w:sz="0" w:space="0" w:color="auto"/>
        <w:bottom w:val="none" w:sz="0" w:space="0" w:color="auto"/>
        <w:right w:val="none" w:sz="0" w:space="0" w:color="auto"/>
      </w:divBdr>
      <w:divsChild>
        <w:div w:id="1965845721">
          <w:marLeft w:val="0"/>
          <w:marRight w:val="0"/>
          <w:marTop w:val="0"/>
          <w:marBottom w:val="0"/>
          <w:divBdr>
            <w:top w:val="none" w:sz="0" w:space="0" w:color="auto"/>
            <w:left w:val="none" w:sz="0" w:space="0" w:color="auto"/>
            <w:bottom w:val="none" w:sz="0" w:space="0" w:color="auto"/>
            <w:right w:val="none" w:sz="0" w:space="0" w:color="auto"/>
          </w:divBdr>
          <w:divsChild>
            <w:div w:id="982661908">
              <w:marLeft w:val="0"/>
              <w:marRight w:val="0"/>
              <w:marTop w:val="0"/>
              <w:marBottom w:val="0"/>
              <w:divBdr>
                <w:top w:val="none" w:sz="0" w:space="0" w:color="auto"/>
                <w:left w:val="none" w:sz="0" w:space="0" w:color="auto"/>
                <w:bottom w:val="none" w:sz="0" w:space="0" w:color="auto"/>
                <w:right w:val="none" w:sz="0" w:space="0" w:color="auto"/>
              </w:divBdr>
              <w:divsChild>
                <w:div w:id="1556771002">
                  <w:marLeft w:val="0"/>
                  <w:marRight w:val="0"/>
                  <w:marTop w:val="0"/>
                  <w:marBottom w:val="0"/>
                  <w:divBdr>
                    <w:top w:val="none" w:sz="0" w:space="0" w:color="auto"/>
                    <w:left w:val="none" w:sz="0" w:space="0" w:color="auto"/>
                    <w:bottom w:val="none" w:sz="0" w:space="0" w:color="auto"/>
                    <w:right w:val="none" w:sz="0" w:space="0" w:color="auto"/>
                  </w:divBdr>
                  <w:divsChild>
                    <w:div w:id="370307352">
                      <w:marLeft w:val="0"/>
                      <w:marRight w:val="0"/>
                      <w:marTop w:val="0"/>
                      <w:marBottom w:val="0"/>
                      <w:divBdr>
                        <w:top w:val="none" w:sz="0" w:space="0" w:color="auto"/>
                        <w:left w:val="none" w:sz="0" w:space="0" w:color="auto"/>
                        <w:bottom w:val="none" w:sz="0" w:space="0" w:color="auto"/>
                        <w:right w:val="none" w:sz="0" w:space="0" w:color="auto"/>
                      </w:divBdr>
                      <w:divsChild>
                        <w:div w:id="1633363951">
                          <w:marLeft w:val="0"/>
                          <w:marRight w:val="0"/>
                          <w:marTop w:val="0"/>
                          <w:marBottom w:val="0"/>
                          <w:divBdr>
                            <w:top w:val="none" w:sz="0" w:space="0" w:color="auto"/>
                            <w:left w:val="none" w:sz="0" w:space="0" w:color="auto"/>
                            <w:bottom w:val="none" w:sz="0" w:space="0" w:color="auto"/>
                            <w:right w:val="none" w:sz="0" w:space="0" w:color="auto"/>
                          </w:divBdr>
                          <w:divsChild>
                            <w:div w:id="9515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451339">
      <w:bodyDiv w:val="1"/>
      <w:marLeft w:val="0"/>
      <w:marRight w:val="0"/>
      <w:marTop w:val="0"/>
      <w:marBottom w:val="0"/>
      <w:divBdr>
        <w:top w:val="none" w:sz="0" w:space="0" w:color="auto"/>
        <w:left w:val="none" w:sz="0" w:space="0" w:color="auto"/>
        <w:bottom w:val="none" w:sz="0" w:space="0" w:color="auto"/>
        <w:right w:val="none" w:sz="0" w:space="0" w:color="auto"/>
      </w:divBdr>
      <w:divsChild>
        <w:div w:id="1337923318">
          <w:marLeft w:val="0"/>
          <w:marRight w:val="0"/>
          <w:marTop w:val="0"/>
          <w:marBottom w:val="0"/>
          <w:divBdr>
            <w:top w:val="none" w:sz="0" w:space="0" w:color="auto"/>
            <w:left w:val="none" w:sz="0" w:space="0" w:color="auto"/>
            <w:bottom w:val="none" w:sz="0" w:space="0" w:color="auto"/>
            <w:right w:val="none" w:sz="0" w:space="0" w:color="auto"/>
          </w:divBdr>
          <w:divsChild>
            <w:div w:id="474567935">
              <w:marLeft w:val="0"/>
              <w:marRight w:val="0"/>
              <w:marTop w:val="0"/>
              <w:marBottom w:val="0"/>
              <w:divBdr>
                <w:top w:val="none" w:sz="0" w:space="0" w:color="auto"/>
                <w:left w:val="none" w:sz="0" w:space="0" w:color="auto"/>
                <w:bottom w:val="none" w:sz="0" w:space="0" w:color="auto"/>
                <w:right w:val="none" w:sz="0" w:space="0" w:color="auto"/>
              </w:divBdr>
              <w:divsChild>
                <w:div w:id="1914047479">
                  <w:marLeft w:val="0"/>
                  <w:marRight w:val="0"/>
                  <w:marTop w:val="0"/>
                  <w:marBottom w:val="0"/>
                  <w:divBdr>
                    <w:top w:val="none" w:sz="0" w:space="0" w:color="auto"/>
                    <w:left w:val="none" w:sz="0" w:space="0" w:color="auto"/>
                    <w:bottom w:val="none" w:sz="0" w:space="0" w:color="auto"/>
                    <w:right w:val="none" w:sz="0" w:space="0" w:color="auto"/>
                  </w:divBdr>
                  <w:divsChild>
                    <w:div w:id="883372609">
                      <w:marLeft w:val="0"/>
                      <w:marRight w:val="0"/>
                      <w:marTop w:val="0"/>
                      <w:marBottom w:val="0"/>
                      <w:divBdr>
                        <w:top w:val="none" w:sz="0" w:space="0" w:color="auto"/>
                        <w:left w:val="none" w:sz="0" w:space="0" w:color="auto"/>
                        <w:bottom w:val="none" w:sz="0" w:space="0" w:color="auto"/>
                        <w:right w:val="none" w:sz="0" w:space="0" w:color="auto"/>
                      </w:divBdr>
                      <w:divsChild>
                        <w:div w:id="506675406">
                          <w:marLeft w:val="0"/>
                          <w:marRight w:val="0"/>
                          <w:marTop w:val="0"/>
                          <w:marBottom w:val="0"/>
                          <w:divBdr>
                            <w:top w:val="none" w:sz="0" w:space="0" w:color="auto"/>
                            <w:left w:val="none" w:sz="0" w:space="0" w:color="auto"/>
                            <w:bottom w:val="none" w:sz="0" w:space="0" w:color="auto"/>
                            <w:right w:val="none" w:sz="0" w:space="0" w:color="auto"/>
                          </w:divBdr>
                          <w:divsChild>
                            <w:div w:id="13087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726860">
      <w:bodyDiv w:val="1"/>
      <w:marLeft w:val="0"/>
      <w:marRight w:val="0"/>
      <w:marTop w:val="0"/>
      <w:marBottom w:val="0"/>
      <w:divBdr>
        <w:top w:val="none" w:sz="0" w:space="0" w:color="auto"/>
        <w:left w:val="none" w:sz="0" w:space="0" w:color="auto"/>
        <w:bottom w:val="none" w:sz="0" w:space="0" w:color="auto"/>
        <w:right w:val="none" w:sz="0" w:space="0" w:color="auto"/>
      </w:divBdr>
      <w:divsChild>
        <w:div w:id="1425565892">
          <w:marLeft w:val="0"/>
          <w:marRight w:val="0"/>
          <w:marTop w:val="0"/>
          <w:marBottom w:val="0"/>
          <w:divBdr>
            <w:top w:val="none" w:sz="0" w:space="0" w:color="auto"/>
            <w:left w:val="none" w:sz="0" w:space="0" w:color="auto"/>
            <w:bottom w:val="none" w:sz="0" w:space="0" w:color="auto"/>
            <w:right w:val="none" w:sz="0" w:space="0" w:color="auto"/>
          </w:divBdr>
          <w:divsChild>
            <w:div w:id="66999244">
              <w:marLeft w:val="0"/>
              <w:marRight w:val="0"/>
              <w:marTop w:val="0"/>
              <w:marBottom w:val="0"/>
              <w:divBdr>
                <w:top w:val="none" w:sz="0" w:space="0" w:color="auto"/>
                <w:left w:val="none" w:sz="0" w:space="0" w:color="auto"/>
                <w:bottom w:val="none" w:sz="0" w:space="0" w:color="auto"/>
                <w:right w:val="none" w:sz="0" w:space="0" w:color="auto"/>
              </w:divBdr>
              <w:divsChild>
                <w:div w:id="510529290">
                  <w:marLeft w:val="0"/>
                  <w:marRight w:val="0"/>
                  <w:marTop w:val="0"/>
                  <w:marBottom w:val="0"/>
                  <w:divBdr>
                    <w:top w:val="none" w:sz="0" w:space="0" w:color="auto"/>
                    <w:left w:val="none" w:sz="0" w:space="0" w:color="auto"/>
                    <w:bottom w:val="none" w:sz="0" w:space="0" w:color="auto"/>
                    <w:right w:val="none" w:sz="0" w:space="0" w:color="auto"/>
                  </w:divBdr>
                  <w:divsChild>
                    <w:div w:id="1011755412">
                      <w:marLeft w:val="0"/>
                      <w:marRight w:val="0"/>
                      <w:marTop w:val="0"/>
                      <w:marBottom w:val="0"/>
                      <w:divBdr>
                        <w:top w:val="none" w:sz="0" w:space="0" w:color="auto"/>
                        <w:left w:val="none" w:sz="0" w:space="0" w:color="auto"/>
                        <w:bottom w:val="none" w:sz="0" w:space="0" w:color="auto"/>
                        <w:right w:val="none" w:sz="0" w:space="0" w:color="auto"/>
                      </w:divBdr>
                      <w:divsChild>
                        <w:div w:id="1623002465">
                          <w:marLeft w:val="0"/>
                          <w:marRight w:val="0"/>
                          <w:marTop w:val="0"/>
                          <w:marBottom w:val="0"/>
                          <w:divBdr>
                            <w:top w:val="none" w:sz="0" w:space="0" w:color="auto"/>
                            <w:left w:val="none" w:sz="0" w:space="0" w:color="auto"/>
                            <w:bottom w:val="none" w:sz="0" w:space="0" w:color="auto"/>
                            <w:right w:val="none" w:sz="0" w:space="0" w:color="auto"/>
                          </w:divBdr>
                          <w:divsChild>
                            <w:div w:id="525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279747">
      <w:bodyDiv w:val="1"/>
      <w:marLeft w:val="0"/>
      <w:marRight w:val="0"/>
      <w:marTop w:val="0"/>
      <w:marBottom w:val="0"/>
      <w:divBdr>
        <w:top w:val="none" w:sz="0" w:space="0" w:color="auto"/>
        <w:left w:val="none" w:sz="0" w:space="0" w:color="auto"/>
        <w:bottom w:val="none" w:sz="0" w:space="0" w:color="auto"/>
        <w:right w:val="none" w:sz="0" w:space="0" w:color="auto"/>
      </w:divBdr>
    </w:div>
    <w:div w:id="1619603841">
      <w:bodyDiv w:val="1"/>
      <w:marLeft w:val="0"/>
      <w:marRight w:val="0"/>
      <w:marTop w:val="0"/>
      <w:marBottom w:val="0"/>
      <w:divBdr>
        <w:top w:val="none" w:sz="0" w:space="0" w:color="auto"/>
        <w:left w:val="none" w:sz="0" w:space="0" w:color="auto"/>
        <w:bottom w:val="none" w:sz="0" w:space="0" w:color="auto"/>
        <w:right w:val="none" w:sz="0" w:space="0" w:color="auto"/>
      </w:divBdr>
      <w:divsChild>
        <w:div w:id="1029339334">
          <w:marLeft w:val="0"/>
          <w:marRight w:val="0"/>
          <w:marTop w:val="0"/>
          <w:marBottom w:val="0"/>
          <w:divBdr>
            <w:top w:val="none" w:sz="0" w:space="0" w:color="auto"/>
            <w:left w:val="none" w:sz="0" w:space="0" w:color="auto"/>
            <w:bottom w:val="none" w:sz="0" w:space="0" w:color="auto"/>
            <w:right w:val="none" w:sz="0" w:space="0" w:color="auto"/>
          </w:divBdr>
          <w:divsChild>
            <w:div w:id="2103645370">
              <w:marLeft w:val="0"/>
              <w:marRight w:val="0"/>
              <w:marTop w:val="0"/>
              <w:marBottom w:val="0"/>
              <w:divBdr>
                <w:top w:val="none" w:sz="0" w:space="0" w:color="auto"/>
                <w:left w:val="none" w:sz="0" w:space="0" w:color="auto"/>
                <w:bottom w:val="none" w:sz="0" w:space="0" w:color="auto"/>
                <w:right w:val="none" w:sz="0" w:space="0" w:color="auto"/>
              </w:divBdr>
              <w:divsChild>
                <w:div w:id="763762883">
                  <w:marLeft w:val="0"/>
                  <w:marRight w:val="0"/>
                  <w:marTop w:val="0"/>
                  <w:marBottom w:val="0"/>
                  <w:divBdr>
                    <w:top w:val="none" w:sz="0" w:space="0" w:color="auto"/>
                    <w:left w:val="none" w:sz="0" w:space="0" w:color="auto"/>
                    <w:bottom w:val="none" w:sz="0" w:space="0" w:color="auto"/>
                    <w:right w:val="none" w:sz="0" w:space="0" w:color="auto"/>
                  </w:divBdr>
                  <w:divsChild>
                    <w:div w:id="435636190">
                      <w:marLeft w:val="0"/>
                      <w:marRight w:val="0"/>
                      <w:marTop w:val="0"/>
                      <w:marBottom w:val="0"/>
                      <w:divBdr>
                        <w:top w:val="none" w:sz="0" w:space="0" w:color="auto"/>
                        <w:left w:val="none" w:sz="0" w:space="0" w:color="auto"/>
                        <w:bottom w:val="none" w:sz="0" w:space="0" w:color="auto"/>
                        <w:right w:val="none" w:sz="0" w:space="0" w:color="auto"/>
                      </w:divBdr>
                      <w:divsChild>
                        <w:div w:id="635455700">
                          <w:marLeft w:val="0"/>
                          <w:marRight w:val="0"/>
                          <w:marTop w:val="0"/>
                          <w:marBottom w:val="0"/>
                          <w:divBdr>
                            <w:top w:val="none" w:sz="0" w:space="0" w:color="auto"/>
                            <w:left w:val="none" w:sz="0" w:space="0" w:color="auto"/>
                            <w:bottom w:val="none" w:sz="0" w:space="0" w:color="auto"/>
                            <w:right w:val="none" w:sz="0" w:space="0" w:color="auto"/>
                          </w:divBdr>
                          <w:divsChild>
                            <w:div w:id="6466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51404290">
      <w:bodyDiv w:val="1"/>
      <w:marLeft w:val="0"/>
      <w:marRight w:val="0"/>
      <w:marTop w:val="0"/>
      <w:marBottom w:val="0"/>
      <w:divBdr>
        <w:top w:val="none" w:sz="0" w:space="0" w:color="auto"/>
        <w:left w:val="none" w:sz="0" w:space="0" w:color="auto"/>
        <w:bottom w:val="none" w:sz="0" w:space="0" w:color="auto"/>
        <w:right w:val="none" w:sz="0" w:space="0" w:color="auto"/>
      </w:divBdr>
      <w:divsChild>
        <w:div w:id="1665931305">
          <w:marLeft w:val="0"/>
          <w:marRight w:val="0"/>
          <w:marTop w:val="0"/>
          <w:marBottom w:val="0"/>
          <w:divBdr>
            <w:top w:val="none" w:sz="0" w:space="0" w:color="auto"/>
            <w:left w:val="none" w:sz="0" w:space="0" w:color="auto"/>
            <w:bottom w:val="none" w:sz="0" w:space="0" w:color="auto"/>
            <w:right w:val="none" w:sz="0" w:space="0" w:color="auto"/>
          </w:divBdr>
          <w:divsChild>
            <w:div w:id="1528133990">
              <w:marLeft w:val="0"/>
              <w:marRight w:val="0"/>
              <w:marTop w:val="0"/>
              <w:marBottom w:val="0"/>
              <w:divBdr>
                <w:top w:val="none" w:sz="0" w:space="0" w:color="auto"/>
                <w:left w:val="none" w:sz="0" w:space="0" w:color="auto"/>
                <w:bottom w:val="none" w:sz="0" w:space="0" w:color="auto"/>
                <w:right w:val="none" w:sz="0" w:space="0" w:color="auto"/>
              </w:divBdr>
              <w:divsChild>
                <w:div w:id="2063940991">
                  <w:marLeft w:val="0"/>
                  <w:marRight w:val="0"/>
                  <w:marTop w:val="0"/>
                  <w:marBottom w:val="0"/>
                  <w:divBdr>
                    <w:top w:val="none" w:sz="0" w:space="0" w:color="auto"/>
                    <w:left w:val="none" w:sz="0" w:space="0" w:color="auto"/>
                    <w:bottom w:val="none" w:sz="0" w:space="0" w:color="auto"/>
                    <w:right w:val="none" w:sz="0" w:space="0" w:color="auto"/>
                  </w:divBdr>
                  <w:divsChild>
                    <w:div w:id="1235895274">
                      <w:marLeft w:val="0"/>
                      <w:marRight w:val="0"/>
                      <w:marTop w:val="0"/>
                      <w:marBottom w:val="0"/>
                      <w:divBdr>
                        <w:top w:val="none" w:sz="0" w:space="0" w:color="auto"/>
                        <w:left w:val="none" w:sz="0" w:space="0" w:color="auto"/>
                        <w:bottom w:val="none" w:sz="0" w:space="0" w:color="auto"/>
                        <w:right w:val="none" w:sz="0" w:space="0" w:color="auto"/>
                      </w:divBdr>
                      <w:divsChild>
                        <w:div w:id="324166765">
                          <w:marLeft w:val="0"/>
                          <w:marRight w:val="0"/>
                          <w:marTop w:val="0"/>
                          <w:marBottom w:val="0"/>
                          <w:divBdr>
                            <w:top w:val="none" w:sz="0" w:space="0" w:color="auto"/>
                            <w:left w:val="none" w:sz="0" w:space="0" w:color="auto"/>
                            <w:bottom w:val="none" w:sz="0" w:space="0" w:color="auto"/>
                            <w:right w:val="none" w:sz="0" w:space="0" w:color="auto"/>
                          </w:divBdr>
                          <w:divsChild>
                            <w:div w:id="9590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402608">
      <w:bodyDiv w:val="1"/>
      <w:marLeft w:val="0"/>
      <w:marRight w:val="0"/>
      <w:marTop w:val="0"/>
      <w:marBottom w:val="0"/>
      <w:divBdr>
        <w:top w:val="none" w:sz="0" w:space="0" w:color="auto"/>
        <w:left w:val="none" w:sz="0" w:space="0" w:color="auto"/>
        <w:bottom w:val="none" w:sz="0" w:space="0" w:color="auto"/>
        <w:right w:val="none" w:sz="0" w:space="0" w:color="auto"/>
      </w:divBdr>
      <w:divsChild>
        <w:div w:id="631442705">
          <w:marLeft w:val="0"/>
          <w:marRight w:val="0"/>
          <w:marTop w:val="0"/>
          <w:marBottom w:val="0"/>
          <w:divBdr>
            <w:top w:val="none" w:sz="0" w:space="0" w:color="auto"/>
            <w:left w:val="none" w:sz="0" w:space="0" w:color="auto"/>
            <w:bottom w:val="none" w:sz="0" w:space="0" w:color="auto"/>
            <w:right w:val="none" w:sz="0" w:space="0" w:color="auto"/>
          </w:divBdr>
          <w:divsChild>
            <w:div w:id="1566988328">
              <w:marLeft w:val="0"/>
              <w:marRight w:val="0"/>
              <w:marTop w:val="0"/>
              <w:marBottom w:val="0"/>
              <w:divBdr>
                <w:top w:val="none" w:sz="0" w:space="0" w:color="auto"/>
                <w:left w:val="none" w:sz="0" w:space="0" w:color="auto"/>
                <w:bottom w:val="none" w:sz="0" w:space="0" w:color="auto"/>
                <w:right w:val="none" w:sz="0" w:space="0" w:color="auto"/>
              </w:divBdr>
              <w:divsChild>
                <w:div w:id="645940695">
                  <w:marLeft w:val="0"/>
                  <w:marRight w:val="0"/>
                  <w:marTop w:val="0"/>
                  <w:marBottom w:val="0"/>
                  <w:divBdr>
                    <w:top w:val="none" w:sz="0" w:space="0" w:color="auto"/>
                    <w:left w:val="none" w:sz="0" w:space="0" w:color="auto"/>
                    <w:bottom w:val="none" w:sz="0" w:space="0" w:color="auto"/>
                    <w:right w:val="none" w:sz="0" w:space="0" w:color="auto"/>
                  </w:divBdr>
                  <w:divsChild>
                    <w:div w:id="4765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26482">
      <w:bodyDiv w:val="1"/>
      <w:marLeft w:val="0"/>
      <w:marRight w:val="0"/>
      <w:marTop w:val="0"/>
      <w:marBottom w:val="0"/>
      <w:divBdr>
        <w:top w:val="none" w:sz="0" w:space="0" w:color="auto"/>
        <w:left w:val="none" w:sz="0" w:space="0" w:color="auto"/>
        <w:bottom w:val="none" w:sz="0" w:space="0" w:color="auto"/>
        <w:right w:val="none" w:sz="0" w:space="0" w:color="auto"/>
      </w:divBdr>
    </w:div>
    <w:div w:id="1729718909">
      <w:bodyDiv w:val="1"/>
      <w:marLeft w:val="0"/>
      <w:marRight w:val="0"/>
      <w:marTop w:val="0"/>
      <w:marBottom w:val="0"/>
      <w:divBdr>
        <w:top w:val="none" w:sz="0" w:space="0" w:color="auto"/>
        <w:left w:val="none" w:sz="0" w:space="0" w:color="auto"/>
        <w:bottom w:val="none" w:sz="0" w:space="0" w:color="auto"/>
        <w:right w:val="none" w:sz="0" w:space="0" w:color="auto"/>
      </w:divBdr>
      <w:divsChild>
        <w:div w:id="1035883959">
          <w:marLeft w:val="0"/>
          <w:marRight w:val="0"/>
          <w:marTop w:val="0"/>
          <w:marBottom w:val="0"/>
          <w:divBdr>
            <w:top w:val="none" w:sz="0" w:space="0" w:color="auto"/>
            <w:left w:val="none" w:sz="0" w:space="0" w:color="auto"/>
            <w:bottom w:val="none" w:sz="0" w:space="0" w:color="auto"/>
            <w:right w:val="none" w:sz="0" w:space="0" w:color="auto"/>
          </w:divBdr>
          <w:divsChild>
            <w:div w:id="1822188366">
              <w:marLeft w:val="0"/>
              <w:marRight w:val="0"/>
              <w:marTop w:val="0"/>
              <w:marBottom w:val="0"/>
              <w:divBdr>
                <w:top w:val="none" w:sz="0" w:space="0" w:color="auto"/>
                <w:left w:val="none" w:sz="0" w:space="0" w:color="auto"/>
                <w:bottom w:val="none" w:sz="0" w:space="0" w:color="auto"/>
                <w:right w:val="none" w:sz="0" w:space="0" w:color="auto"/>
              </w:divBdr>
              <w:divsChild>
                <w:div w:id="242226744">
                  <w:marLeft w:val="0"/>
                  <w:marRight w:val="0"/>
                  <w:marTop w:val="0"/>
                  <w:marBottom w:val="0"/>
                  <w:divBdr>
                    <w:top w:val="none" w:sz="0" w:space="0" w:color="auto"/>
                    <w:left w:val="none" w:sz="0" w:space="0" w:color="auto"/>
                    <w:bottom w:val="none" w:sz="0" w:space="0" w:color="auto"/>
                    <w:right w:val="none" w:sz="0" w:space="0" w:color="auto"/>
                  </w:divBdr>
                  <w:divsChild>
                    <w:div w:id="1672298354">
                      <w:marLeft w:val="0"/>
                      <w:marRight w:val="0"/>
                      <w:marTop w:val="0"/>
                      <w:marBottom w:val="0"/>
                      <w:divBdr>
                        <w:top w:val="none" w:sz="0" w:space="0" w:color="auto"/>
                        <w:left w:val="none" w:sz="0" w:space="0" w:color="auto"/>
                        <w:bottom w:val="none" w:sz="0" w:space="0" w:color="auto"/>
                        <w:right w:val="none" w:sz="0" w:space="0" w:color="auto"/>
                      </w:divBdr>
                      <w:divsChild>
                        <w:div w:id="1171675648">
                          <w:marLeft w:val="0"/>
                          <w:marRight w:val="0"/>
                          <w:marTop w:val="0"/>
                          <w:marBottom w:val="0"/>
                          <w:divBdr>
                            <w:top w:val="none" w:sz="0" w:space="0" w:color="auto"/>
                            <w:left w:val="none" w:sz="0" w:space="0" w:color="auto"/>
                            <w:bottom w:val="none" w:sz="0" w:space="0" w:color="auto"/>
                            <w:right w:val="none" w:sz="0" w:space="0" w:color="auto"/>
                          </w:divBdr>
                          <w:divsChild>
                            <w:div w:id="11271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124365">
      <w:bodyDiv w:val="1"/>
      <w:marLeft w:val="0"/>
      <w:marRight w:val="0"/>
      <w:marTop w:val="0"/>
      <w:marBottom w:val="0"/>
      <w:divBdr>
        <w:top w:val="none" w:sz="0" w:space="0" w:color="auto"/>
        <w:left w:val="none" w:sz="0" w:space="0" w:color="auto"/>
        <w:bottom w:val="none" w:sz="0" w:space="0" w:color="auto"/>
        <w:right w:val="none" w:sz="0" w:space="0" w:color="auto"/>
      </w:divBdr>
      <w:divsChild>
        <w:div w:id="1090739906">
          <w:marLeft w:val="0"/>
          <w:marRight w:val="0"/>
          <w:marTop w:val="0"/>
          <w:marBottom w:val="0"/>
          <w:divBdr>
            <w:top w:val="none" w:sz="0" w:space="0" w:color="auto"/>
            <w:left w:val="none" w:sz="0" w:space="0" w:color="auto"/>
            <w:bottom w:val="none" w:sz="0" w:space="0" w:color="auto"/>
            <w:right w:val="none" w:sz="0" w:space="0" w:color="auto"/>
          </w:divBdr>
          <w:divsChild>
            <w:div w:id="546575096">
              <w:marLeft w:val="0"/>
              <w:marRight w:val="0"/>
              <w:marTop w:val="0"/>
              <w:marBottom w:val="0"/>
              <w:divBdr>
                <w:top w:val="none" w:sz="0" w:space="0" w:color="auto"/>
                <w:left w:val="none" w:sz="0" w:space="0" w:color="auto"/>
                <w:bottom w:val="none" w:sz="0" w:space="0" w:color="auto"/>
                <w:right w:val="none" w:sz="0" w:space="0" w:color="auto"/>
              </w:divBdr>
              <w:divsChild>
                <w:div w:id="14158930">
                  <w:marLeft w:val="0"/>
                  <w:marRight w:val="0"/>
                  <w:marTop w:val="0"/>
                  <w:marBottom w:val="0"/>
                  <w:divBdr>
                    <w:top w:val="none" w:sz="0" w:space="0" w:color="auto"/>
                    <w:left w:val="none" w:sz="0" w:space="0" w:color="auto"/>
                    <w:bottom w:val="none" w:sz="0" w:space="0" w:color="auto"/>
                    <w:right w:val="none" w:sz="0" w:space="0" w:color="auto"/>
                  </w:divBdr>
                  <w:divsChild>
                    <w:div w:id="1093740376">
                      <w:marLeft w:val="0"/>
                      <w:marRight w:val="0"/>
                      <w:marTop w:val="0"/>
                      <w:marBottom w:val="0"/>
                      <w:divBdr>
                        <w:top w:val="none" w:sz="0" w:space="0" w:color="auto"/>
                        <w:left w:val="none" w:sz="0" w:space="0" w:color="auto"/>
                        <w:bottom w:val="none" w:sz="0" w:space="0" w:color="auto"/>
                        <w:right w:val="none" w:sz="0" w:space="0" w:color="auto"/>
                      </w:divBdr>
                      <w:divsChild>
                        <w:div w:id="1240480904">
                          <w:marLeft w:val="0"/>
                          <w:marRight w:val="0"/>
                          <w:marTop w:val="0"/>
                          <w:marBottom w:val="0"/>
                          <w:divBdr>
                            <w:top w:val="none" w:sz="0" w:space="0" w:color="auto"/>
                            <w:left w:val="none" w:sz="0" w:space="0" w:color="auto"/>
                            <w:bottom w:val="none" w:sz="0" w:space="0" w:color="auto"/>
                            <w:right w:val="none" w:sz="0" w:space="0" w:color="auto"/>
                          </w:divBdr>
                          <w:divsChild>
                            <w:div w:id="11467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661944">
      <w:bodyDiv w:val="1"/>
      <w:marLeft w:val="0"/>
      <w:marRight w:val="0"/>
      <w:marTop w:val="0"/>
      <w:marBottom w:val="0"/>
      <w:divBdr>
        <w:top w:val="none" w:sz="0" w:space="0" w:color="auto"/>
        <w:left w:val="none" w:sz="0" w:space="0" w:color="auto"/>
        <w:bottom w:val="none" w:sz="0" w:space="0" w:color="auto"/>
        <w:right w:val="none" w:sz="0" w:space="0" w:color="auto"/>
      </w:divBdr>
      <w:divsChild>
        <w:div w:id="1415662226">
          <w:marLeft w:val="0"/>
          <w:marRight w:val="0"/>
          <w:marTop w:val="0"/>
          <w:marBottom w:val="0"/>
          <w:divBdr>
            <w:top w:val="none" w:sz="0" w:space="0" w:color="auto"/>
            <w:left w:val="none" w:sz="0" w:space="0" w:color="auto"/>
            <w:bottom w:val="none" w:sz="0" w:space="0" w:color="auto"/>
            <w:right w:val="none" w:sz="0" w:space="0" w:color="auto"/>
          </w:divBdr>
          <w:divsChild>
            <w:div w:id="1556043390">
              <w:marLeft w:val="0"/>
              <w:marRight w:val="0"/>
              <w:marTop w:val="0"/>
              <w:marBottom w:val="0"/>
              <w:divBdr>
                <w:top w:val="none" w:sz="0" w:space="0" w:color="auto"/>
                <w:left w:val="none" w:sz="0" w:space="0" w:color="auto"/>
                <w:bottom w:val="none" w:sz="0" w:space="0" w:color="auto"/>
                <w:right w:val="none" w:sz="0" w:space="0" w:color="auto"/>
              </w:divBdr>
              <w:divsChild>
                <w:div w:id="1270506679">
                  <w:marLeft w:val="0"/>
                  <w:marRight w:val="0"/>
                  <w:marTop w:val="0"/>
                  <w:marBottom w:val="0"/>
                  <w:divBdr>
                    <w:top w:val="none" w:sz="0" w:space="0" w:color="auto"/>
                    <w:left w:val="none" w:sz="0" w:space="0" w:color="auto"/>
                    <w:bottom w:val="none" w:sz="0" w:space="0" w:color="auto"/>
                    <w:right w:val="none" w:sz="0" w:space="0" w:color="auto"/>
                  </w:divBdr>
                  <w:divsChild>
                    <w:div w:id="1591229860">
                      <w:marLeft w:val="0"/>
                      <w:marRight w:val="0"/>
                      <w:marTop w:val="0"/>
                      <w:marBottom w:val="0"/>
                      <w:divBdr>
                        <w:top w:val="none" w:sz="0" w:space="0" w:color="auto"/>
                        <w:left w:val="none" w:sz="0" w:space="0" w:color="auto"/>
                        <w:bottom w:val="none" w:sz="0" w:space="0" w:color="auto"/>
                        <w:right w:val="none" w:sz="0" w:space="0" w:color="auto"/>
                      </w:divBdr>
                      <w:divsChild>
                        <w:div w:id="2128160369">
                          <w:marLeft w:val="0"/>
                          <w:marRight w:val="0"/>
                          <w:marTop w:val="0"/>
                          <w:marBottom w:val="0"/>
                          <w:divBdr>
                            <w:top w:val="none" w:sz="0" w:space="0" w:color="auto"/>
                            <w:left w:val="none" w:sz="0" w:space="0" w:color="auto"/>
                            <w:bottom w:val="none" w:sz="0" w:space="0" w:color="auto"/>
                            <w:right w:val="none" w:sz="0" w:space="0" w:color="auto"/>
                          </w:divBdr>
                          <w:divsChild>
                            <w:div w:id="1202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408778">
      <w:bodyDiv w:val="1"/>
      <w:marLeft w:val="0"/>
      <w:marRight w:val="0"/>
      <w:marTop w:val="0"/>
      <w:marBottom w:val="0"/>
      <w:divBdr>
        <w:top w:val="none" w:sz="0" w:space="0" w:color="auto"/>
        <w:left w:val="none" w:sz="0" w:space="0" w:color="auto"/>
        <w:bottom w:val="none" w:sz="0" w:space="0" w:color="auto"/>
        <w:right w:val="none" w:sz="0" w:space="0" w:color="auto"/>
      </w:divBdr>
      <w:divsChild>
        <w:div w:id="525824505">
          <w:marLeft w:val="0"/>
          <w:marRight w:val="0"/>
          <w:marTop w:val="0"/>
          <w:marBottom w:val="0"/>
          <w:divBdr>
            <w:top w:val="none" w:sz="0" w:space="0" w:color="auto"/>
            <w:left w:val="none" w:sz="0" w:space="0" w:color="auto"/>
            <w:bottom w:val="none" w:sz="0" w:space="0" w:color="auto"/>
            <w:right w:val="none" w:sz="0" w:space="0" w:color="auto"/>
          </w:divBdr>
          <w:divsChild>
            <w:div w:id="1391687175">
              <w:marLeft w:val="0"/>
              <w:marRight w:val="0"/>
              <w:marTop w:val="0"/>
              <w:marBottom w:val="0"/>
              <w:divBdr>
                <w:top w:val="none" w:sz="0" w:space="0" w:color="auto"/>
                <w:left w:val="none" w:sz="0" w:space="0" w:color="auto"/>
                <w:bottom w:val="none" w:sz="0" w:space="0" w:color="auto"/>
                <w:right w:val="none" w:sz="0" w:space="0" w:color="auto"/>
              </w:divBdr>
              <w:divsChild>
                <w:div w:id="540021176">
                  <w:marLeft w:val="0"/>
                  <w:marRight w:val="0"/>
                  <w:marTop w:val="0"/>
                  <w:marBottom w:val="0"/>
                  <w:divBdr>
                    <w:top w:val="none" w:sz="0" w:space="0" w:color="auto"/>
                    <w:left w:val="none" w:sz="0" w:space="0" w:color="auto"/>
                    <w:bottom w:val="none" w:sz="0" w:space="0" w:color="auto"/>
                    <w:right w:val="none" w:sz="0" w:space="0" w:color="auto"/>
                  </w:divBdr>
                  <w:divsChild>
                    <w:div w:id="588855494">
                      <w:marLeft w:val="0"/>
                      <w:marRight w:val="0"/>
                      <w:marTop w:val="0"/>
                      <w:marBottom w:val="0"/>
                      <w:divBdr>
                        <w:top w:val="none" w:sz="0" w:space="0" w:color="auto"/>
                        <w:left w:val="none" w:sz="0" w:space="0" w:color="auto"/>
                        <w:bottom w:val="none" w:sz="0" w:space="0" w:color="auto"/>
                        <w:right w:val="none" w:sz="0" w:space="0" w:color="auto"/>
                      </w:divBdr>
                      <w:divsChild>
                        <w:div w:id="546189430">
                          <w:marLeft w:val="0"/>
                          <w:marRight w:val="0"/>
                          <w:marTop w:val="0"/>
                          <w:marBottom w:val="0"/>
                          <w:divBdr>
                            <w:top w:val="none" w:sz="0" w:space="0" w:color="auto"/>
                            <w:left w:val="none" w:sz="0" w:space="0" w:color="auto"/>
                            <w:bottom w:val="none" w:sz="0" w:space="0" w:color="auto"/>
                            <w:right w:val="none" w:sz="0" w:space="0" w:color="auto"/>
                          </w:divBdr>
                          <w:divsChild>
                            <w:div w:id="15560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587218">
      <w:bodyDiv w:val="1"/>
      <w:marLeft w:val="0"/>
      <w:marRight w:val="0"/>
      <w:marTop w:val="0"/>
      <w:marBottom w:val="0"/>
      <w:divBdr>
        <w:top w:val="none" w:sz="0" w:space="0" w:color="auto"/>
        <w:left w:val="none" w:sz="0" w:space="0" w:color="auto"/>
        <w:bottom w:val="none" w:sz="0" w:space="0" w:color="auto"/>
        <w:right w:val="none" w:sz="0" w:space="0" w:color="auto"/>
      </w:divBdr>
      <w:divsChild>
        <w:div w:id="892080052">
          <w:marLeft w:val="0"/>
          <w:marRight w:val="0"/>
          <w:marTop w:val="0"/>
          <w:marBottom w:val="0"/>
          <w:divBdr>
            <w:top w:val="none" w:sz="0" w:space="0" w:color="auto"/>
            <w:left w:val="none" w:sz="0" w:space="0" w:color="auto"/>
            <w:bottom w:val="none" w:sz="0" w:space="0" w:color="auto"/>
            <w:right w:val="none" w:sz="0" w:space="0" w:color="auto"/>
          </w:divBdr>
          <w:divsChild>
            <w:div w:id="500583828">
              <w:marLeft w:val="0"/>
              <w:marRight w:val="0"/>
              <w:marTop w:val="0"/>
              <w:marBottom w:val="0"/>
              <w:divBdr>
                <w:top w:val="none" w:sz="0" w:space="0" w:color="auto"/>
                <w:left w:val="none" w:sz="0" w:space="0" w:color="auto"/>
                <w:bottom w:val="none" w:sz="0" w:space="0" w:color="auto"/>
                <w:right w:val="none" w:sz="0" w:space="0" w:color="auto"/>
              </w:divBdr>
              <w:divsChild>
                <w:div w:id="1258831697">
                  <w:marLeft w:val="0"/>
                  <w:marRight w:val="0"/>
                  <w:marTop w:val="0"/>
                  <w:marBottom w:val="0"/>
                  <w:divBdr>
                    <w:top w:val="none" w:sz="0" w:space="0" w:color="auto"/>
                    <w:left w:val="none" w:sz="0" w:space="0" w:color="auto"/>
                    <w:bottom w:val="none" w:sz="0" w:space="0" w:color="auto"/>
                    <w:right w:val="none" w:sz="0" w:space="0" w:color="auto"/>
                  </w:divBdr>
                  <w:divsChild>
                    <w:div w:id="1302804069">
                      <w:marLeft w:val="0"/>
                      <w:marRight w:val="0"/>
                      <w:marTop w:val="0"/>
                      <w:marBottom w:val="0"/>
                      <w:divBdr>
                        <w:top w:val="none" w:sz="0" w:space="0" w:color="auto"/>
                        <w:left w:val="none" w:sz="0" w:space="0" w:color="auto"/>
                        <w:bottom w:val="none" w:sz="0" w:space="0" w:color="auto"/>
                        <w:right w:val="none" w:sz="0" w:space="0" w:color="auto"/>
                      </w:divBdr>
                      <w:divsChild>
                        <w:div w:id="1607032720">
                          <w:marLeft w:val="0"/>
                          <w:marRight w:val="0"/>
                          <w:marTop w:val="0"/>
                          <w:marBottom w:val="0"/>
                          <w:divBdr>
                            <w:top w:val="none" w:sz="0" w:space="0" w:color="auto"/>
                            <w:left w:val="none" w:sz="0" w:space="0" w:color="auto"/>
                            <w:bottom w:val="none" w:sz="0" w:space="0" w:color="auto"/>
                            <w:right w:val="none" w:sz="0" w:space="0" w:color="auto"/>
                          </w:divBdr>
                          <w:divsChild>
                            <w:div w:id="19503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300687">
      <w:bodyDiv w:val="1"/>
      <w:marLeft w:val="0"/>
      <w:marRight w:val="0"/>
      <w:marTop w:val="0"/>
      <w:marBottom w:val="0"/>
      <w:divBdr>
        <w:top w:val="none" w:sz="0" w:space="0" w:color="auto"/>
        <w:left w:val="none" w:sz="0" w:space="0" w:color="auto"/>
        <w:bottom w:val="none" w:sz="0" w:space="0" w:color="auto"/>
        <w:right w:val="none" w:sz="0" w:space="0" w:color="auto"/>
      </w:divBdr>
      <w:divsChild>
        <w:div w:id="1399210609">
          <w:marLeft w:val="0"/>
          <w:marRight w:val="0"/>
          <w:marTop w:val="0"/>
          <w:marBottom w:val="0"/>
          <w:divBdr>
            <w:top w:val="none" w:sz="0" w:space="0" w:color="auto"/>
            <w:left w:val="none" w:sz="0" w:space="0" w:color="auto"/>
            <w:bottom w:val="none" w:sz="0" w:space="0" w:color="auto"/>
            <w:right w:val="none" w:sz="0" w:space="0" w:color="auto"/>
          </w:divBdr>
          <w:divsChild>
            <w:div w:id="1039746265">
              <w:marLeft w:val="0"/>
              <w:marRight w:val="0"/>
              <w:marTop w:val="0"/>
              <w:marBottom w:val="0"/>
              <w:divBdr>
                <w:top w:val="none" w:sz="0" w:space="0" w:color="auto"/>
                <w:left w:val="none" w:sz="0" w:space="0" w:color="auto"/>
                <w:bottom w:val="none" w:sz="0" w:space="0" w:color="auto"/>
                <w:right w:val="none" w:sz="0" w:space="0" w:color="auto"/>
              </w:divBdr>
              <w:divsChild>
                <w:div w:id="151020572">
                  <w:marLeft w:val="0"/>
                  <w:marRight w:val="0"/>
                  <w:marTop w:val="0"/>
                  <w:marBottom w:val="0"/>
                  <w:divBdr>
                    <w:top w:val="none" w:sz="0" w:space="0" w:color="auto"/>
                    <w:left w:val="none" w:sz="0" w:space="0" w:color="auto"/>
                    <w:bottom w:val="none" w:sz="0" w:space="0" w:color="auto"/>
                    <w:right w:val="none" w:sz="0" w:space="0" w:color="auto"/>
                  </w:divBdr>
                  <w:divsChild>
                    <w:div w:id="877475160">
                      <w:marLeft w:val="0"/>
                      <w:marRight w:val="0"/>
                      <w:marTop w:val="0"/>
                      <w:marBottom w:val="0"/>
                      <w:divBdr>
                        <w:top w:val="none" w:sz="0" w:space="0" w:color="auto"/>
                        <w:left w:val="none" w:sz="0" w:space="0" w:color="auto"/>
                        <w:bottom w:val="none" w:sz="0" w:space="0" w:color="auto"/>
                        <w:right w:val="none" w:sz="0" w:space="0" w:color="auto"/>
                      </w:divBdr>
                      <w:divsChild>
                        <w:div w:id="770704933">
                          <w:marLeft w:val="0"/>
                          <w:marRight w:val="0"/>
                          <w:marTop w:val="0"/>
                          <w:marBottom w:val="0"/>
                          <w:divBdr>
                            <w:top w:val="none" w:sz="0" w:space="0" w:color="auto"/>
                            <w:left w:val="none" w:sz="0" w:space="0" w:color="auto"/>
                            <w:bottom w:val="none" w:sz="0" w:space="0" w:color="auto"/>
                            <w:right w:val="none" w:sz="0" w:space="0" w:color="auto"/>
                          </w:divBdr>
                          <w:divsChild>
                            <w:div w:id="20132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966061">
      <w:bodyDiv w:val="1"/>
      <w:marLeft w:val="0"/>
      <w:marRight w:val="0"/>
      <w:marTop w:val="0"/>
      <w:marBottom w:val="0"/>
      <w:divBdr>
        <w:top w:val="none" w:sz="0" w:space="0" w:color="auto"/>
        <w:left w:val="none" w:sz="0" w:space="0" w:color="auto"/>
        <w:bottom w:val="none" w:sz="0" w:space="0" w:color="auto"/>
        <w:right w:val="none" w:sz="0" w:space="0" w:color="auto"/>
      </w:divBdr>
      <w:divsChild>
        <w:div w:id="1445929793">
          <w:marLeft w:val="0"/>
          <w:marRight w:val="0"/>
          <w:marTop w:val="0"/>
          <w:marBottom w:val="0"/>
          <w:divBdr>
            <w:top w:val="none" w:sz="0" w:space="0" w:color="auto"/>
            <w:left w:val="none" w:sz="0" w:space="0" w:color="auto"/>
            <w:bottom w:val="none" w:sz="0" w:space="0" w:color="auto"/>
            <w:right w:val="none" w:sz="0" w:space="0" w:color="auto"/>
          </w:divBdr>
          <w:divsChild>
            <w:div w:id="798185660">
              <w:marLeft w:val="0"/>
              <w:marRight w:val="0"/>
              <w:marTop w:val="0"/>
              <w:marBottom w:val="0"/>
              <w:divBdr>
                <w:top w:val="none" w:sz="0" w:space="0" w:color="auto"/>
                <w:left w:val="none" w:sz="0" w:space="0" w:color="auto"/>
                <w:bottom w:val="none" w:sz="0" w:space="0" w:color="auto"/>
                <w:right w:val="none" w:sz="0" w:space="0" w:color="auto"/>
              </w:divBdr>
              <w:divsChild>
                <w:div w:id="79261375">
                  <w:marLeft w:val="0"/>
                  <w:marRight w:val="0"/>
                  <w:marTop w:val="0"/>
                  <w:marBottom w:val="0"/>
                  <w:divBdr>
                    <w:top w:val="none" w:sz="0" w:space="0" w:color="auto"/>
                    <w:left w:val="none" w:sz="0" w:space="0" w:color="auto"/>
                    <w:bottom w:val="none" w:sz="0" w:space="0" w:color="auto"/>
                    <w:right w:val="none" w:sz="0" w:space="0" w:color="auto"/>
                  </w:divBdr>
                  <w:divsChild>
                    <w:div w:id="584414583">
                      <w:marLeft w:val="0"/>
                      <w:marRight w:val="0"/>
                      <w:marTop w:val="0"/>
                      <w:marBottom w:val="0"/>
                      <w:divBdr>
                        <w:top w:val="none" w:sz="0" w:space="0" w:color="auto"/>
                        <w:left w:val="none" w:sz="0" w:space="0" w:color="auto"/>
                        <w:bottom w:val="none" w:sz="0" w:space="0" w:color="auto"/>
                        <w:right w:val="none" w:sz="0" w:space="0" w:color="auto"/>
                      </w:divBdr>
                      <w:divsChild>
                        <w:div w:id="427628330">
                          <w:marLeft w:val="0"/>
                          <w:marRight w:val="0"/>
                          <w:marTop w:val="0"/>
                          <w:marBottom w:val="0"/>
                          <w:divBdr>
                            <w:top w:val="none" w:sz="0" w:space="0" w:color="auto"/>
                            <w:left w:val="none" w:sz="0" w:space="0" w:color="auto"/>
                            <w:bottom w:val="none" w:sz="0" w:space="0" w:color="auto"/>
                            <w:right w:val="none" w:sz="0" w:space="0" w:color="auto"/>
                          </w:divBdr>
                          <w:divsChild>
                            <w:div w:id="13007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864841">
      <w:bodyDiv w:val="1"/>
      <w:marLeft w:val="0"/>
      <w:marRight w:val="0"/>
      <w:marTop w:val="0"/>
      <w:marBottom w:val="0"/>
      <w:divBdr>
        <w:top w:val="none" w:sz="0" w:space="0" w:color="auto"/>
        <w:left w:val="none" w:sz="0" w:space="0" w:color="auto"/>
        <w:bottom w:val="none" w:sz="0" w:space="0" w:color="auto"/>
        <w:right w:val="none" w:sz="0" w:space="0" w:color="auto"/>
      </w:divBdr>
    </w:div>
    <w:div w:id="2130736872">
      <w:bodyDiv w:val="1"/>
      <w:marLeft w:val="0"/>
      <w:marRight w:val="0"/>
      <w:marTop w:val="0"/>
      <w:marBottom w:val="0"/>
      <w:divBdr>
        <w:top w:val="none" w:sz="0" w:space="0" w:color="auto"/>
        <w:left w:val="none" w:sz="0" w:space="0" w:color="auto"/>
        <w:bottom w:val="none" w:sz="0" w:space="0" w:color="auto"/>
        <w:right w:val="none" w:sz="0" w:space="0" w:color="auto"/>
      </w:divBdr>
      <w:divsChild>
        <w:div w:id="1078404095">
          <w:marLeft w:val="0"/>
          <w:marRight w:val="0"/>
          <w:marTop w:val="0"/>
          <w:marBottom w:val="0"/>
          <w:divBdr>
            <w:top w:val="none" w:sz="0" w:space="0" w:color="auto"/>
            <w:left w:val="none" w:sz="0" w:space="0" w:color="auto"/>
            <w:bottom w:val="none" w:sz="0" w:space="0" w:color="auto"/>
            <w:right w:val="none" w:sz="0" w:space="0" w:color="auto"/>
          </w:divBdr>
          <w:divsChild>
            <w:div w:id="2046104055">
              <w:marLeft w:val="0"/>
              <w:marRight w:val="0"/>
              <w:marTop w:val="0"/>
              <w:marBottom w:val="0"/>
              <w:divBdr>
                <w:top w:val="none" w:sz="0" w:space="0" w:color="auto"/>
                <w:left w:val="none" w:sz="0" w:space="0" w:color="auto"/>
                <w:bottom w:val="none" w:sz="0" w:space="0" w:color="auto"/>
                <w:right w:val="none" w:sz="0" w:space="0" w:color="auto"/>
              </w:divBdr>
              <w:divsChild>
                <w:div w:id="1525555349">
                  <w:marLeft w:val="0"/>
                  <w:marRight w:val="0"/>
                  <w:marTop w:val="0"/>
                  <w:marBottom w:val="0"/>
                  <w:divBdr>
                    <w:top w:val="none" w:sz="0" w:space="0" w:color="auto"/>
                    <w:left w:val="none" w:sz="0" w:space="0" w:color="auto"/>
                    <w:bottom w:val="none" w:sz="0" w:space="0" w:color="auto"/>
                    <w:right w:val="none" w:sz="0" w:space="0" w:color="auto"/>
                  </w:divBdr>
                  <w:divsChild>
                    <w:div w:id="315648330">
                      <w:marLeft w:val="0"/>
                      <w:marRight w:val="0"/>
                      <w:marTop w:val="0"/>
                      <w:marBottom w:val="0"/>
                      <w:divBdr>
                        <w:top w:val="none" w:sz="0" w:space="0" w:color="auto"/>
                        <w:left w:val="none" w:sz="0" w:space="0" w:color="auto"/>
                        <w:bottom w:val="none" w:sz="0" w:space="0" w:color="auto"/>
                        <w:right w:val="none" w:sz="0" w:space="0" w:color="auto"/>
                      </w:divBdr>
                      <w:divsChild>
                        <w:div w:id="1729525635">
                          <w:marLeft w:val="0"/>
                          <w:marRight w:val="0"/>
                          <w:marTop w:val="0"/>
                          <w:marBottom w:val="0"/>
                          <w:divBdr>
                            <w:top w:val="none" w:sz="0" w:space="0" w:color="auto"/>
                            <w:left w:val="none" w:sz="0" w:space="0" w:color="auto"/>
                            <w:bottom w:val="none" w:sz="0" w:space="0" w:color="auto"/>
                            <w:right w:val="none" w:sz="0" w:space="0" w:color="auto"/>
                          </w:divBdr>
                          <w:divsChild>
                            <w:div w:id="8238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330258">
      <w:bodyDiv w:val="1"/>
      <w:marLeft w:val="0"/>
      <w:marRight w:val="0"/>
      <w:marTop w:val="0"/>
      <w:marBottom w:val="0"/>
      <w:divBdr>
        <w:top w:val="none" w:sz="0" w:space="0" w:color="auto"/>
        <w:left w:val="none" w:sz="0" w:space="0" w:color="auto"/>
        <w:bottom w:val="none" w:sz="0" w:space="0" w:color="auto"/>
        <w:right w:val="none" w:sz="0" w:space="0" w:color="auto"/>
      </w:divBdr>
    </w:div>
    <w:div w:id="2142116775">
      <w:bodyDiv w:val="1"/>
      <w:marLeft w:val="0"/>
      <w:marRight w:val="0"/>
      <w:marTop w:val="0"/>
      <w:marBottom w:val="0"/>
      <w:divBdr>
        <w:top w:val="none" w:sz="0" w:space="0" w:color="auto"/>
        <w:left w:val="none" w:sz="0" w:space="0" w:color="auto"/>
        <w:bottom w:val="none" w:sz="0" w:space="0" w:color="auto"/>
        <w:right w:val="none" w:sz="0" w:space="0" w:color="auto"/>
      </w:divBdr>
      <w:divsChild>
        <w:div w:id="106659749">
          <w:marLeft w:val="0"/>
          <w:marRight w:val="0"/>
          <w:marTop w:val="0"/>
          <w:marBottom w:val="0"/>
          <w:divBdr>
            <w:top w:val="none" w:sz="0" w:space="0" w:color="auto"/>
            <w:left w:val="none" w:sz="0" w:space="0" w:color="auto"/>
            <w:bottom w:val="none" w:sz="0" w:space="0" w:color="auto"/>
            <w:right w:val="none" w:sz="0" w:space="0" w:color="auto"/>
          </w:divBdr>
          <w:divsChild>
            <w:div w:id="1741169089">
              <w:marLeft w:val="0"/>
              <w:marRight w:val="0"/>
              <w:marTop w:val="0"/>
              <w:marBottom w:val="0"/>
              <w:divBdr>
                <w:top w:val="none" w:sz="0" w:space="0" w:color="auto"/>
                <w:left w:val="none" w:sz="0" w:space="0" w:color="auto"/>
                <w:bottom w:val="none" w:sz="0" w:space="0" w:color="auto"/>
                <w:right w:val="none" w:sz="0" w:space="0" w:color="auto"/>
              </w:divBdr>
              <w:divsChild>
                <w:div w:id="2018992935">
                  <w:marLeft w:val="0"/>
                  <w:marRight w:val="0"/>
                  <w:marTop w:val="0"/>
                  <w:marBottom w:val="0"/>
                  <w:divBdr>
                    <w:top w:val="none" w:sz="0" w:space="0" w:color="auto"/>
                    <w:left w:val="none" w:sz="0" w:space="0" w:color="auto"/>
                    <w:bottom w:val="none" w:sz="0" w:space="0" w:color="auto"/>
                    <w:right w:val="none" w:sz="0" w:space="0" w:color="auto"/>
                  </w:divBdr>
                  <w:divsChild>
                    <w:div w:id="323246389">
                      <w:marLeft w:val="0"/>
                      <w:marRight w:val="0"/>
                      <w:marTop w:val="0"/>
                      <w:marBottom w:val="0"/>
                      <w:divBdr>
                        <w:top w:val="none" w:sz="0" w:space="0" w:color="auto"/>
                        <w:left w:val="none" w:sz="0" w:space="0" w:color="auto"/>
                        <w:bottom w:val="none" w:sz="0" w:space="0" w:color="auto"/>
                        <w:right w:val="none" w:sz="0" w:space="0" w:color="auto"/>
                      </w:divBdr>
                      <w:divsChild>
                        <w:div w:id="1954088817">
                          <w:marLeft w:val="0"/>
                          <w:marRight w:val="0"/>
                          <w:marTop w:val="0"/>
                          <w:marBottom w:val="0"/>
                          <w:divBdr>
                            <w:top w:val="none" w:sz="0" w:space="0" w:color="auto"/>
                            <w:left w:val="none" w:sz="0" w:space="0" w:color="auto"/>
                            <w:bottom w:val="none" w:sz="0" w:space="0" w:color="auto"/>
                            <w:right w:val="none" w:sz="0" w:space="0" w:color="auto"/>
                          </w:divBdr>
                          <w:divsChild>
                            <w:div w:id="434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hudoc.echr.coe.int/sites/eng/Pages/search.aspx" TargetMode="External"/><Relationship Id="rId26" Type="http://schemas.openxmlformats.org/officeDocument/2006/relationships/hyperlink" Target="http://hudoc.echr.coe.int/sites/eng/Pages/search.aspx"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hudoc.echr.coe.int/sites/eng/Pages/search.aspx" TargetMode="External"/><Relationship Id="rId34" Type="http://schemas.openxmlformats.org/officeDocument/2006/relationships/hyperlink" Target="http://hudoc.echr.coe.int/sites/eng/Pages/search.aspx" TargetMode="External"/><Relationship Id="rId42" Type="http://schemas.openxmlformats.org/officeDocument/2006/relationships/header" Target="header5.xml"/><Relationship Id="rId47" Type="http://schemas.openxmlformats.org/officeDocument/2006/relationships/footer" Target="footer7.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hudoc.echr.coe.int/sites/eng/Pages/search.aspx" TargetMode="External"/><Relationship Id="rId25" Type="http://schemas.openxmlformats.org/officeDocument/2006/relationships/hyperlink" Target="http://hudoc.echr.coe.int/sites/eng/Pages/search.aspx" TargetMode="External"/><Relationship Id="rId33" Type="http://schemas.openxmlformats.org/officeDocument/2006/relationships/hyperlink" Target="http://hudoc.echr.coe.int/sites/eng/Pages/search.aspx" TargetMode="External"/><Relationship Id="rId38" Type="http://schemas.openxmlformats.org/officeDocument/2006/relationships/footer" Target="footer2.xml"/><Relationship Id="rId46"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hudoc.echr.coe.int/sites/eng/Pages/search.aspx" TargetMode="External"/><Relationship Id="rId20" Type="http://schemas.openxmlformats.org/officeDocument/2006/relationships/hyperlink" Target="http://hudoc.echr.coe.int/sites/eng/Pages/search.aspx" TargetMode="External"/><Relationship Id="rId29" Type="http://schemas.openxmlformats.org/officeDocument/2006/relationships/hyperlink" Target="http://hudoc.echr.coe.int/sites/eng/Pages/search.aspx"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hudoc.echr.coe.int/sites/eng/Pages/search.aspx" TargetMode="External"/><Relationship Id="rId32" Type="http://schemas.openxmlformats.org/officeDocument/2006/relationships/hyperlink" Target="http://hudoc.echr.coe.int/sites/eng/Pages/search.aspx" TargetMode="External"/><Relationship Id="rId37" Type="http://schemas.openxmlformats.org/officeDocument/2006/relationships/header" Target="header3.xml"/><Relationship Id="rId40" Type="http://schemas.openxmlformats.org/officeDocument/2006/relationships/header" Target="header4.xml"/><Relationship Id="rId45"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hudoc.echr.coe.int/sites/eng/Pages/search.aspx" TargetMode="External"/><Relationship Id="rId23" Type="http://schemas.openxmlformats.org/officeDocument/2006/relationships/hyperlink" Target="http://hudoc.echr.coe.int/sites/eng/Pages/search.aspx" TargetMode="External"/><Relationship Id="rId28" Type="http://schemas.openxmlformats.org/officeDocument/2006/relationships/hyperlink" Target="http://hudoc.echr.coe.int/sites/eng/pages/search.aspx" TargetMode="External"/><Relationship Id="rId36" Type="http://schemas.openxmlformats.org/officeDocument/2006/relationships/header" Target="header2.xm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hudoc.echr.coe.int/sites/eng/Pages/search.aspx" TargetMode="External"/><Relationship Id="rId31" Type="http://schemas.openxmlformats.org/officeDocument/2006/relationships/hyperlink" Target="http://hudoc.echr.coe.int/sites/eng/Pages/search.aspx"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hudoc.echr.coe.int/sites/eng/Pages/search.aspx" TargetMode="External"/><Relationship Id="rId22" Type="http://schemas.openxmlformats.org/officeDocument/2006/relationships/hyperlink" Target="http://hudoc.echr.coe.int/sites/eng/Pages/search.aspx" TargetMode="External"/><Relationship Id="rId27" Type="http://schemas.openxmlformats.org/officeDocument/2006/relationships/hyperlink" Target="http://hudoc.echr.coe.int/sites/eng/Pages/search.aspx" TargetMode="External"/><Relationship Id="rId30" Type="http://schemas.openxmlformats.org/officeDocument/2006/relationships/hyperlink" Target="http://hudoc.echr.coe.int/sites/eng/Pages/search.aspx" TargetMode="External"/><Relationship Id="rId35" Type="http://schemas.openxmlformats.org/officeDocument/2006/relationships/hyperlink" Target="http://hudoc.echr.coe.int/sites/eng/Pages/search.aspx" TargetMode="External"/><Relationship Id="rId43" Type="http://schemas.openxmlformats.org/officeDocument/2006/relationships/header" Target="header6.xml"/><Relationship Id="rId48" Type="http://schemas.openxmlformats.org/officeDocument/2006/relationships/fontTable" Target="fontTable.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hudoc.echr.coe.int/sites/eng/Pages/search.aspx" TargetMode="External"/><Relationship Id="rId2" Type="http://schemas.openxmlformats.org/officeDocument/2006/relationships/hyperlink" Target="http://hudoc.echr.coe.int/sites/eng/Pages/search.aspx" TargetMode="External"/><Relationship Id="rId1" Type="http://schemas.openxmlformats.org/officeDocument/2006/relationships/hyperlink" Target="http://hudoc.echr.coe.int/sites/eng/Pages/search.aspx" TargetMode="External"/><Relationship Id="rId4" Type="http://schemas.openxmlformats.org/officeDocument/2006/relationships/hyperlink" Target="http://hudoc.echr.coe.int/sites/eng/Pages/search.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DCFB4-5775-4C48-9F08-495ECBC94B00}">
  <ds:schemaRefs>
    <ds:schemaRef ds:uri="http://schemas.microsoft.com/sharepoint/v3/contenttype/forms"/>
  </ds:schemaRefs>
</ds:datastoreItem>
</file>

<file path=customXml/itemProps2.xml><?xml version="1.0" encoding="utf-8"?>
<ds:datastoreItem xmlns:ds="http://schemas.openxmlformats.org/officeDocument/2006/customXml" ds:itemID="{6C3BB98A-03FE-4AC3-ABD3-59EF5050CAFF}">
  <ds:schemaRefs>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9200C47-A0F9-4428-BDC2-D8D3385EB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258619-D7A5-400E-AE5E-39B1B167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32174</Words>
  <Characters>183395</Characters>
  <Application>Microsoft Office Word</Application>
  <DocSecurity>4</DocSecurity>
  <Lines>1528</Lines>
  <Paragraphs>430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215139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2017-03-20T16:15:00Z</dcterms:created>
  <dcterms:modified xsi:type="dcterms:W3CDTF">2017-03-20T16:15:00Z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